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3B31C3">
      <w:pPr>
        <w:rPr>
          <w:rFonts w:eastAsiaTheme="minorEastAsia"/>
          <w:color w:val="auto"/>
          <w:sz w:val="52"/>
        </w:rPr>
      </w:pPr>
    </w:p>
    <w:p w14:paraId="49F165B6">
      <w:pPr>
        <w:pStyle w:val="43"/>
        <w:rPr>
          <w:color w:val="auto"/>
        </w:rPr>
      </w:pPr>
    </w:p>
    <w:p w14:paraId="210BF3DB">
      <w:pPr>
        <w:rPr>
          <w:color w:val="auto"/>
        </w:rPr>
      </w:pPr>
    </w:p>
    <w:p w14:paraId="2C609527">
      <w:pPr>
        <w:adjustRightInd w:val="0"/>
        <w:snapToGrid w:val="0"/>
        <w:jc w:val="center"/>
        <w:outlineLvl w:val="0"/>
        <w:rPr>
          <w:rFonts w:ascii="方正小标宋_GBK" w:eastAsia="方正小标宋_GBK"/>
          <w:bCs/>
          <w:color w:val="auto"/>
          <w:sz w:val="72"/>
          <w:szCs w:val="72"/>
        </w:rPr>
      </w:pPr>
      <w:bookmarkStart w:id="0" w:name="_Toc27951"/>
      <w:bookmarkStart w:id="1" w:name="_Toc15790"/>
      <w:r>
        <w:rPr>
          <w:rFonts w:hint="eastAsia" w:ascii="方正小标宋_GBK" w:eastAsia="方正小标宋_GBK"/>
          <w:bCs/>
          <w:color w:val="auto"/>
          <w:sz w:val="72"/>
          <w:szCs w:val="72"/>
        </w:rPr>
        <w:t>建设项目环境影响报告表</w:t>
      </w:r>
      <w:bookmarkEnd w:id="0"/>
      <w:bookmarkEnd w:id="1"/>
    </w:p>
    <w:p w14:paraId="2B41BC25">
      <w:pPr>
        <w:adjustRightInd w:val="0"/>
        <w:snapToGrid w:val="0"/>
        <w:spacing w:before="249" w:beforeLines="80"/>
        <w:jc w:val="center"/>
        <w:rPr>
          <w:rFonts w:ascii="楷体_GB2312" w:eastAsia="楷体_GB2312"/>
          <w:bCs/>
          <w:color w:val="auto"/>
          <w:sz w:val="48"/>
          <w:szCs w:val="48"/>
        </w:rPr>
      </w:pPr>
      <w:r>
        <w:rPr>
          <w:rFonts w:hint="eastAsia" w:ascii="楷体_GB2312" w:eastAsia="楷体_GB2312"/>
          <w:bCs/>
          <w:color w:val="auto"/>
          <w:sz w:val="48"/>
          <w:szCs w:val="48"/>
        </w:rPr>
        <w:t>（污染影响类）</w:t>
      </w:r>
    </w:p>
    <w:p w14:paraId="2937E06A">
      <w:pPr>
        <w:tabs>
          <w:tab w:val="left" w:pos="3379"/>
        </w:tabs>
        <w:adjustRightInd w:val="0"/>
        <w:snapToGrid w:val="0"/>
        <w:spacing w:line="288" w:lineRule="auto"/>
        <w:jc w:val="left"/>
        <w:outlineLvl w:val="0"/>
        <w:rPr>
          <w:rFonts w:hint="eastAsia" w:ascii="华文仿宋" w:hAnsi="华文仿宋" w:eastAsia="华文仿宋" w:cs="华文仿宋"/>
          <w:color w:val="auto"/>
          <w:kern w:val="44"/>
          <w:sz w:val="44"/>
          <w:szCs w:val="44"/>
          <w:lang w:eastAsia="zh-CN"/>
        </w:rPr>
      </w:pPr>
      <w:r>
        <w:rPr>
          <w:rFonts w:hint="eastAsia" w:ascii="华文仿宋" w:hAnsi="华文仿宋" w:eastAsia="华文仿宋" w:cs="华文仿宋"/>
          <w:color w:val="auto"/>
          <w:kern w:val="44"/>
          <w:sz w:val="44"/>
          <w:szCs w:val="44"/>
          <w:lang w:eastAsia="zh-CN"/>
        </w:rPr>
        <w:tab/>
      </w:r>
    </w:p>
    <w:p w14:paraId="7F02211D">
      <w:pPr>
        <w:jc w:val="center"/>
        <w:rPr>
          <w:rFonts w:eastAsia="仿宋"/>
          <w:color w:val="auto"/>
          <w:sz w:val="52"/>
          <w:szCs w:val="52"/>
        </w:rPr>
      </w:pPr>
    </w:p>
    <w:p w14:paraId="2B401C6D">
      <w:pPr>
        <w:ind w:firstLine="1040"/>
        <w:rPr>
          <w:rFonts w:eastAsia="仿宋"/>
          <w:color w:val="auto"/>
          <w:sz w:val="44"/>
          <w:szCs w:val="44"/>
        </w:rPr>
      </w:pPr>
    </w:p>
    <w:p w14:paraId="42D80F15">
      <w:pPr>
        <w:ind w:firstLine="1040"/>
        <w:rPr>
          <w:rFonts w:eastAsia="仿宋"/>
          <w:color w:val="auto"/>
          <w:sz w:val="44"/>
          <w:szCs w:val="44"/>
        </w:rPr>
      </w:pPr>
    </w:p>
    <w:p w14:paraId="35127F8F">
      <w:pPr>
        <w:ind w:firstLine="1040"/>
        <w:rPr>
          <w:rFonts w:eastAsia="仿宋"/>
          <w:color w:val="auto"/>
          <w:sz w:val="44"/>
          <w:szCs w:val="44"/>
        </w:rPr>
      </w:pPr>
    </w:p>
    <w:p w14:paraId="3E92FA18">
      <w:pPr>
        <w:rPr>
          <w:rFonts w:eastAsia="仿宋"/>
          <w:color w:val="auto"/>
          <w:sz w:val="44"/>
          <w:szCs w:val="44"/>
        </w:rPr>
      </w:pPr>
    </w:p>
    <w:p w14:paraId="38ECDEEA">
      <w:pPr>
        <w:adjustRightInd w:val="0"/>
        <w:snapToGrid w:val="0"/>
        <w:spacing w:line="288" w:lineRule="auto"/>
        <w:ind w:left="2519" w:leftChars="171" w:hanging="2160" w:hangingChars="600"/>
        <w:jc w:val="both"/>
        <w:rPr>
          <w:rFonts w:hint="default"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项目名称：</w:t>
      </w:r>
      <w:r>
        <w:rPr>
          <w:rFonts w:hint="eastAsia" w:eastAsia="仿宋_GB2312" w:cs="Times New Roman"/>
          <w:color w:val="auto"/>
          <w:sz w:val="36"/>
          <w:szCs w:val="36"/>
          <w:u w:val="single"/>
          <w:lang w:val="en-US" w:eastAsia="zh-CN"/>
        </w:rPr>
        <w:t xml:space="preserve">   Sigma高端医用设备生产项目   </w:t>
      </w:r>
    </w:p>
    <w:p w14:paraId="2B98B909">
      <w:pPr>
        <w:adjustRightInd w:val="0"/>
        <w:snapToGrid w:val="0"/>
        <w:spacing w:line="288" w:lineRule="auto"/>
        <w:ind w:left="2520" w:hanging="2520" w:hangingChars="700"/>
        <w:jc w:val="center"/>
        <w:rPr>
          <w:rFonts w:hint="eastAsia" w:eastAsia="仿宋_GB2312" w:cs="Times New Roman"/>
          <w:color w:val="auto"/>
          <w:sz w:val="36"/>
          <w:szCs w:val="36"/>
          <w:u w:val="single"/>
          <w:lang w:eastAsia="zh-CN"/>
        </w:rPr>
      </w:pPr>
      <w:r>
        <w:rPr>
          <w:rFonts w:hint="default" w:ascii="Times New Roman" w:hAnsi="Times New Roman" w:eastAsia="仿宋_GB2312" w:cs="Times New Roman"/>
          <w:color w:val="auto"/>
          <w:sz w:val="36"/>
          <w:szCs w:val="36"/>
        </w:rPr>
        <w:t>建设单位</w:t>
      </w:r>
      <w:r>
        <w:rPr>
          <w:rFonts w:hint="eastAsia" w:eastAsia="仿宋_GB2312" w:cs="Times New Roman"/>
          <w:color w:val="auto"/>
          <w:sz w:val="36"/>
          <w:szCs w:val="36"/>
          <w:lang w:eastAsia="zh-CN"/>
        </w:rPr>
        <w:t>（</w:t>
      </w:r>
      <w:r>
        <w:rPr>
          <w:rFonts w:hint="default" w:ascii="Times New Roman" w:hAnsi="Times New Roman" w:eastAsia="仿宋_GB2312" w:cs="Times New Roman"/>
          <w:color w:val="auto"/>
          <w:sz w:val="36"/>
          <w:szCs w:val="36"/>
        </w:rPr>
        <w:t>盖章</w:t>
      </w:r>
      <w:r>
        <w:rPr>
          <w:rFonts w:hint="eastAsia" w:eastAsia="仿宋_GB2312" w:cs="Times New Roman"/>
          <w:color w:val="auto"/>
          <w:sz w:val="36"/>
          <w:szCs w:val="36"/>
          <w:lang w:eastAsia="zh-CN"/>
        </w:rPr>
        <w:t>）</w:t>
      </w:r>
      <w:r>
        <w:rPr>
          <w:rFonts w:hint="default" w:ascii="Times New Roman" w:hAnsi="Times New Roman" w:eastAsia="仿宋_GB2312" w:cs="Times New Roman"/>
          <w:color w:val="auto"/>
          <w:sz w:val="36"/>
          <w:szCs w:val="36"/>
        </w:rPr>
        <w:t>：</w:t>
      </w:r>
      <w:r>
        <w:rPr>
          <w:rFonts w:hint="eastAsia" w:eastAsia="仿宋_GB2312" w:cs="Times New Roman"/>
          <w:color w:val="auto"/>
          <w:sz w:val="36"/>
          <w:szCs w:val="36"/>
          <w:u w:val="single"/>
          <w:lang w:eastAsia="zh-CN"/>
        </w:rPr>
        <w:t>德采实实验室科技（常州）</w:t>
      </w:r>
    </w:p>
    <w:p w14:paraId="04B8DA21">
      <w:pPr>
        <w:adjustRightInd w:val="0"/>
        <w:snapToGrid w:val="0"/>
        <w:spacing w:line="288" w:lineRule="auto"/>
        <w:ind w:left="2520" w:hanging="2520" w:hangingChars="700"/>
        <w:jc w:val="center"/>
        <w:rPr>
          <w:rFonts w:hint="default" w:ascii="Times New Roman" w:hAnsi="Times New Roman" w:eastAsia="仿宋_GB2312" w:cs="Times New Roman"/>
          <w:color w:val="auto"/>
          <w:sz w:val="36"/>
          <w:szCs w:val="36"/>
          <w:u w:val="single"/>
          <w:lang w:eastAsia="zh-CN"/>
        </w:rPr>
      </w:pPr>
      <w:r>
        <w:rPr>
          <w:rFonts w:hint="eastAsia" w:eastAsia="仿宋_GB2312" w:cs="Times New Roman"/>
          <w:color w:val="auto"/>
          <w:sz w:val="36"/>
          <w:szCs w:val="36"/>
          <w:u w:val="single"/>
          <w:lang w:eastAsia="zh-CN"/>
        </w:rPr>
        <w:t>有限公司</w:t>
      </w:r>
    </w:p>
    <w:p w14:paraId="3078F6ED">
      <w:pPr>
        <w:adjustRightInd w:val="0"/>
        <w:snapToGrid w:val="0"/>
        <w:spacing w:line="288" w:lineRule="auto"/>
        <w:ind w:right="420" w:rightChars="200" w:firstLine="360" w:firstLineChars="100"/>
        <w:jc w:val="both"/>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编制日期：</w:t>
      </w:r>
      <w:r>
        <w:rPr>
          <w:rFonts w:hint="eastAsia"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highlight w:val="none"/>
          <w:u w:val="single"/>
        </w:rPr>
        <w:t>202</w:t>
      </w:r>
      <w:r>
        <w:rPr>
          <w:rFonts w:hint="eastAsia" w:eastAsia="仿宋_GB2312" w:cs="Times New Roman"/>
          <w:color w:val="auto"/>
          <w:sz w:val="36"/>
          <w:szCs w:val="36"/>
          <w:highlight w:val="none"/>
          <w:u w:val="single"/>
          <w:lang w:val="en-US" w:eastAsia="zh-CN"/>
        </w:rPr>
        <w:t>6</w:t>
      </w:r>
      <w:r>
        <w:rPr>
          <w:rFonts w:hint="default" w:ascii="Times New Roman" w:hAnsi="Times New Roman" w:eastAsia="仿宋_GB2312" w:cs="Times New Roman"/>
          <w:color w:val="auto"/>
          <w:sz w:val="36"/>
          <w:szCs w:val="36"/>
          <w:highlight w:val="none"/>
          <w:u w:val="single"/>
        </w:rPr>
        <w:t>年</w:t>
      </w:r>
      <w:r>
        <w:rPr>
          <w:rFonts w:hint="eastAsia" w:eastAsia="仿宋_GB2312" w:cs="Times New Roman"/>
          <w:color w:val="auto"/>
          <w:sz w:val="36"/>
          <w:szCs w:val="36"/>
          <w:highlight w:val="none"/>
          <w:u w:val="single"/>
          <w:lang w:val="en-US" w:eastAsia="zh-CN"/>
        </w:rPr>
        <w:t>05</w:t>
      </w:r>
      <w:r>
        <w:rPr>
          <w:rFonts w:hint="default" w:ascii="Times New Roman" w:hAnsi="Times New Roman" w:eastAsia="仿宋_GB2312" w:cs="Times New Roman"/>
          <w:color w:val="auto"/>
          <w:sz w:val="36"/>
          <w:szCs w:val="36"/>
          <w:highlight w:val="none"/>
          <w:u w:val="single"/>
        </w:rPr>
        <w:t>月</w:t>
      </w:r>
      <w:r>
        <w:rPr>
          <w:rFonts w:hint="eastAsia" w:eastAsia="仿宋_GB2312" w:cs="Times New Roman"/>
          <w:color w:val="auto"/>
          <w:sz w:val="36"/>
          <w:szCs w:val="36"/>
          <w:highlight w:val="none"/>
          <w:u w:val="single"/>
          <w:lang w:val="en-US" w:eastAsia="zh-CN"/>
        </w:rPr>
        <w:t>07</w:t>
      </w:r>
      <w:r>
        <w:rPr>
          <w:rFonts w:hint="default" w:ascii="Times New Roman" w:hAnsi="Times New Roman" w:eastAsia="仿宋_GB2312" w:cs="Times New Roman"/>
          <w:color w:val="auto"/>
          <w:sz w:val="36"/>
          <w:szCs w:val="36"/>
          <w:highlight w:val="none"/>
          <w:u w:val="single"/>
        </w:rPr>
        <w:t>日</w:t>
      </w:r>
      <w:r>
        <w:rPr>
          <w:rFonts w:hint="eastAsia" w:eastAsia="仿宋_GB2312" w:cs="Times New Roman"/>
          <w:color w:val="auto"/>
          <w:sz w:val="36"/>
          <w:szCs w:val="36"/>
          <w:highlight w:val="none"/>
          <w:u w:val="single"/>
          <w:lang w:val="en-US" w:eastAsia="zh-CN"/>
        </w:rPr>
        <w:t xml:space="preserve">      </w:t>
      </w:r>
    </w:p>
    <w:p w14:paraId="4F9F49F0">
      <w:pPr>
        <w:adjustRightInd w:val="0"/>
        <w:snapToGrid w:val="0"/>
        <w:spacing w:line="288" w:lineRule="auto"/>
        <w:ind w:firstLine="1040"/>
        <w:rPr>
          <w:rFonts w:ascii="仿宋_GB2312" w:eastAsia="仿宋_GB2312"/>
          <w:color w:val="auto"/>
          <w:sz w:val="36"/>
          <w:szCs w:val="36"/>
          <w:u w:val="single"/>
        </w:rPr>
      </w:pPr>
      <w:bookmarkStart w:id="2" w:name="_Hlk57884087"/>
    </w:p>
    <w:p w14:paraId="47643D59">
      <w:pPr>
        <w:adjustRightInd w:val="0"/>
        <w:snapToGrid w:val="0"/>
        <w:spacing w:line="288" w:lineRule="auto"/>
        <w:ind w:firstLine="1040"/>
        <w:rPr>
          <w:rFonts w:ascii="仿宋_GB2312" w:eastAsia="仿宋_GB2312"/>
          <w:color w:val="auto"/>
          <w:sz w:val="36"/>
          <w:szCs w:val="36"/>
        </w:rPr>
      </w:pPr>
    </w:p>
    <w:p w14:paraId="7B909373">
      <w:pPr>
        <w:adjustRightInd w:val="0"/>
        <w:snapToGrid w:val="0"/>
        <w:spacing w:line="288" w:lineRule="auto"/>
        <w:ind w:firstLine="1040"/>
        <w:rPr>
          <w:rFonts w:ascii="仿宋_GB2312" w:eastAsia="仿宋_GB2312"/>
          <w:color w:val="auto"/>
          <w:sz w:val="36"/>
          <w:szCs w:val="36"/>
        </w:rPr>
      </w:pPr>
    </w:p>
    <w:p w14:paraId="7AC020F3">
      <w:pPr>
        <w:adjustRightInd w:val="0"/>
        <w:snapToGrid w:val="0"/>
        <w:spacing w:line="288" w:lineRule="auto"/>
        <w:ind w:firstLine="1040"/>
        <w:rPr>
          <w:rFonts w:ascii="仿宋_GB2312" w:eastAsia="仿宋_GB2312"/>
          <w:color w:val="auto"/>
          <w:sz w:val="36"/>
          <w:szCs w:val="36"/>
        </w:rPr>
      </w:pPr>
    </w:p>
    <w:p w14:paraId="1DD45D6A">
      <w:pPr>
        <w:adjustRightInd w:val="0"/>
        <w:snapToGrid w:val="0"/>
        <w:spacing w:line="288" w:lineRule="auto"/>
        <w:ind w:firstLine="1040"/>
        <w:rPr>
          <w:rFonts w:ascii="仿宋_GB2312" w:eastAsia="仿宋_GB2312"/>
          <w:color w:val="auto"/>
          <w:sz w:val="36"/>
          <w:szCs w:val="36"/>
        </w:rPr>
      </w:pPr>
    </w:p>
    <w:bookmarkEnd w:id="2"/>
    <w:p w14:paraId="68FEAB12">
      <w:pPr>
        <w:tabs>
          <w:tab w:val="left" w:pos="6027"/>
        </w:tabs>
        <w:jc w:val="center"/>
        <w:rPr>
          <w:rFonts w:hint="eastAsia" w:ascii="楷体_GB2312" w:eastAsia="楷体_GB2312"/>
          <w:color w:val="auto"/>
          <w:sz w:val="36"/>
          <w:szCs w:val="36"/>
          <w:lang w:val="en-US" w:eastAsia="zh-CN"/>
        </w:rPr>
      </w:pPr>
      <w:r>
        <w:rPr>
          <w:rFonts w:hint="eastAsia" w:ascii="楷体_GB2312" w:eastAsia="楷体_GB2312"/>
          <w:color w:val="auto"/>
          <w:sz w:val="36"/>
          <w:szCs w:val="36"/>
        </w:rPr>
        <w:t>中华人民共和国生态环境部</w:t>
      </w:r>
      <w:r>
        <w:rPr>
          <w:rFonts w:hint="eastAsia" w:ascii="楷体_GB2312" w:eastAsia="楷体_GB2312"/>
          <w:color w:val="auto"/>
          <w:sz w:val="36"/>
          <w:szCs w:val="36"/>
          <w:lang w:val="en-US" w:eastAsia="zh-CN"/>
        </w:rPr>
        <w:t>制</w:t>
      </w:r>
    </w:p>
    <w:p w14:paraId="2C087508">
      <w:pPr>
        <w:pStyle w:val="3"/>
        <w:rPr>
          <w:rFonts w:hint="eastAsia" w:ascii="楷体_GB2312" w:eastAsia="楷体_GB2312"/>
          <w:color w:val="auto"/>
          <w:sz w:val="36"/>
          <w:szCs w:val="36"/>
        </w:rPr>
      </w:pPr>
    </w:p>
    <w:p w14:paraId="1EF2EED1">
      <w:pPr>
        <w:rPr>
          <w:rFonts w:hint="eastAsia"/>
          <w:color w:val="FF0000"/>
        </w:rPr>
      </w:pPr>
      <w:r>
        <w:rPr>
          <w:rFonts w:hint="eastAsia"/>
          <w:color w:val="FF0000"/>
        </w:rPr>
        <w:br w:type="page"/>
      </w:r>
    </w:p>
    <w:p w14:paraId="7B181DCD">
      <w:pPr>
        <w:pStyle w:val="2"/>
        <w:rPr>
          <w:rFonts w:hint="eastAsia"/>
          <w:color w:val="FF0000"/>
        </w:rPr>
      </w:pPr>
    </w:p>
    <w:p w14:paraId="41E6EA2F">
      <w:pPr>
        <w:pStyle w:val="2"/>
        <w:rPr>
          <w:rFonts w:hint="eastAsia"/>
          <w:color w:val="FF0000"/>
        </w:rPr>
        <w:sectPr>
          <w:footerReference r:id="rId5" w:type="first"/>
          <w:headerReference r:id="rId3" w:type="default"/>
          <w:footerReference r:id="rId4" w:type="default"/>
          <w:pgSz w:w="11906" w:h="16838"/>
          <w:pgMar w:top="1440" w:right="1800" w:bottom="1713"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14:paraId="76AA1786">
      <w:pPr>
        <w:rPr>
          <w:rFonts w:hint="eastAsia"/>
          <w:color w:val="FF0000"/>
        </w:rPr>
      </w:pPr>
    </w:p>
    <w:sdt>
      <w:sdtPr>
        <w:rPr>
          <w:rFonts w:hint="default" w:ascii="Times New Roman" w:hAnsi="Times New Roman" w:cs="Times New Roman" w:eastAsiaTheme="minorEastAsia"/>
          <w:color w:val="auto"/>
          <w:kern w:val="0"/>
          <w:sz w:val="28"/>
          <w:szCs w:val="28"/>
          <w:lang w:val="en-US" w:eastAsia="zh-CN" w:bidi="ar-SA"/>
        </w:rPr>
        <w:id w:val="147454067"/>
        <w15:color w:val="DBDBDB"/>
        <w:docPartObj>
          <w:docPartGallery w:val="Table of Contents"/>
          <w:docPartUnique/>
        </w:docPartObj>
      </w:sdtPr>
      <w:sdtEndPr>
        <w:rPr>
          <w:rFonts w:hint="eastAsia" w:ascii="Times New Roman" w:hAnsi="Times New Roman" w:eastAsia="宋体" w:cs="Times New Roman"/>
          <w:color w:val="FF0000"/>
          <w:kern w:val="2"/>
          <w:sz w:val="21"/>
          <w:szCs w:val="28"/>
          <w:lang w:val="en-US" w:eastAsia="zh-CN" w:bidi="ar-SA"/>
        </w:rPr>
      </w:sdtEndPr>
      <w:sdtContent>
        <w:p w14:paraId="335041CD">
          <w:pPr>
            <w:spacing w:before="0" w:beforeLines="0" w:after="0" w:afterLines="0" w:line="240" w:lineRule="auto"/>
            <w:ind w:left="0" w:leftChars="0" w:right="0" w:rightChars="0" w:firstLine="0" w:firstLineChars="0"/>
            <w:jc w:val="center"/>
            <w:rPr>
              <w:rFonts w:hint="default" w:ascii="Times New Roman" w:hAnsi="Times New Roman" w:cs="Times New Roman" w:eastAsiaTheme="minorEastAsia"/>
              <w:color w:val="auto"/>
              <w:kern w:val="0"/>
              <w:sz w:val="28"/>
              <w:szCs w:val="28"/>
              <w:lang w:val="en-US" w:eastAsia="zh-CN" w:bidi="ar-SA"/>
            </w:rPr>
          </w:pPr>
          <w:r>
            <w:rPr>
              <w:rFonts w:hint="default" w:ascii="Times New Roman" w:hAnsi="Times New Roman" w:cs="Times New Roman" w:eastAsiaTheme="minorEastAsia"/>
              <w:color w:val="auto"/>
              <w:kern w:val="0"/>
              <w:sz w:val="28"/>
              <w:szCs w:val="28"/>
              <w:lang w:val="en-US" w:eastAsia="zh-CN" w:bidi="ar-SA"/>
            </w:rPr>
            <w:t>目录</w:t>
          </w:r>
        </w:p>
        <w:p w14:paraId="24626D6F">
          <w:pPr>
            <w:pStyle w:val="2"/>
            <w:rPr>
              <w:rFonts w:hint="default"/>
              <w:color w:val="auto"/>
              <w:lang w:val="en-US" w:eastAsia="zh-CN"/>
            </w:rPr>
          </w:pPr>
        </w:p>
        <w:p w14:paraId="07AC7858">
          <w:pPr>
            <w:pStyle w:val="27"/>
            <w:tabs>
              <w:tab w:val="right" w:leader="dot" w:pos="8306"/>
              <w:tab w:val="clear" w:pos="420"/>
              <w:tab w:val="clear" w:pos="8303"/>
            </w:tabs>
            <w:rPr>
              <w:rFonts w:hint="default" w:ascii="Times New Roman" w:hAnsi="Times New Roman" w:cs="Times New Roman" w:eastAsiaTheme="minorEastAsia"/>
              <w:color w:val="auto"/>
              <w:kern w:val="0"/>
              <w:sz w:val="28"/>
              <w:szCs w:val="28"/>
              <w:lang w:val="en-US" w:eastAsia="zh-CN" w:bidi="ar-SA"/>
            </w:rPr>
          </w:pPr>
          <w:r>
            <w:rPr>
              <w:rFonts w:hint="eastAsia" w:ascii="Times New Roman" w:hAnsi="Times New Roman" w:cs="Times New Roman" w:eastAsiaTheme="minorEastAsia"/>
              <w:color w:val="auto"/>
              <w:kern w:val="0"/>
              <w:sz w:val="28"/>
              <w:szCs w:val="28"/>
              <w:lang w:val="en-US" w:eastAsia="zh-CN" w:bidi="ar-SA"/>
            </w:rPr>
            <w:fldChar w:fldCharType="begin"/>
          </w:r>
          <w:r>
            <w:rPr>
              <w:rFonts w:hint="eastAsia" w:ascii="Times New Roman" w:hAnsi="Times New Roman" w:cs="Times New Roman" w:eastAsiaTheme="minorEastAsia"/>
              <w:color w:val="auto"/>
              <w:kern w:val="0"/>
              <w:sz w:val="28"/>
              <w:szCs w:val="28"/>
              <w:lang w:val="en-US" w:eastAsia="zh-CN" w:bidi="ar-SA"/>
            </w:rPr>
            <w:instrText xml:space="preserve">TOC \o "1-1" \h \u </w:instrText>
          </w:r>
          <w:r>
            <w:rPr>
              <w:rFonts w:hint="eastAsia" w:ascii="Times New Roman" w:hAnsi="Times New Roman" w:cs="Times New Roman" w:eastAsiaTheme="minorEastAsia"/>
              <w:color w:val="auto"/>
              <w:kern w:val="0"/>
              <w:sz w:val="28"/>
              <w:szCs w:val="28"/>
              <w:lang w:val="en-US" w:eastAsia="zh-CN" w:bidi="ar-SA"/>
            </w:rPr>
            <w:fldChar w:fldCharType="separate"/>
          </w:r>
          <w:r>
            <w:rPr>
              <w:rFonts w:hint="eastAsia" w:ascii="Times New Roman" w:hAnsi="Times New Roman" w:cs="Times New Roman" w:eastAsiaTheme="minorEastAsia"/>
              <w:color w:val="auto"/>
              <w:kern w:val="0"/>
              <w:sz w:val="28"/>
              <w:szCs w:val="28"/>
              <w:lang w:val="en-US" w:eastAsia="zh-CN" w:bidi="ar-SA"/>
            </w:rPr>
            <w:fldChar w:fldCharType="begin"/>
          </w:r>
          <w:r>
            <w:rPr>
              <w:rFonts w:hint="eastAsia" w:ascii="Times New Roman" w:hAnsi="Times New Roman" w:cs="Times New Roman" w:eastAsiaTheme="minorEastAsia"/>
              <w:color w:val="auto"/>
              <w:kern w:val="0"/>
              <w:sz w:val="28"/>
              <w:szCs w:val="28"/>
              <w:lang w:val="en-US" w:eastAsia="zh-CN" w:bidi="ar-SA"/>
            </w:rPr>
            <w:instrText xml:space="preserve"> HYPERLINK \l _Toc14289 </w:instrText>
          </w:r>
          <w:r>
            <w:rPr>
              <w:rFonts w:hint="eastAsia" w:ascii="Times New Roman" w:hAnsi="Times New Roman" w:cs="Times New Roman" w:eastAsiaTheme="minorEastAsia"/>
              <w:color w:val="auto"/>
              <w:kern w:val="0"/>
              <w:sz w:val="28"/>
              <w:szCs w:val="28"/>
              <w:lang w:val="en-US" w:eastAsia="zh-CN" w:bidi="ar-SA"/>
            </w:rPr>
            <w:fldChar w:fldCharType="separate"/>
          </w:r>
          <w:r>
            <w:rPr>
              <w:rFonts w:hint="default" w:ascii="Times New Roman" w:hAnsi="Times New Roman" w:cs="Times New Roman" w:eastAsiaTheme="minorEastAsia"/>
              <w:color w:val="auto"/>
              <w:kern w:val="0"/>
              <w:sz w:val="28"/>
              <w:szCs w:val="28"/>
              <w:lang w:val="en-US" w:eastAsia="zh-CN" w:bidi="ar-SA"/>
            </w:rPr>
            <w:t>一、建设项目基本情况</w:t>
          </w:r>
          <w:r>
            <w:rPr>
              <w:rFonts w:hint="default" w:ascii="Times New Roman" w:hAnsi="Times New Roman" w:cs="Times New Roman" w:eastAsiaTheme="minorEastAsia"/>
              <w:color w:val="auto"/>
              <w:kern w:val="0"/>
              <w:sz w:val="28"/>
              <w:szCs w:val="28"/>
              <w:lang w:val="en-US" w:eastAsia="zh-CN" w:bidi="ar-SA"/>
            </w:rPr>
            <w:tab/>
          </w:r>
          <w:r>
            <w:rPr>
              <w:rFonts w:hint="default" w:ascii="Times New Roman" w:hAnsi="Times New Roman" w:cs="Times New Roman" w:eastAsiaTheme="minorEastAsia"/>
              <w:color w:val="auto"/>
              <w:kern w:val="0"/>
              <w:sz w:val="28"/>
              <w:szCs w:val="28"/>
              <w:lang w:val="en-US" w:eastAsia="zh-CN" w:bidi="ar-SA"/>
            </w:rPr>
            <w:fldChar w:fldCharType="begin"/>
          </w:r>
          <w:r>
            <w:rPr>
              <w:rFonts w:hint="default" w:ascii="Times New Roman" w:hAnsi="Times New Roman" w:cs="Times New Roman" w:eastAsiaTheme="minorEastAsia"/>
              <w:color w:val="auto"/>
              <w:kern w:val="0"/>
              <w:sz w:val="28"/>
              <w:szCs w:val="28"/>
              <w:lang w:val="en-US" w:eastAsia="zh-CN" w:bidi="ar-SA"/>
            </w:rPr>
            <w:instrText xml:space="preserve"> PAGEREF _Toc14289 \h </w:instrText>
          </w:r>
          <w:r>
            <w:rPr>
              <w:rFonts w:hint="default" w:ascii="Times New Roman" w:hAnsi="Times New Roman" w:cs="Times New Roman" w:eastAsiaTheme="minorEastAsia"/>
              <w:color w:val="auto"/>
              <w:kern w:val="0"/>
              <w:sz w:val="28"/>
              <w:szCs w:val="28"/>
              <w:lang w:val="en-US" w:eastAsia="zh-CN" w:bidi="ar-SA"/>
            </w:rPr>
            <w:fldChar w:fldCharType="separate"/>
          </w:r>
          <w:r>
            <w:rPr>
              <w:rFonts w:hint="default" w:ascii="Times New Roman" w:hAnsi="Times New Roman" w:cs="Times New Roman" w:eastAsiaTheme="minorEastAsia"/>
              <w:color w:val="auto"/>
              <w:kern w:val="0"/>
              <w:sz w:val="28"/>
              <w:szCs w:val="28"/>
              <w:lang w:val="en-US" w:eastAsia="zh-CN" w:bidi="ar-SA"/>
            </w:rPr>
            <w:t>1</w:t>
          </w:r>
          <w:r>
            <w:rPr>
              <w:rFonts w:hint="default" w:ascii="Times New Roman" w:hAnsi="Times New Roman" w:cs="Times New Roman" w:eastAsiaTheme="minorEastAsia"/>
              <w:color w:val="auto"/>
              <w:kern w:val="0"/>
              <w:sz w:val="28"/>
              <w:szCs w:val="28"/>
              <w:lang w:val="en-US" w:eastAsia="zh-CN" w:bidi="ar-SA"/>
            </w:rPr>
            <w:fldChar w:fldCharType="end"/>
          </w:r>
          <w:r>
            <w:rPr>
              <w:rFonts w:hint="eastAsia" w:ascii="Times New Roman" w:hAnsi="Times New Roman" w:cs="Times New Roman" w:eastAsiaTheme="minorEastAsia"/>
              <w:color w:val="auto"/>
              <w:kern w:val="0"/>
              <w:sz w:val="28"/>
              <w:szCs w:val="28"/>
              <w:lang w:val="en-US" w:eastAsia="zh-CN" w:bidi="ar-SA"/>
            </w:rPr>
            <w:fldChar w:fldCharType="end"/>
          </w:r>
        </w:p>
        <w:p w14:paraId="6DF0E6E7">
          <w:pPr>
            <w:pStyle w:val="27"/>
            <w:tabs>
              <w:tab w:val="right" w:leader="dot" w:pos="8306"/>
              <w:tab w:val="clear" w:pos="420"/>
              <w:tab w:val="clear" w:pos="8303"/>
            </w:tabs>
            <w:rPr>
              <w:rFonts w:hint="default" w:ascii="Times New Roman" w:hAnsi="Times New Roman" w:cs="Times New Roman" w:eastAsiaTheme="minorEastAsia"/>
              <w:color w:val="auto"/>
              <w:kern w:val="0"/>
              <w:sz w:val="28"/>
              <w:szCs w:val="28"/>
              <w:lang w:val="en-US" w:eastAsia="zh-CN" w:bidi="ar-SA"/>
            </w:rPr>
          </w:pPr>
          <w:r>
            <w:rPr>
              <w:rFonts w:hint="eastAsia" w:ascii="Times New Roman" w:hAnsi="Times New Roman" w:cs="Times New Roman" w:eastAsiaTheme="minorEastAsia"/>
              <w:color w:val="auto"/>
              <w:kern w:val="0"/>
              <w:sz w:val="28"/>
              <w:szCs w:val="28"/>
              <w:lang w:val="en-US" w:eastAsia="zh-CN" w:bidi="ar-SA"/>
            </w:rPr>
            <w:fldChar w:fldCharType="begin"/>
          </w:r>
          <w:r>
            <w:rPr>
              <w:rFonts w:hint="eastAsia" w:ascii="Times New Roman" w:hAnsi="Times New Roman" w:cs="Times New Roman" w:eastAsiaTheme="minorEastAsia"/>
              <w:color w:val="auto"/>
              <w:kern w:val="0"/>
              <w:sz w:val="28"/>
              <w:szCs w:val="28"/>
              <w:lang w:val="en-US" w:eastAsia="zh-CN" w:bidi="ar-SA"/>
            </w:rPr>
            <w:instrText xml:space="preserve"> HYPERLINK \l _Toc28015 </w:instrText>
          </w:r>
          <w:r>
            <w:rPr>
              <w:rFonts w:hint="eastAsia" w:ascii="Times New Roman" w:hAnsi="Times New Roman" w:cs="Times New Roman" w:eastAsiaTheme="minorEastAsia"/>
              <w:color w:val="auto"/>
              <w:kern w:val="0"/>
              <w:sz w:val="28"/>
              <w:szCs w:val="28"/>
              <w:lang w:val="en-US" w:eastAsia="zh-CN" w:bidi="ar-SA"/>
            </w:rPr>
            <w:fldChar w:fldCharType="separate"/>
          </w:r>
          <w:r>
            <w:rPr>
              <w:rFonts w:hint="default" w:ascii="Times New Roman" w:hAnsi="Times New Roman" w:cs="Times New Roman" w:eastAsiaTheme="minorEastAsia"/>
              <w:color w:val="auto"/>
              <w:kern w:val="0"/>
              <w:sz w:val="28"/>
              <w:szCs w:val="28"/>
              <w:lang w:val="en-US" w:eastAsia="zh-CN" w:bidi="ar-SA"/>
            </w:rPr>
            <w:t>二、建设项目</w:t>
          </w:r>
          <w:r>
            <w:rPr>
              <w:rFonts w:hint="eastAsia" w:ascii="Times New Roman" w:hAnsi="Times New Roman" w:cs="Times New Roman" w:eastAsiaTheme="minorEastAsia"/>
              <w:color w:val="auto"/>
              <w:kern w:val="0"/>
              <w:sz w:val="28"/>
              <w:szCs w:val="28"/>
              <w:lang w:val="en-US" w:eastAsia="zh-CN" w:bidi="ar-SA"/>
            </w:rPr>
            <w:t>工程分析</w:t>
          </w:r>
          <w:r>
            <w:rPr>
              <w:rFonts w:hint="default" w:ascii="Times New Roman" w:hAnsi="Times New Roman" w:cs="Times New Roman" w:eastAsiaTheme="minorEastAsia"/>
              <w:color w:val="auto"/>
              <w:kern w:val="0"/>
              <w:sz w:val="28"/>
              <w:szCs w:val="28"/>
              <w:lang w:val="en-US" w:eastAsia="zh-CN" w:bidi="ar-SA"/>
            </w:rPr>
            <w:tab/>
          </w:r>
          <w:r>
            <w:rPr>
              <w:rFonts w:hint="default" w:ascii="Times New Roman" w:hAnsi="Times New Roman" w:cs="Times New Roman" w:eastAsiaTheme="minorEastAsia"/>
              <w:color w:val="auto"/>
              <w:kern w:val="0"/>
              <w:sz w:val="28"/>
              <w:szCs w:val="28"/>
              <w:lang w:val="en-US" w:eastAsia="zh-CN" w:bidi="ar-SA"/>
            </w:rPr>
            <w:fldChar w:fldCharType="begin"/>
          </w:r>
          <w:r>
            <w:rPr>
              <w:rFonts w:hint="default" w:ascii="Times New Roman" w:hAnsi="Times New Roman" w:cs="Times New Roman" w:eastAsiaTheme="minorEastAsia"/>
              <w:color w:val="auto"/>
              <w:kern w:val="0"/>
              <w:sz w:val="28"/>
              <w:szCs w:val="28"/>
              <w:lang w:val="en-US" w:eastAsia="zh-CN" w:bidi="ar-SA"/>
            </w:rPr>
            <w:instrText xml:space="preserve"> PAGEREF _Toc28015 \h </w:instrText>
          </w:r>
          <w:r>
            <w:rPr>
              <w:rFonts w:hint="default" w:ascii="Times New Roman" w:hAnsi="Times New Roman" w:cs="Times New Roman" w:eastAsiaTheme="minorEastAsia"/>
              <w:color w:val="auto"/>
              <w:kern w:val="0"/>
              <w:sz w:val="28"/>
              <w:szCs w:val="28"/>
              <w:lang w:val="en-US" w:eastAsia="zh-CN" w:bidi="ar-SA"/>
            </w:rPr>
            <w:fldChar w:fldCharType="separate"/>
          </w:r>
          <w:r>
            <w:rPr>
              <w:rFonts w:hint="default" w:ascii="Times New Roman" w:hAnsi="Times New Roman" w:cs="Times New Roman" w:eastAsiaTheme="minorEastAsia"/>
              <w:color w:val="auto"/>
              <w:kern w:val="0"/>
              <w:sz w:val="28"/>
              <w:szCs w:val="28"/>
              <w:lang w:val="en-US" w:eastAsia="zh-CN" w:bidi="ar-SA"/>
            </w:rPr>
            <w:t>27</w:t>
          </w:r>
          <w:r>
            <w:rPr>
              <w:rFonts w:hint="default" w:ascii="Times New Roman" w:hAnsi="Times New Roman" w:cs="Times New Roman" w:eastAsiaTheme="minorEastAsia"/>
              <w:color w:val="auto"/>
              <w:kern w:val="0"/>
              <w:sz w:val="28"/>
              <w:szCs w:val="28"/>
              <w:lang w:val="en-US" w:eastAsia="zh-CN" w:bidi="ar-SA"/>
            </w:rPr>
            <w:fldChar w:fldCharType="end"/>
          </w:r>
          <w:r>
            <w:rPr>
              <w:rFonts w:hint="eastAsia" w:ascii="Times New Roman" w:hAnsi="Times New Roman" w:cs="Times New Roman" w:eastAsiaTheme="minorEastAsia"/>
              <w:color w:val="auto"/>
              <w:kern w:val="0"/>
              <w:sz w:val="28"/>
              <w:szCs w:val="28"/>
              <w:lang w:val="en-US" w:eastAsia="zh-CN" w:bidi="ar-SA"/>
            </w:rPr>
            <w:fldChar w:fldCharType="end"/>
          </w:r>
        </w:p>
        <w:p w14:paraId="352B6FD8">
          <w:pPr>
            <w:pStyle w:val="27"/>
            <w:tabs>
              <w:tab w:val="right" w:leader="dot" w:pos="8306"/>
              <w:tab w:val="clear" w:pos="420"/>
              <w:tab w:val="clear" w:pos="8303"/>
            </w:tabs>
            <w:rPr>
              <w:rFonts w:hint="default" w:ascii="Times New Roman" w:hAnsi="Times New Roman" w:cs="Times New Roman" w:eastAsiaTheme="minorEastAsia"/>
              <w:color w:val="auto"/>
              <w:kern w:val="0"/>
              <w:sz w:val="28"/>
              <w:szCs w:val="28"/>
              <w:lang w:val="en-US" w:eastAsia="zh-CN" w:bidi="ar-SA"/>
            </w:rPr>
          </w:pPr>
          <w:r>
            <w:rPr>
              <w:rFonts w:hint="eastAsia" w:ascii="Times New Roman" w:hAnsi="Times New Roman" w:cs="Times New Roman" w:eastAsiaTheme="minorEastAsia"/>
              <w:color w:val="auto"/>
              <w:kern w:val="0"/>
              <w:sz w:val="28"/>
              <w:szCs w:val="28"/>
              <w:lang w:val="en-US" w:eastAsia="zh-CN" w:bidi="ar-SA"/>
            </w:rPr>
            <w:fldChar w:fldCharType="begin"/>
          </w:r>
          <w:r>
            <w:rPr>
              <w:rFonts w:hint="eastAsia" w:ascii="Times New Roman" w:hAnsi="Times New Roman" w:cs="Times New Roman" w:eastAsiaTheme="minorEastAsia"/>
              <w:color w:val="auto"/>
              <w:kern w:val="0"/>
              <w:sz w:val="28"/>
              <w:szCs w:val="28"/>
              <w:lang w:val="en-US" w:eastAsia="zh-CN" w:bidi="ar-SA"/>
            </w:rPr>
            <w:instrText xml:space="preserve"> HYPERLINK \l _Toc26864 </w:instrText>
          </w:r>
          <w:r>
            <w:rPr>
              <w:rFonts w:hint="eastAsia" w:ascii="Times New Roman" w:hAnsi="Times New Roman" w:cs="Times New Roman" w:eastAsiaTheme="minorEastAsia"/>
              <w:color w:val="auto"/>
              <w:kern w:val="0"/>
              <w:sz w:val="28"/>
              <w:szCs w:val="28"/>
              <w:lang w:val="en-US" w:eastAsia="zh-CN" w:bidi="ar-SA"/>
            </w:rPr>
            <w:fldChar w:fldCharType="separate"/>
          </w:r>
          <w:r>
            <w:rPr>
              <w:rFonts w:hint="default" w:ascii="Times New Roman" w:hAnsi="Times New Roman" w:cs="Times New Roman" w:eastAsiaTheme="minorEastAsia"/>
              <w:color w:val="auto"/>
              <w:kern w:val="0"/>
              <w:sz w:val="28"/>
              <w:szCs w:val="28"/>
              <w:lang w:val="en-US" w:eastAsia="zh-CN" w:bidi="ar-SA"/>
            </w:rPr>
            <w:t>三、</w:t>
          </w:r>
          <w:r>
            <w:rPr>
              <w:rFonts w:hint="eastAsia" w:ascii="Times New Roman" w:hAnsi="Times New Roman" w:cs="Times New Roman" w:eastAsiaTheme="minorEastAsia"/>
              <w:color w:val="auto"/>
              <w:kern w:val="0"/>
              <w:sz w:val="28"/>
              <w:szCs w:val="28"/>
              <w:lang w:val="en-US" w:eastAsia="zh-CN" w:bidi="ar-SA"/>
            </w:rPr>
            <w:t>区域</w:t>
          </w:r>
          <w:r>
            <w:rPr>
              <w:rFonts w:hint="default" w:ascii="Times New Roman" w:hAnsi="Times New Roman" w:cs="Times New Roman" w:eastAsiaTheme="minorEastAsia"/>
              <w:color w:val="auto"/>
              <w:kern w:val="0"/>
              <w:sz w:val="28"/>
              <w:szCs w:val="28"/>
              <w:lang w:val="en-US" w:eastAsia="zh-CN" w:bidi="ar-SA"/>
            </w:rPr>
            <w:t>环境质量状况</w:t>
          </w:r>
          <w:r>
            <w:rPr>
              <w:rFonts w:hint="eastAsia" w:ascii="Times New Roman" w:hAnsi="Times New Roman" w:cs="Times New Roman" w:eastAsiaTheme="minorEastAsia"/>
              <w:color w:val="auto"/>
              <w:kern w:val="0"/>
              <w:sz w:val="28"/>
              <w:szCs w:val="28"/>
              <w:lang w:val="en-US" w:eastAsia="zh-CN" w:bidi="ar-SA"/>
            </w:rPr>
            <w:t>、环境保护目标及评价标准</w:t>
          </w:r>
          <w:r>
            <w:rPr>
              <w:rFonts w:hint="default" w:ascii="Times New Roman" w:hAnsi="Times New Roman" w:cs="Times New Roman" w:eastAsiaTheme="minorEastAsia"/>
              <w:color w:val="auto"/>
              <w:kern w:val="0"/>
              <w:sz w:val="28"/>
              <w:szCs w:val="28"/>
              <w:lang w:val="en-US" w:eastAsia="zh-CN" w:bidi="ar-SA"/>
            </w:rPr>
            <w:tab/>
          </w:r>
          <w:r>
            <w:rPr>
              <w:rFonts w:hint="default" w:ascii="Times New Roman" w:hAnsi="Times New Roman" w:cs="Times New Roman" w:eastAsiaTheme="minorEastAsia"/>
              <w:color w:val="auto"/>
              <w:kern w:val="0"/>
              <w:sz w:val="28"/>
              <w:szCs w:val="28"/>
              <w:lang w:val="en-US" w:eastAsia="zh-CN" w:bidi="ar-SA"/>
            </w:rPr>
            <w:fldChar w:fldCharType="begin"/>
          </w:r>
          <w:r>
            <w:rPr>
              <w:rFonts w:hint="default" w:ascii="Times New Roman" w:hAnsi="Times New Roman" w:cs="Times New Roman" w:eastAsiaTheme="minorEastAsia"/>
              <w:color w:val="auto"/>
              <w:kern w:val="0"/>
              <w:sz w:val="28"/>
              <w:szCs w:val="28"/>
              <w:lang w:val="en-US" w:eastAsia="zh-CN" w:bidi="ar-SA"/>
            </w:rPr>
            <w:instrText xml:space="preserve"> PAGEREF _Toc26864 \h </w:instrText>
          </w:r>
          <w:r>
            <w:rPr>
              <w:rFonts w:hint="default" w:ascii="Times New Roman" w:hAnsi="Times New Roman" w:cs="Times New Roman" w:eastAsiaTheme="minorEastAsia"/>
              <w:color w:val="auto"/>
              <w:kern w:val="0"/>
              <w:sz w:val="28"/>
              <w:szCs w:val="28"/>
              <w:lang w:val="en-US" w:eastAsia="zh-CN" w:bidi="ar-SA"/>
            </w:rPr>
            <w:fldChar w:fldCharType="separate"/>
          </w:r>
          <w:r>
            <w:rPr>
              <w:rFonts w:hint="default" w:ascii="Times New Roman" w:hAnsi="Times New Roman" w:cs="Times New Roman" w:eastAsiaTheme="minorEastAsia"/>
              <w:color w:val="auto"/>
              <w:kern w:val="0"/>
              <w:sz w:val="28"/>
              <w:szCs w:val="28"/>
              <w:lang w:val="en-US" w:eastAsia="zh-CN" w:bidi="ar-SA"/>
            </w:rPr>
            <w:t>39</w:t>
          </w:r>
          <w:r>
            <w:rPr>
              <w:rFonts w:hint="default" w:ascii="Times New Roman" w:hAnsi="Times New Roman" w:cs="Times New Roman" w:eastAsiaTheme="minorEastAsia"/>
              <w:color w:val="auto"/>
              <w:kern w:val="0"/>
              <w:sz w:val="28"/>
              <w:szCs w:val="28"/>
              <w:lang w:val="en-US" w:eastAsia="zh-CN" w:bidi="ar-SA"/>
            </w:rPr>
            <w:fldChar w:fldCharType="end"/>
          </w:r>
          <w:r>
            <w:rPr>
              <w:rFonts w:hint="eastAsia" w:ascii="Times New Roman" w:hAnsi="Times New Roman" w:cs="Times New Roman" w:eastAsiaTheme="minorEastAsia"/>
              <w:color w:val="auto"/>
              <w:kern w:val="0"/>
              <w:sz w:val="28"/>
              <w:szCs w:val="28"/>
              <w:lang w:val="en-US" w:eastAsia="zh-CN" w:bidi="ar-SA"/>
            </w:rPr>
            <w:fldChar w:fldCharType="end"/>
          </w:r>
        </w:p>
        <w:p w14:paraId="4883E3B0">
          <w:pPr>
            <w:pStyle w:val="27"/>
            <w:tabs>
              <w:tab w:val="right" w:leader="dot" w:pos="8306"/>
              <w:tab w:val="clear" w:pos="420"/>
              <w:tab w:val="clear" w:pos="8303"/>
            </w:tabs>
            <w:rPr>
              <w:rFonts w:hint="default" w:ascii="Times New Roman" w:hAnsi="Times New Roman" w:cs="Times New Roman" w:eastAsiaTheme="minorEastAsia"/>
              <w:color w:val="auto"/>
              <w:kern w:val="0"/>
              <w:sz w:val="28"/>
              <w:szCs w:val="28"/>
              <w:lang w:val="en-US" w:eastAsia="zh-CN" w:bidi="ar-SA"/>
            </w:rPr>
          </w:pPr>
          <w:r>
            <w:rPr>
              <w:rFonts w:hint="eastAsia" w:ascii="Times New Roman" w:hAnsi="Times New Roman" w:cs="Times New Roman" w:eastAsiaTheme="minorEastAsia"/>
              <w:color w:val="auto"/>
              <w:kern w:val="0"/>
              <w:sz w:val="28"/>
              <w:szCs w:val="28"/>
              <w:lang w:val="en-US" w:eastAsia="zh-CN" w:bidi="ar-SA"/>
            </w:rPr>
            <w:fldChar w:fldCharType="begin"/>
          </w:r>
          <w:r>
            <w:rPr>
              <w:rFonts w:hint="eastAsia" w:ascii="Times New Roman" w:hAnsi="Times New Roman" w:cs="Times New Roman" w:eastAsiaTheme="minorEastAsia"/>
              <w:color w:val="auto"/>
              <w:kern w:val="0"/>
              <w:sz w:val="28"/>
              <w:szCs w:val="28"/>
              <w:lang w:val="en-US" w:eastAsia="zh-CN" w:bidi="ar-SA"/>
            </w:rPr>
            <w:instrText xml:space="preserve"> HYPERLINK \l _Toc18447 </w:instrText>
          </w:r>
          <w:r>
            <w:rPr>
              <w:rFonts w:hint="eastAsia" w:ascii="Times New Roman" w:hAnsi="Times New Roman" w:cs="Times New Roman" w:eastAsiaTheme="minorEastAsia"/>
              <w:color w:val="auto"/>
              <w:kern w:val="0"/>
              <w:sz w:val="28"/>
              <w:szCs w:val="28"/>
              <w:lang w:val="en-US" w:eastAsia="zh-CN" w:bidi="ar-SA"/>
            </w:rPr>
            <w:fldChar w:fldCharType="separate"/>
          </w:r>
          <w:r>
            <w:rPr>
              <w:rFonts w:hint="default" w:ascii="Times New Roman" w:hAnsi="Times New Roman" w:cs="Times New Roman" w:eastAsiaTheme="minorEastAsia"/>
              <w:color w:val="auto"/>
              <w:kern w:val="0"/>
              <w:sz w:val="28"/>
              <w:szCs w:val="28"/>
              <w:lang w:val="en-US" w:eastAsia="zh-CN" w:bidi="ar-SA"/>
            </w:rPr>
            <w:t>四、</w:t>
          </w:r>
          <w:r>
            <w:rPr>
              <w:rFonts w:hint="eastAsia" w:ascii="Times New Roman" w:hAnsi="Times New Roman" w:cs="Times New Roman" w:eastAsiaTheme="minorEastAsia"/>
              <w:color w:val="auto"/>
              <w:kern w:val="0"/>
              <w:sz w:val="28"/>
              <w:szCs w:val="28"/>
              <w:lang w:val="en-US" w:eastAsia="zh-CN" w:bidi="ar-SA"/>
            </w:rPr>
            <w:t>主要环境影响和保护措施</w:t>
          </w:r>
          <w:r>
            <w:rPr>
              <w:rFonts w:hint="default" w:ascii="Times New Roman" w:hAnsi="Times New Roman" w:cs="Times New Roman" w:eastAsiaTheme="minorEastAsia"/>
              <w:color w:val="auto"/>
              <w:kern w:val="0"/>
              <w:sz w:val="28"/>
              <w:szCs w:val="28"/>
              <w:lang w:val="en-US" w:eastAsia="zh-CN" w:bidi="ar-SA"/>
            </w:rPr>
            <w:tab/>
          </w:r>
          <w:r>
            <w:rPr>
              <w:rFonts w:hint="default" w:ascii="Times New Roman" w:hAnsi="Times New Roman" w:cs="Times New Roman" w:eastAsiaTheme="minorEastAsia"/>
              <w:color w:val="auto"/>
              <w:kern w:val="0"/>
              <w:sz w:val="28"/>
              <w:szCs w:val="28"/>
              <w:lang w:val="en-US" w:eastAsia="zh-CN" w:bidi="ar-SA"/>
            </w:rPr>
            <w:fldChar w:fldCharType="begin"/>
          </w:r>
          <w:r>
            <w:rPr>
              <w:rFonts w:hint="default" w:ascii="Times New Roman" w:hAnsi="Times New Roman" w:cs="Times New Roman" w:eastAsiaTheme="minorEastAsia"/>
              <w:color w:val="auto"/>
              <w:kern w:val="0"/>
              <w:sz w:val="28"/>
              <w:szCs w:val="28"/>
              <w:lang w:val="en-US" w:eastAsia="zh-CN" w:bidi="ar-SA"/>
            </w:rPr>
            <w:instrText xml:space="preserve"> PAGEREF _Toc18447 \h </w:instrText>
          </w:r>
          <w:r>
            <w:rPr>
              <w:rFonts w:hint="default" w:ascii="Times New Roman" w:hAnsi="Times New Roman" w:cs="Times New Roman" w:eastAsiaTheme="minorEastAsia"/>
              <w:color w:val="auto"/>
              <w:kern w:val="0"/>
              <w:sz w:val="28"/>
              <w:szCs w:val="28"/>
              <w:lang w:val="en-US" w:eastAsia="zh-CN" w:bidi="ar-SA"/>
            </w:rPr>
            <w:fldChar w:fldCharType="separate"/>
          </w:r>
          <w:r>
            <w:rPr>
              <w:rFonts w:hint="default" w:ascii="Times New Roman" w:hAnsi="Times New Roman" w:cs="Times New Roman" w:eastAsiaTheme="minorEastAsia"/>
              <w:color w:val="auto"/>
              <w:kern w:val="0"/>
              <w:sz w:val="28"/>
              <w:szCs w:val="28"/>
              <w:lang w:val="en-US" w:eastAsia="zh-CN" w:bidi="ar-SA"/>
            </w:rPr>
            <w:t>52</w:t>
          </w:r>
          <w:r>
            <w:rPr>
              <w:rFonts w:hint="default" w:ascii="Times New Roman" w:hAnsi="Times New Roman" w:cs="Times New Roman" w:eastAsiaTheme="minorEastAsia"/>
              <w:color w:val="auto"/>
              <w:kern w:val="0"/>
              <w:sz w:val="28"/>
              <w:szCs w:val="28"/>
              <w:lang w:val="en-US" w:eastAsia="zh-CN" w:bidi="ar-SA"/>
            </w:rPr>
            <w:fldChar w:fldCharType="end"/>
          </w:r>
          <w:r>
            <w:rPr>
              <w:rFonts w:hint="eastAsia" w:ascii="Times New Roman" w:hAnsi="Times New Roman" w:cs="Times New Roman" w:eastAsiaTheme="minorEastAsia"/>
              <w:color w:val="auto"/>
              <w:kern w:val="0"/>
              <w:sz w:val="28"/>
              <w:szCs w:val="28"/>
              <w:lang w:val="en-US" w:eastAsia="zh-CN" w:bidi="ar-SA"/>
            </w:rPr>
            <w:fldChar w:fldCharType="end"/>
          </w:r>
        </w:p>
        <w:p w14:paraId="6E06D5FF">
          <w:pPr>
            <w:pStyle w:val="27"/>
            <w:tabs>
              <w:tab w:val="right" w:leader="dot" w:pos="8306"/>
              <w:tab w:val="clear" w:pos="420"/>
              <w:tab w:val="clear" w:pos="8303"/>
            </w:tabs>
            <w:rPr>
              <w:rFonts w:hint="default" w:ascii="Times New Roman" w:hAnsi="Times New Roman" w:cs="Times New Roman" w:eastAsiaTheme="minorEastAsia"/>
              <w:color w:val="auto"/>
              <w:kern w:val="0"/>
              <w:sz w:val="28"/>
              <w:szCs w:val="28"/>
              <w:lang w:val="en-US" w:eastAsia="zh-CN" w:bidi="ar-SA"/>
            </w:rPr>
          </w:pPr>
          <w:r>
            <w:rPr>
              <w:rFonts w:hint="eastAsia" w:ascii="Times New Roman" w:hAnsi="Times New Roman" w:cs="Times New Roman" w:eastAsiaTheme="minorEastAsia"/>
              <w:color w:val="auto"/>
              <w:kern w:val="0"/>
              <w:sz w:val="28"/>
              <w:szCs w:val="28"/>
              <w:lang w:val="en-US" w:eastAsia="zh-CN" w:bidi="ar-SA"/>
            </w:rPr>
            <w:fldChar w:fldCharType="begin"/>
          </w:r>
          <w:r>
            <w:rPr>
              <w:rFonts w:hint="eastAsia" w:ascii="Times New Roman" w:hAnsi="Times New Roman" w:cs="Times New Roman" w:eastAsiaTheme="minorEastAsia"/>
              <w:color w:val="auto"/>
              <w:kern w:val="0"/>
              <w:sz w:val="28"/>
              <w:szCs w:val="28"/>
              <w:lang w:val="en-US" w:eastAsia="zh-CN" w:bidi="ar-SA"/>
            </w:rPr>
            <w:instrText xml:space="preserve"> HYPERLINK \l _Toc444 </w:instrText>
          </w:r>
          <w:r>
            <w:rPr>
              <w:rFonts w:hint="eastAsia" w:ascii="Times New Roman" w:hAnsi="Times New Roman" w:cs="Times New Roman" w:eastAsiaTheme="minorEastAsia"/>
              <w:color w:val="auto"/>
              <w:kern w:val="0"/>
              <w:sz w:val="28"/>
              <w:szCs w:val="28"/>
              <w:lang w:val="en-US" w:eastAsia="zh-CN" w:bidi="ar-SA"/>
            </w:rPr>
            <w:fldChar w:fldCharType="separate"/>
          </w:r>
          <w:r>
            <w:rPr>
              <w:rFonts w:hint="default" w:ascii="Times New Roman" w:hAnsi="Times New Roman" w:cs="Times New Roman" w:eastAsiaTheme="minorEastAsia"/>
              <w:color w:val="auto"/>
              <w:kern w:val="0"/>
              <w:sz w:val="28"/>
              <w:szCs w:val="28"/>
              <w:lang w:val="en-US" w:eastAsia="zh-CN" w:bidi="ar-SA"/>
            </w:rPr>
            <w:t>五、</w:t>
          </w:r>
          <w:r>
            <w:rPr>
              <w:rFonts w:hint="eastAsia" w:ascii="Times New Roman" w:hAnsi="Times New Roman" w:cs="Times New Roman" w:eastAsiaTheme="minorEastAsia"/>
              <w:color w:val="auto"/>
              <w:kern w:val="0"/>
              <w:sz w:val="28"/>
              <w:szCs w:val="28"/>
              <w:lang w:val="en-US" w:eastAsia="zh-CN" w:bidi="ar-SA"/>
            </w:rPr>
            <w:t>环境保护措施监督检查清单</w:t>
          </w:r>
          <w:r>
            <w:rPr>
              <w:rFonts w:hint="default" w:ascii="Times New Roman" w:hAnsi="Times New Roman" w:cs="Times New Roman" w:eastAsiaTheme="minorEastAsia"/>
              <w:color w:val="auto"/>
              <w:kern w:val="0"/>
              <w:sz w:val="28"/>
              <w:szCs w:val="28"/>
              <w:lang w:val="en-US" w:eastAsia="zh-CN" w:bidi="ar-SA"/>
            </w:rPr>
            <w:tab/>
          </w:r>
          <w:r>
            <w:rPr>
              <w:rFonts w:hint="default" w:ascii="Times New Roman" w:hAnsi="Times New Roman" w:cs="Times New Roman" w:eastAsiaTheme="minorEastAsia"/>
              <w:color w:val="auto"/>
              <w:kern w:val="0"/>
              <w:sz w:val="28"/>
              <w:szCs w:val="28"/>
              <w:lang w:val="en-US" w:eastAsia="zh-CN" w:bidi="ar-SA"/>
            </w:rPr>
            <w:fldChar w:fldCharType="begin"/>
          </w:r>
          <w:r>
            <w:rPr>
              <w:rFonts w:hint="default" w:ascii="Times New Roman" w:hAnsi="Times New Roman" w:cs="Times New Roman" w:eastAsiaTheme="minorEastAsia"/>
              <w:color w:val="auto"/>
              <w:kern w:val="0"/>
              <w:sz w:val="28"/>
              <w:szCs w:val="28"/>
              <w:lang w:val="en-US" w:eastAsia="zh-CN" w:bidi="ar-SA"/>
            </w:rPr>
            <w:instrText xml:space="preserve"> PAGEREF _Toc444 \h </w:instrText>
          </w:r>
          <w:r>
            <w:rPr>
              <w:rFonts w:hint="default" w:ascii="Times New Roman" w:hAnsi="Times New Roman" w:cs="Times New Roman" w:eastAsiaTheme="minorEastAsia"/>
              <w:color w:val="auto"/>
              <w:kern w:val="0"/>
              <w:sz w:val="28"/>
              <w:szCs w:val="28"/>
              <w:lang w:val="en-US" w:eastAsia="zh-CN" w:bidi="ar-SA"/>
            </w:rPr>
            <w:fldChar w:fldCharType="separate"/>
          </w:r>
          <w:r>
            <w:rPr>
              <w:rFonts w:hint="default" w:ascii="Times New Roman" w:hAnsi="Times New Roman" w:cs="Times New Roman" w:eastAsiaTheme="minorEastAsia"/>
              <w:color w:val="auto"/>
              <w:kern w:val="0"/>
              <w:sz w:val="28"/>
              <w:szCs w:val="28"/>
              <w:lang w:val="en-US" w:eastAsia="zh-CN" w:bidi="ar-SA"/>
            </w:rPr>
            <w:t>91</w:t>
          </w:r>
          <w:r>
            <w:rPr>
              <w:rFonts w:hint="default" w:ascii="Times New Roman" w:hAnsi="Times New Roman" w:cs="Times New Roman" w:eastAsiaTheme="minorEastAsia"/>
              <w:color w:val="auto"/>
              <w:kern w:val="0"/>
              <w:sz w:val="28"/>
              <w:szCs w:val="28"/>
              <w:lang w:val="en-US" w:eastAsia="zh-CN" w:bidi="ar-SA"/>
            </w:rPr>
            <w:fldChar w:fldCharType="end"/>
          </w:r>
          <w:r>
            <w:rPr>
              <w:rFonts w:hint="eastAsia" w:ascii="Times New Roman" w:hAnsi="Times New Roman" w:cs="Times New Roman" w:eastAsiaTheme="minorEastAsia"/>
              <w:color w:val="auto"/>
              <w:kern w:val="0"/>
              <w:sz w:val="28"/>
              <w:szCs w:val="28"/>
              <w:lang w:val="en-US" w:eastAsia="zh-CN" w:bidi="ar-SA"/>
            </w:rPr>
            <w:fldChar w:fldCharType="end"/>
          </w:r>
        </w:p>
        <w:p w14:paraId="1183E90F">
          <w:pPr>
            <w:pStyle w:val="27"/>
            <w:tabs>
              <w:tab w:val="right" w:leader="dot" w:pos="8306"/>
              <w:tab w:val="clear" w:pos="420"/>
              <w:tab w:val="clear" w:pos="8303"/>
            </w:tabs>
            <w:rPr>
              <w:rFonts w:hint="default" w:ascii="Times New Roman" w:hAnsi="Times New Roman" w:cs="Times New Roman" w:eastAsiaTheme="minorEastAsia"/>
              <w:color w:val="auto"/>
              <w:kern w:val="0"/>
              <w:sz w:val="28"/>
              <w:szCs w:val="28"/>
              <w:lang w:val="en-US" w:eastAsia="zh-CN" w:bidi="ar-SA"/>
            </w:rPr>
          </w:pPr>
          <w:r>
            <w:rPr>
              <w:rFonts w:hint="eastAsia" w:ascii="Times New Roman" w:hAnsi="Times New Roman" w:cs="Times New Roman" w:eastAsiaTheme="minorEastAsia"/>
              <w:color w:val="auto"/>
              <w:kern w:val="0"/>
              <w:sz w:val="28"/>
              <w:szCs w:val="28"/>
              <w:lang w:val="en-US" w:eastAsia="zh-CN" w:bidi="ar-SA"/>
            </w:rPr>
            <w:fldChar w:fldCharType="begin"/>
          </w:r>
          <w:r>
            <w:rPr>
              <w:rFonts w:hint="eastAsia" w:ascii="Times New Roman" w:hAnsi="Times New Roman" w:cs="Times New Roman" w:eastAsiaTheme="minorEastAsia"/>
              <w:color w:val="auto"/>
              <w:kern w:val="0"/>
              <w:sz w:val="28"/>
              <w:szCs w:val="28"/>
              <w:lang w:val="en-US" w:eastAsia="zh-CN" w:bidi="ar-SA"/>
            </w:rPr>
            <w:instrText xml:space="preserve"> HYPERLINK \l _Toc11209 </w:instrText>
          </w:r>
          <w:r>
            <w:rPr>
              <w:rFonts w:hint="eastAsia" w:ascii="Times New Roman" w:hAnsi="Times New Roman" w:cs="Times New Roman" w:eastAsiaTheme="minorEastAsia"/>
              <w:color w:val="auto"/>
              <w:kern w:val="0"/>
              <w:sz w:val="28"/>
              <w:szCs w:val="28"/>
              <w:lang w:val="en-US" w:eastAsia="zh-CN" w:bidi="ar-SA"/>
            </w:rPr>
            <w:fldChar w:fldCharType="separate"/>
          </w:r>
          <w:r>
            <w:rPr>
              <w:rFonts w:hint="eastAsia" w:ascii="Times New Roman" w:hAnsi="Times New Roman" w:cs="Times New Roman" w:eastAsiaTheme="minorEastAsia"/>
              <w:color w:val="auto"/>
              <w:kern w:val="0"/>
              <w:sz w:val="28"/>
              <w:szCs w:val="28"/>
              <w:lang w:val="en-US" w:eastAsia="zh-CN" w:bidi="ar-SA"/>
            </w:rPr>
            <w:t>六</w:t>
          </w:r>
          <w:r>
            <w:rPr>
              <w:rFonts w:hint="default" w:ascii="Times New Roman" w:hAnsi="Times New Roman" w:cs="Times New Roman" w:eastAsiaTheme="minorEastAsia"/>
              <w:color w:val="auto"/>
              <w:kern w:val="0"/>
              <w:sz w:val="28"/>
              <w:szCs w:val="28"/>
              <w:lang w:val="en-US" w:eastAsia="zh-CN" w:bidi="ar-SA"/>
            </w:rPr>
            <w:t>、结论</w:t>
          </w:r>
          <w:r>
            <w:rPr>
              <w:rFonts w:hint="default" w:ascii="Times New Roman" w:hAnsi="Times New Roman" w:cs="Times New Roman" w:eastAsiaTheme="minorEastAsia"/>
              <w:color w:val="auto"/>
              <w:kern w:val="0"/>
              <w:sz w:val="28"/>
              <w:szCs w:val="28"/>
              <w:lang w:val="en-US" w:eastAsia="zh-CN" w:bidi="ar-SA"/>
            </w:rPr>
            <w:tab/>
          </w:r>
          <w:r>
            <w:rPr>
              <w:rFonts w:hint="default" w:ascii="Times New Roman" w:hAnsi="Times New Roman" w:cs="Times New Roman" w:eastAsiaTheme="minorEastAsia"/>
              <w:color w:val="auto"/>
              <w:kern w:val="0"/>
              <w:sz w:val="28"/>
              <w:szCs w:val="28"/>
              <w:lang w:val="en-US" w:eastAsia="zh-CN" w:bidi="ar-SA"/>
            </w:rPr>
            <w:fldChar w:fldCharType="begin"/>
          </w:r>
          <w:r>
            <w:rPr>
              <w:rFonts w:hint="default" w:ascii="Times New Roman" w:hAnsi="Times New Roman" w:cs="Times New Roman" w:eastAsiaTheme="minorEastAsia"/>
              <w:color w:val="auto"/>
              <w:kern w:val="0"/>
              <w:sz w:val="28"/>
              <w:szCs w:val="28"/>
              <w:lang w:val="en-US" w:eastAsia="zh-CN" w:bidi="ar-SA"/>
            </w:rPr>
            <w:instrText xml:space="preserve"> PAGEREF _Toc11209 \h </w:instrText>
          </w:r>
          <w:r>
            <w:rPr>
              <w:rFonts w:hint="default" w:ascii="Times New Roman" w:hAnsi="Times New Roman" w:cs="Times New Roman" w:eastAsiaTheme="minorEastAsia"/>
              <w:color w:val="auto"/>
              <w:kern w:val="0"/>
              <w:sz w:val="28"/>
              <w:szCs w:val="28"/>
              <w:lang w:val="en-US" w:eastAsia="zh-CN" w:bidi="ar-SA"/>
            </w:rPr>
            <w:fldChar w:fldCharType="separate"/>
          </w:r>
          <w:r>
            <w:rPr>
              <w:rFonts w:hint="default" w:ascii="Times New Roman" w:hAnsi="Times New Roman" w:cs="Times New Roman" w:eastAsiaTheme="minorEastAsia"/>
              <w:color w:val="auto"/>
              <w:kern w:val="0"/>
              <w:sz w:val="28"/>
              <w:szCs w:val="28"/>
              <w:lang w:val="en-US" w:eastAsia="zh-CN" w:bidi="ar-SA"/>
            </w:rPr>
            <w:t>93</w:t>
          </w:r>
          <w:r>
            <w:rPr>
              <w:rFonts w:hint="default" w:ascii="Times New Roman" w:hAnsi="Times New Roman" w:cs="Times New Roman" w:eastAsiaTheme="minorEastAsia"/>
              <w:color w:val="auto"/>
              <w:kern w:val="0"/>
              <w:sz w:val="28"/>
              <w:szCs w:val="28"/>
              <w:lang w:val="en-US" w:eastAsia="zh-CN" w:bidi="ar-SA"/>
            </w:rPr>
            <w:fldChar w:fldCharType="end"/>
          </w:r>
          <w:r>
            <w:rPr>
              <w:rFonts w:hint="eastAsia" w:ascii="Times New Roman" w:hAnsi="Times New Roman" w:cs="Times New Roman" w:eastAsiaTheme="minorEastAsia"/>
              <w:color w:val="auto"/>
              <w:kern w:val="0"/>
              <w:sz w:val="28"/>
              <w:szCs w:val="28"/>
              <w:lang w:val="en-US" w:eastAsia="zh-CN" w:bidi="ar-SA"/>
            </w:rPr>
            <w:fldChar w:fldCharType="end"/>
          </w:r>
        </w:p>
        <w:p w14:paraId="1680C780">
          <w:pPr>
            <w:pStyle w:val="27"/>
            <w:tabs>
              <w:tab w:val="right" w:leader="dot" w:pos="8306"/>
              <w:tab w:val="clear" w:pos="420"/>
              <w:tab w:val="clear" w:pos="8303"/>
            </w:tabs>
            <w:rPr>
              <w:rFonts w:hint="default" w:ascii="Times New Roman" w:hAnsi="Times New Roman" w:cs="Times New Roman" w:eastAsiaTheme="minorEastAsia"/>
              <w:color w:val="auto"/>
              <w:kern w:val="0"/>
              <w:sz w:val="28"/>
              <w:szCs w:val="28"/>
              <w:lang w:val="en-US" w:eastAsia="zh-CN" w:bidi="ar-SA"/>
            </w:rPr>
          </w:pPr>
          <w:r>
            <w:rPr>
              <w:rFonts w:hint="eastAsia" w:ascii="Times New Roman" w:hAnsi="Times New Roman" w:cs="Times New Roman" w:eastAsiaTheme="minorEastAsia"/>
              <w:color w:val="auto"/>
              <w:kern w:val="0"/>
              <w:sz w:val="28"/>
              <w:szCs w:val="28"/>
              <w:lang w:val="en-US" w:eastAsia="zh-CN" w:bidi="ar-SA"/>
            </w:rPr>
            <w:fldChar w:fldCharType="begin"/>
          </w:r>
          <w:r>
            <w:rPr>
              <w:rFonts w:hint="eastAsia" w:ascii="Times New Roman" w:hAnsi="Times New Roman" w:cs="Times New Roman" w:eastAsiaTheme="minorEastAsia"/>
              <w:color w:val="auto"/>
              <w:kern w:val="0"/>
              <w:sz w:val="28"/>
              <w:szCs w:val="28"/>
              <w:lang w:val="en-US" w:eastAsia="zh-CN" w:bidi="ar-SA"/>
            </w:rPr>
            <w:instrText xml:space="preserve"> HYPERLINK \l _Toc21462 </w:instrText>
          </w:r>
          <w:r>
            <w:rPr>
              <w:rFonts w:hint="eastAsia" w:ascii="Times New Roman" w:hAnsi="Times New Roman" w:cs="Times New Roman" w:eastAsiaTheme="minorEastAsia"/>
              <w:color w:val="auto"/>
              <w:kern w:val="0"/>
              <w:sz w:val="28"/>
              <w:szCs w:val="28"/>
              <w:lang w:val="en-US" w:eastAsia="zh-CN" w:bidi="ar-SA"/>
            </w:rPr>
            <w:fldChar w:fldCharType="separate"/>
          </w:r>
          <w:r>
            <w:rPr>
              <w:rFonts w:hint="eastAsia" w:ascii="Times New Roman" w:hAnsi="Times New Roman" w:cs="Times New Roman" w:eastAsiaTheme="minorEastAsia"/>
              <w:color w:val="auto"/>
              <w:kern w:val="0"/>
              <w:sz w:val="28"/>
              <w:szCs w:val="28"/>
              <w:lang w:val="en-US" w:eastAsia="zh-CN" w:bidi="ar-SA"/>
            </w:rPr>
            <w:t>附表</w:t>
          </w:r>
          <w:r>
            <w:rPr>
              <w:rFonts w:hint="default" w:ascii="Times New Roman" w:hAnsi="Times New Roman" w:cs="Times New Roman" w:eastAsiaTheme="minorEastAsia"/>
              <w:color w:val="auto"/>
              <w:kern w:val="0"/>
              <w:sz w:val="28"/>
              <w:szCs w:val="28"/>
              <w:lang w:val="en-US" w:eastAsia="zh-CN" w:bidi="ar-SA"/>
            </w:rPr>
            <w:tab/>
          </w:r>
          <w:r>
            <w:rPr>
              <w:rFonts w:hint="default" w:ascii="Times New Roman" w:hAnsi="Times New Roman" w:cs="Times New Roman" w:eastAsiaTheme="minorEastAsia"/>
              <w:color w:val="auto"/>
              <w:kern w:val="0"/>
              <w:sz w:val="28"/>
              <w:szCs w:val="28"/>
              <w:lang w:val="en-US" w:eastAsia="zh-CN" w:bidi="ar-SA"/>
            </w:rPr>
            <w:fldChar w:fldCharType="begin"/>
          </w:r>
          <w:r>
            <w:rPr>
              <w:rFonts w:hint="default" w:ascii="Times New Roman" w:hAnsi="Times New Roman" w:cs="Times New Roman" w:eastAsiaTheme="minorEastAsia"/>
              <w:color w:val="auto"/>
              <w:kern w:val="0"/>
              <w:sz w:val="28"/>
              <w:szCs w:val="28"/>
              <w:lang w:val="en-US" w:eastAsia="zh-CN" w:bidi="ar-SA"/>
            </w:rPr>
            <w:instrText xml:space="preserve"> PAGEREF _Toc21462 \h </w:instrText>
          </w:r>
          <w:r>
            <w:rPr>
              <w:rFonts w:hint="default" w:ascii="Times New Roman" w:hAnsi="Times New Roman" w:cs="Times New Roman" w:eastAsiaTheme="minorEastAsia"/>
              <w:color w:val="auto"/>
              <w:kern w:val="0"/>
              <w:sz w:val="28"/>
              <w:szCs w:val="28"/>
              <w:lang w:val="en-US" w:eastAsia="zh-CN" w:bidi="ar-SA"/>
            </w:rPr>
            <w:fldChar w:fldCharType="separate"/>
          </w:r>
          <w:r>
            <w:rPr>
              <w:rFonts w:hint="default" w:ascii="Times New Roman" w:hAnsi="Times New Roman" w:cs="Times New Roman" w:eastAsiaTheme="minorEastAsia"/>
              <w:color w:val="auto"/>
              <w:kern w:val="0"/>
              <w:sz w:val="28"/>
              <w:szCs w:val="28"/>
              <w:lang w:val="en-US" w:eastAsia="zh-CN" w:bidi="ar-SA"/>
            </w:rPr>
            <w:t>95</w:t>
          </w:r>
          <w:r>
            <w:rPr>
              <w:rFonts w:hint="default" w:ascii="Times New Roman" w:hAnsi="Times New Roman" w:cs="Times New Roman" w:eastAsiaTheme="minorEastAsia"/>
              <w:color w:val="auto"/>
              <w:kern w:val="0"/>
              <w:sz w:val="28"/>
              <w:szCs w:val="28"/>
              <w:lang w:val="en-US" w:eastAsia="zh-CN" w:bidi="ar-SA"/>
            </w:rPr>
            <w:fldChar w:fldCharType="end"/>
          </w:r>
          <w:r>
            <w:rPr>
              <w:rFonts w:hint="eastAsia" w:ascii="Times New Roman" w:hAnsi="Times New Roman" w:cs="Times New Roman" w:eastAsiaTheme="minorEastAsia"/>
              <w:color w:val="auto"/>
              <w:kern w:val="0"/>
              <w:sz w:val="28"/>
              <w:szCs w:val="28"/>
              <w:lang w:val="en-US" w:eastAsia="zh-CN" w:bidi="ar-SA"/>
            </w:rPr>
            <w:fldChar w:fldCharType="end"/>
          </w:r>
        </w:p>
        <w:p w14:paraId="37842188">
          <w:pPr>
            <w:pStyle w:val="27"/>
            <w:tabs>
              <w:tab w:val="right" w:leader="dot" w:pos="8306"/>
              <w:tab w:val="clear" w:pos="420"/>
              <w:tab w:val="clear" w:pos="8303"/>
            </w:tabs>
            <w:rPr>
              <w:rFonts w:hint="default" w:ascii="Times New Roman" w:hAnsi="Times New Roman" w:cs="Times New Roman" w:eastAsiaTheme="minorEastAsia"/>
              <w:color w:val="auto"/>
              <w:kern w:val="0"/>
              <w:sz w:val="28"/>
              <w:szCs w:val="28"/>
              <w:lang w:val="en-US" w:eastAsia="zh-CN" w:bidi="ar-SA"/>
            </w:rPr>
          </w:pPr>
          <w:r>
            <w:rPr>
              <w:rFonts w:hint="eastAsia" w:ascii="Times New Roman" w:hAnsi="Times New Roman" w:cs="Times New Roman" w:eastAsiaTheme="minorEastAsia"/>
              <w:color w:val="auto"/>
              <w:kern w:val="0"/>
              <w:sz w:val="28"/>
              <w:szCs w:val="28"/>
              <w:lang w:val="en-US" w:eastAsia="zh-CN" w:bidi="ar-SA"/>
            </w:rPr>
            <w:fldChar w:fldCharType="begin"/>
          </w:r>
          <w:r>
            <w:rPr>
              <w:rFonts w:hint="eastAsia" w:ascii="Times New Roman" w:hAnsi="Times New Roman" w:cs="Times New Roman" w:eastAsiaTheme="minorEastAsia"/>
              <w:color w:val="auto"/>
              <w:kern w:val="0"/>
              <w:sz w:val="28"/>
              <w:szCs w:val="28"/>
              <w:lang w:val="en-US" w:eastAsia="zh-CN" w:bidi="ar-SA"/>
            </w:rPr>
            <w:instrText xml:space="preserve"> HYPERLINK \l _Toc9923 </w:instrText>
          </w:r>
          <w:r>
            <w:rPr>
              <w:rFonts w:hint="eastAsia" w:ascii="Times New Roman" w:hAnsi="Times New Roman" w:cs="Times New Roman" w:eastAsiaTheme="minorEastAsia"/>
              <w:color w:val="auto"/>
              <w:kern w:val="0"/>
              <w:sz w:val="28"/>
              <w:szCs w:val="28"/>
              <w:lang w:val="en-US" w:eastAsia="zh-CN" w:bidi="ar-SA"/>
            </w:rPr>
            <w:fldChar w:fldCharType="separate"/>
          </w:r>
          <w:r>
            <w:rPr>
              <w:rFonts w:hint="eastAsia" w:ascii="Times New Roman" w:hAnsi="Times New Roman" w:cs="Times New Roman" w:eastAsiaTheme="minorEastAsia"/>
              <w:color w:val="auto"/>
              <w:kern w:val="0"/>
              <w:sz w:val="28"/>
              <w:szCs w:val="28"/>
              <w:lang w:val="en-US" w:eastAsia="zh-CN" w:bidi="ar-SA"/>
            </w:rPr>
            <w:t>建设项目污染物排放量汇总表</w:t>
          </w:r>
          <w:r>
            <w:rPr>
              <w:rFonts w:hint="default" w:ascii="Times New Roman" w:hAnsi="Times New Roman" w:cs="Times New Roman" w:eastAsiaTheme="minorEastAsia"/>
              <w:color w:val="auto"/>
              <w:kern w:val="0"/>
              <w:sz w:val="28"/>
              <w:szCs w:val="28"/>
              <w:lang w:val="en-US" w:eastAsia="zh-CN" w:bidi="ar-SA"/>
            </w:rPr>
            <w:tab/>
          </w:r>
          <w:r>
            <w:rPr>
              <w:rFonts w:hint="default" w:ascii="Times New Roman" w:hAnsi="Times New Roman" w:cs="Times New Roman" w:eastAsiaTheme="minorEastAsia"/>
              <w:color w:val="auto"/>
              <w:kern w:val="0"/>
              <w:sz w:val="28"/>
              <w:szCs w:val="28"/>
              <w:lang w:val="en-US" w:eastAsia="zh-CN" w:bidi="ar-SA"/>
            </w:rPr>
            <w:fldChar w:fldCharType="begin"/>
          </w:r>
          <w:r>
            <w:rPr>
              <w:rFonts w:hint="default" w:ascii="Times New Roman" w:hAnsi="Times New Roman" w:cs="Times New Roman" w:eastAsiaTheme="minorEastAsia"/>
              <w:color w:val="auto"/>
              <w:kern w:val="0"/>
              <w:sz w:val="28"/>
              <w:szCs w:val="28"/>
              <w:lang w:val="en-US" w:eastAsia="zh-CN" w:bidi="ar-SA"/>
            </w:rPr>
            <w:instrText xml:space="preserve"> PAGEREF _Toc9923 \h </w:instrText>
          </w:r>
          <w:r>
            <w:rPr>
              <w:rFonts w:hint="default" w:ascii="Times New Roman" w:hAnsi="Times New Roman" w:cs="Times New Roman" w:eastAsiaTheme="minorEastAsia"/>
              <w:color w:val="auto"/>
              <w:kern w:val="0"/>
              <w:sz w:val="28"/>
              <w:szCs w:val="28"/>
              <w:lang w:val="en-US" w:eastAsia="zh-CN" w:bidi="ar-SA"/>
            </w:rPr>
            <w:fldChar w:fldCharType="separate"/>
          </w:r>
          <w:r>
            <w:rPr>
              <w:rFonts w:hint="default" w:ascii="Times New Roman" w:hAnsi="Times New Roman" w:cs="Times New Roman" w:eastAsiaTheme="minorEastAsia"/>
              <w:color w:val="auto"/>
              <w:kern w:val="0"/>
              <w:sz w:val="28"/>
              <w:szCs w:val="28"/>
              <w:lang w:val="en-US" w:eastAsia="zh-CN" w:bidi="ar-SA"/>
            </w:rPr>
            <w:t>95</w:t>
          </w:r>
          <w:r>
            <w:rPr>
              <w:rFonts w:hint="default" w:ascii="Times New Roman" w:hAnsi="Times New Roman" w:cs="Times New Roman" w:eastAsiaTheme="minorEastAsia"/>
              <w:color w:val="auto"/>
              <w:kern w:val="0"/>
              <w:sz w:val="28"/>
              <w:szCs w:val="28"/>
              <w:lang w:val="en-US" w:eastAsia="zh-CN" w:bidi="ar-SA"/>
            </w:rPr>
            <w:fldChar w:fldCharType="end"/>
          </w:r>
          <w:r>
            <w:rPr>
              <w:rFonts w:hint="eastAsia" w:ascii="Times New Roman" w:hAnsi="Times New Roman" w:cs="Times New Roman" w:eastAsiaTheme="minorEastAsia"/>
              <w:color w:val="auto"/>
              <w:kern w:val="0"/>
              <w:sz w:val="28"/>
              <w:szCs w:val="28"/>
              <w:lang w:val="en-US" w:eastAsia="zh-CN" w:bidi="ar-SA"/>
            </w:rPr>
            <w:fldChar w:fldCharType="end"/>
          </w:r>
        </w:p>
        <w:p w14:paraId="46B8E502">
          <w:pPr>
            <w:pStyle w:val="27"/>
            <w:tabs>
              <w:tab w:val="right" w:leader="dot" w:pos="8306"/>
              <w:tab w:val="clear" w:pos="420"/>
              <w:tab w:val="clear" w:pos="8303"/>
            </w:tabs>
            <w:rPr>
              <w:rFonts w:hint="eastAsia" w:ascii="Times New Roman" w:hAnsi="Times New Roman" w:eastAsia="宋体" w:cs="Times New Roman"/>
              <w:color w:val="FF0000"/>
              <w:kern w:val="2"/>
              <w:sz w:val="21"/>
              <w:lang w:val="en-US" w:eastAsia="zh-CN" w:bidi="ar-SA"/>
            </w:rPr>
            <w:sectPr>
              <w:footerReference r:id="rId7" w:type="first"/>
              <w:footerReference r:id="rId6" w:type="default"/>
              <w:pgSz w:w="11906" w:h="16838"/>
              <w:pgMar w:top="1440" w:right="1800" w:bottom="1713" w:left="1800" w:header="851" w:footer="992" w:gutter="0"/>
              <w:pgBorders>
                <w:top w:val="none" w:sz="0" w:space="0"/>
                <w:left w:val="none" w:sz="0" w:space="0"/>
                <w:bottom w:val="none" w:sz="0" w:space="0"/>
                <w:right w:val="none" w:sz="0" w:space="0"/>
              </w:pgBorders>
              <w:pgNumType w:start="0"/>
              <w:cols w:space="720" w:num="1"/>
              <w:docGrid w:type="lines" w:linePitch="312" w:charSpace="0"/>
            </w:sectPr>
          </w:pPr>
          <w:r>
            <w:rPr>
              <w:rFonts w:hint="eastAsia" w:ascii="Times New Roman" w:hAnsi="Times New Roman" w:cs="Times New Roman" w:eastAsiaTheme="minorEastAsia"/>
              <w:color w:val="auto"/>
              <w:kern w:val="0"/>
              <w:sz w:val="28"/>
              <w:szCs w:val="28"/>
              <w:lang w:val="en-US" w:eastAsia="zh-CN" w:bidi="ar-SA"/>
            </w:rPr>
            <w:fldChar w:fldCharType="end"/>
          </w:r>
        </w:p>
      </w:sdtContent>
    </w:sdt>
    <w:p w14:paraId="708DC40D">
      <w:pPr>
        <w:rPr>
          <w:rFonts w:hint="eastAsia"/>
          <w:color w:val="FF0000"/>
        </w:rPr>
      </w:pPr>
    </w:p>
    <w:p w14:paraId="51CA11E3">
      <w:pPr>
        <w:rPr>
          <w:color w:val="FF0000"/>
        </w:rPr>
      </w:pPr>
      <w:r>
        <w:rPr>
          <w:color w:val="FF0000"/>
        </w:rPr>
        <w:br w:type="page"/>
      </w:r>
    </w:p>
    <w:p w14:paraId="17393135">
      <w:pPr>
        <w:pStyle w:val="3"/>
        <w:rPr>
          <w:color w:val="FF0000"/>
        </w:rPr>
        <w:sectPr>
          <w:pgSz w:w="11906" w:h="16838"/>
          <w:pgMar w:top="1440" w:right="1800" w:bottom="1713" w:left="1800" w:header="851" w:footer="992" w:gutter="0"/>
          <w:pgBorders>
            <w:top w:val="none" w:sz="0" w:space="0"/>
            <w:left w:val="none" w:sz="0" w:space="0"/>
            <w:bottom w:val="none" w:sz="0" w:space="0"/>
            <w:right w:val="none" w:sz="0" w:space="0"/>
          </w:pgBorders>
          <w:pgNumType w:start="0"/>
          <w:cols w:space="720" w:num="1"/>
          <w:docGrid w:type="lines" w:linePitch="312" w:charSpace="0"/>
        </w:sectPr>
      </w:pPr>
    </w:p>
    <w:p w14:paraId="7C85423F">
      <w:pPr>
        <w:pStyle w:val="4"/>
        <w:rPr>
          <w:rFonts w:eastAsiaTheme="minorEastAsia"/>
          <w:color w:val="auto"/>
        </w:rPr>
      </w:pPr>
      <w:bookmarkStart w:id="3" w:name="_Toc14289"/>
      <w:bookmarkStart w:id="4" w:name="_Toc28706"/>
      <w:r>
        <w:rPr>
          <w:rFonts w:eastAsiaTheme="minorEastAsia"/>
          <w:color w:val="auto"/>
        </w:rPr>
        <w:t>一、建设项目基本情况</w:t>
      </w:r>
      <w:bookmarkEnd w:id="3"/>
      <w:bookmarkEnd w:id="4"/>
    </w:p>
    <w:tbl>
      <w:tblPr>
        <w:tblStyle w:val="35"/>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70"/>
        <w:gridCol w:w="2779"/>
        <w:gridCol w:w="1868"/>
        <w:gridCol w:w="3153"/>
      </w:tblGrid>
      <w:tr w14:paraId="4BDCA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070" w:type="dxa"/>
            <w:tcMar>
              <w:top w:w="16" w:type="dxa"/>
              <w:left w:w="16" w:type="dxa"/>
              <w:right w:w="16" w:type="dxa"/>
            </w:tcMar>
            <w:vAlign w:val="center"/>
          </w:tcPr>
          <w:p w14:paraId="08E299F9">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建设项目名称</w:t>
            </w:r>
          </w:p>
        </w:tc>
        <w:tc>
          <w:tcPr>
            <w:tcW w:w="7800" w:type="dxa"/>
            <w:gridSpan w:val="3"/>
            <w:vAlign w:val="center"/>
          </w:tcPr>
          <w:p w14:paraId="1ACE3E03">
            <w:pPr>
              <w:adjustRightInd w:val="0"/>
              <w:snapToGrid w:val="0"/>
              <w:jc w:val="center"/>
              <w:rPr>
                <w:rFonts w:hint="eastAsia" w:eastAsiaTheme="minorEastAsia"/>
                <w:color w:val="FF0000"/>
                <w:sz w:val="24"/>
                <w:szCs w:val="24"/>
                <w:lang w:val="en-US" w:eastAsia="zh-CN"/>
              </w:rPr>
            </w:pPr>
            <w:r>
              <w:rPr>
                <w:rFonts w:hint="eastAsia" w:eastAsiaTheme="minorEastAsia"/>
                <w:color w:val="auto"/>
                <w:sz w:val="24"/>
                <w:szCs w:val="24"/>
                <w:lang w:val="en-US" w:eastAsia="zh-CN"/>
              </w:rPr>
              <w:t>Sigma高端医用设备生产项目</w:t>
            </w:r>
          </w:p>
        </w:tc>
      </w:tr>
      <w:tr w14:paraId="3F12C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0" w:type="dxa"/>
            <w:tcMar>
              <w:top w:w="16" w:type="dxa"/>
              <w:left w:w="16" w:type="dxa"/>
              <w:right w:w="16" w:type="dxa"/>
            </w:tcMar>
            <w:vAlign w:val="center"/>
          </w:tcPr>
          <w:p w14:paraId="2319BB2D">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项目代码</w:t>
            </w:r>
          </w:p>
        </w:tc>
        <w:tc>
          <w:tcPr>
            <w:tcW w:w="7800" w:type="dxa"/>
            <w:gridSpan w:val="3"/>
            <w:vAlign w:val="center"/>
          </w:tcPr>
          <w:p w14:paraId="68C79787">
            <w:pPr>
              <w:adjustRightInd w:val="0"/>
              <w:snapToGrid w:val="0"/>
              <w:jc w:val="center"/>
              <w:rPr>
                <w:rFonts w:hint="default" w:eastAsiaTheme="minorEastAsia"/>
                <w:color w:val="FF0000"/>
                <w:sz w:val="24"/>
                <w:szCs w:val="24"/>
                <w:lang w:val="en-US" w:eastAsia="zh-CN"/>
              </w:rPr>
            </w:pPr>
            <w:r>
              <w:rPr>
                <w:rFonts w:hint="default" w:ascii="Times New Roman" w:hAnsi="Times New Roman" w:cs="Times New Roman" w:eastAsiaTheme="minorEastAsia"/>
                <w:color w:val="auto"/>
                <w:sz w:val="24"/>
                <w:szCs w:val="24"/>
                <w:highlight w:val="none"/>
                <w:lang w:val="en-US" w:eastAsia="zh-CN"/>
              </w:rPr>
              <w:t>2603-320411-04-03-458949</w:t>
            </w:r>
          </w:p>
        </w:tc>
      </w:tr>
      <w:tr w14:paraId="78E7B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0" w:type="dxa"/>
            <w:tcMar>
              <w:top w:w="16" w:type="dxa"/>
              <w:left w:w="16" w:type="dxa"/>
              <w:right w:w="16" w:type="dxa"/>
            </w:tcMar>
            <w:vAlign w:val="center"/>
          </w:tcPr>
          <w:p w14:paraId="76767A5E">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建设单位联系人</w:t>
            </w:r>
          </w:p>
        </w:tc>
        <w:tc>
          <w:tcPr>
            <w:tcW w:w="2779" w:type="dxa"/>
            <w:shd w:val="clear" w:color="auto" w:fill="auto"/>
            <w:vAlign w:val="center"/>
          </w:tcPr>
          <w:p w14:paraId="6613E3D2">
            <w:pPr>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孙春燕</w:t>
            </w:r>
          </w:p>
        </w:tc>
        <w:tc>
          <w:tcPr>
            <w:tcW w:w="1868" w:type="dxa"/>
            <w:shd w:val="clear" w:color="auto" w:fill="auto"/>
            <w:vAlign w:val="center"/>
          </w:tcPr>
          <w:p w14:paraId="41A8C9C7">
            <w:pPr>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b/>
                <w:bCs/>
                <w:color w:val="auto"/>
                <w:sz w:val="24"/>
                <w:szCs w:val="24"/>
                <w:highlight w:val="none"/>
              </w:rPr>
              <w:t>联系方式</w:t>
            </w:r>
          </w:p>
        </w:tc>
        <w:tc>
          <w:tcPr>
            <w:tcW w:w="3153" w:type="dxa"/>
            <w:shd w:val="clear" w:color="auto" w:fill="auto"/>
            <w:vAlign w:val="center"/>
          </w:tcPr>
          <w:p w14:paraId="30FCE9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15251988283</w:t>
            </w:r>
          </w:p>
        </w:tc>
      </w:tr>
      <w:tr w14:paraId="2BCA4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70" w:type="dxa"/>
            <w:tcMar>
              <w:top w:w="16" w:type="dxa"/>
              <w:left w:w="16" w:type="dxa"/>
              <w:right w:w="16" w:type="dxa"/>
            </w:tcMar>
            <w:vAlign w:val="center"/>
          </w:tcPr>
          <w:p w14:paraId="1131170B">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建设地点</w:t>
            </w:r>
          </w:p>
        </w:tc>
        <w:tc>
          <w:tcPr>
            <w:tcW w:w="7800" w:type="dxa"/>
            <w:gridSpan w:val="3"/>
            <w:vAlign w:val="center"/>
          </w:tcPr>
          <w:p w14:paraId="781E6FD1">
            <w:pPr>
              <w:adjustRightInd w:val="0"/>
              <w:snapToGrid w:val="0"/>
              <w:jc w:val="center"/>
              <w:rPr>
                <w:rFonts w:ascii="宋体" w:hAnsi="宋体" w:cs="宋体"/>
                <w:color w:val="FF0000"/>
                <w:sz w:val="24"/>
                <w:szCs w:val="24"/>
              </w:rPr>
            </w:pPr>
            <w:r>
              <w:rPr>
                <w:rFonts w:hint="eastAsia" w:cs="Times New Roman"/>
                <w:color w:val="auto"/>
                <w:sz w:val="24"/>
                <w:szCs w:val="24"/>
                <w:highlight w:val="none"/>
                <w:u w:val="single"/>
                <w:lang w:eastAsia="zh-CN"/>
              </w:rPr>
              <w:t>江苏省常州市新北区滨江经济开发区赣江路318号中瑞（常州）国际合作产业园</w:t>
            </w:r>
            <w:r>
              <w:rPr>
                <w:rFonts w:hint="eastAsia" w:eastAsia="新宋体"/>
                <w:color w:val="auto"/>
                <w:kern w:val="0"/>
                <w:sz w:val="24"/>
                <w:lang w:eastAsia="zh-CN"/>
              </w:rPr>
              <w:t>（</w:t>
            </w:r>
            <w:r>
              <w:rPr>
                <w:color w:val="auto"/>
                <w:sz w:val="24"/>
                <w:szCs w:val="24"/>
              </w:rPr>
              <w:t>本项目选址在国控站点3公里范围</w:t>
            </w:r>
            <w:r>
              <w:rPr>
                <w:rFonts w:hint="eastAsia"/>
                <w:color w:val="auto"/>
                <w:sz w:val="24"/>
                <w:szCs w:val="24"/>
              </w:rPr>
              <w:t>外</w:t>
            </w:r>
            <w:r>
              <w:rPr>
                <w:color w:val="auto"/>
                <w:sz w:val="24"/>
                <w:szCs w:val="24"/>
              </w:rPr>
              <w:t>，距离最近的国控站点（</w:t>
            </w:r>
            <w:r>
              <w:rPr>
                <w:rFonts w:hint="eastAsia"/>
                <w:color w:val="auto"/>
                <w:sz w:val="24"/>
                <w:szCs w:val="24"/>
                <w:lang w:val="en-US" w:eastAsia="zh-CN"/>
              </w:rPr>
              <w:t>崇义南路9号常高新集团</w:t>
            </w:r>
            <w:r>
              <w:rPr>
                <w:color w:val="auto"/>
                <w:sz w:val="24"/>
                <w:szCs w:val="24"/>
              </w:rPr>
              <w:t>）</w:t>
            </w:r>
            <w:r>
              <w:rPr>
                <w:rFonts w:hint="eastAsia" w:cs="Times New Roman"/>
                <w:color w:val="auto"/>
                <w:sz w:val="24"/>
                <w:szCs w:val="24"/>
                <w:lang w:val="en-US" w:eastAsia="zh-CN"/>
              </w:rPr>
              <w:t>7.7</w:t>
            </w:r>
            <w:r>
              <w:rPr>
                <w:rFonts w:hint="default" w:ascii="Times New Roman" w:hAnsi="Times New Roman" w:cs="Times New Roman"/>
                <w:color w:val="auto"/>
                <w:sz w:val="24"/>
                <w:szCs w:val="24"/>
              </w:rPr>
              <w:t>公里）</w:t>
            </w:r>
          </w:p>
        </w:tc>
      </w:tr>
      <w:tr w14:paraId="38D2D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0" w:type="dxa"/>
            <w:tcMar>
              <w:top w:w="16" w:type="dxa"/>
              <w:left w:w="16" w:type="dxa"/>
              <w:right w:w="16" w:type="dxa"/>
            </w:tcMar>
            <w:vAlign w:val="center"/>
          </w:tcPr>
          <w:p w14:paraId="3C682354">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地理坐标</w:t>
            </w:r>
          </w:p>
        </w:tc>
        <w:tc>
          <w:tcPr>
            <w:tcW w:w="7800" w:type="dxa"/>
            <w:gridSpan w:val="3"/>
            <w:vAlign w:val="center"/>
          </w:tcPr>
          <w:p w14:paraId="307FF328">
            <w:pPr>
              <w:adjustRightInd w:val="0"/>
              <w:snapToGrid w:val="0"/>
              <w:jc w:val="center"/>
              <w:rPr>
                <w:rFonts w:ascii="宋体" w:hAnsi="宋体" w:cs="宋体"/>
                <w:color w:val="FF0000"/>
                <w:sz w:val="24"/>
                <w:szCs w:val="24"/>
              </w:rPr>
            </w:pPr>
            <w:r>
              <w:rPr>
                <w:rFonts w:hint="default" w:ascii="Times New Roman" w:hAnsi="Times New Roman" w:eastAsia="宋体" w:cs="Times New Roman"/>
                <w:color w:val="auto"/>
                <w:sz w:val="24"/>
                <w:szCs w:val="24"/>
                <w:highlight w:val="none"/>
                <w:lang w:val="en-US" w:eastAsia="zh-CN"/>
              </w:rPr>
              <w:t>东经</w:t>
            </w:r>
            <w:r>
              <w:rPr>
                <w:rFonts w:hint="eastAsia" w:ascii="Times New Roman" w:hAnsi="Times New Roman" w:eastAsia="宋体" w:cs="Times New Roman"/>
                <w:color w:val="auto"/>
                <w:sz w:val="24"/>
                <w:szCs w:val="24"/>
                <w:highlight w:val="none"/>
                <w:lang w:val="en-US" w:eastAsia="zh-CN"/>
              </w:rPr>
              <w:t>119</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57</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38.562</w:t>
            </w:r>
            <w:r>
              <w:rPr>
                <w:rFonts w:hint="default" w:ascii="Times New Roman" w:hAnsi="Times New Roman" w:eastAsia="宋体" w:cs="Times New Roman"/>
                <w:color w:val="auto"/>
                <w:sz w:val="24"/>
                <w:szCs w:val="24"/>
                <w:highlight w:val="none"/>
                <w:lang w:val="en-US" w:eastAsia="zh-CN"/>
              </w:rPr>
              <w:t>"，北纬31°56'</w:t>
            </w:r>
            <w:r>
              <w:rPr>
                <w:rFonts w:hint="eastAsia" w:ascii="Times New Roman" w:hAnsi="Times New Roman" w:eastAsia="宋体" w:cs="Times New Roman"/>
                <w:color w:val="auto"/>
                <w:sz w:val="24"/>
                <w:szCs w:val="24"/>
                <w:highlight w:val="none"/>
                <w:lang w:val="en-US" w:eastAsia="zh-CN"/>
              </w:rPr>
              <w:t>9.576</w:t>
            </w:r>
            <w:r>
              <w:rPr>
                <w:rFonts w:hint="default" w:ascii="Times New Roman" w:hAnsi="Times New Roman" w:eastAsia="宋体" w:cs="Times New Roman"/>
                <w:color w:val="auto"/>
                <w:sz w:val="24"/>
                <w:szCs w:val="24"/>
                <w:highlight w:val="none"/>
                <w:lang w:val="en-US" w:eastAsia="zh-CN"/>
              </w:rPr>
              <w:t>"</w:t>
            </w:r>
          </w:p>
        </w:tc>
      </w:tr>
      <w:tr w14:paraId="4BE94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70" w:type="dxa"/>
            <w:tcMar>
              <w:top w:w="16" w:type="dxa"/>
              <w:left w:w="16" w:type="dxa"/>
              <w:right w:w="16" w:type="dxa"/>
            </w:tcMar>
            <w:vAlign w:val="center"/>
          </w:tcPr>
          <w:p w14:paraId="07B1DA54">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国民经济</w:t>
            </w:r>
          </w:p>
          <w:p w14:paraId="6AB5BB73">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行业类别</w:t>
            </w:r>
          </w:p>
        </w:tc>
        <w:tc>
          <w:tcPr>
            <w:tcW w:w="2779" w:type="dxa"/>
            <w:vAlign w:val="center"/>
          </w:tcPr>
          <w:p w14:paraId="6DCE78F9">
            <w:pPr>
              <w:adjustRightInd w:val="0"/>
              <w:snapToGrid w:val="0"/>
              <w:jc w:val="center"/>
              <w:rPr>
                <w:rFonts w:hint="default" w:ascii="宋体" w:hAnsi="宋体" w:eastAsia="宋体" w:cs="宋体"/>
                <w:color w:val="FF0000"/>
                <w:sz w:val="24"/>
                <w:szCs w:val="24"/>
                <w:lang w:val="en-US" w:eastAsia="zh-CN"/>
              </w:rPr>
            </w:pPr>
            <w:r>
              <w:rPr>
                <w:rFonts w:hint="default" w:ascii="Times New Roman" w:hAnsi="Times New Roman" w:cs="Times New Roman"/>
                <w:color w:val="auto"/>
                <w:sz w:val="24"/>
                <w:szCs w:val="24"/>
                <w:lang w:val="en-US" w:eastAsia="zh-CN"/>
              </w:rPr>
              <w:t>C</w:t>
            </w:r>
            <w:r>
              <w:rPr>
                <w:rFonts w:hint="eastAsia" w:cs="Times New Roman"/>
                <w:color w:val="auto"/>
                <w:sz w:val="24"/>
                <w:szCs w:val="24"/>
                <w:lang w:val="en-US" w:eastAsia="zh-CN"/>
              </w:rPr>
              <w:t>3499 其他未列明通用设备制造业</w:t>
            </w:r>
          </w:p>
        </w:tc>
        <w:tc>
          <w:tcPr>
            <w:tcW w:w="1868" w:type="dxa"/>
            <w:vAlign w:val="center"/>
          </w:tcPr>
          <w:p w14:paraId="4F45F62D">
            <w:pPr>
              <w:adjustRightInd w:val="0"/>
              <w:snapToGrid w:val="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建设项目</w:t>
            </w:r>
          </w:p>
          <w:p w14:paraId="1ECC1F8F">
            <w:pPr>
              <w:adjustRightInd w:val="0"/>
              <w:snapToGrid w:val="0"/>
              <w:jc w:val="center"/>
              <w:rPr>
                <w:rFonts w:ascii="宋体" w:hAnsi="宋体" w:cs="宋体"/>
                <w:b/>
                <w:bCs/>
                <w:color w:val="auto"/>
                <w:sz w:val="24"/>
                <w:szCs w:val="24"/>
              </w:rPr>
            </w:pPr>
            <w:r>
              <w:rPr>
                <w:rFonts w:hint="default" w:ascii="Times New Roman" w:hAnsi="Times New Roman" w:cs="Times New Roman"/>
                <w:b/>
                <w:bCs/>
                <w:color w:val="auto"/>
                <w:sz w:val="24"/>
                <w:szCs w:val="24"/>
                <w:highlight w:val="none"/>
              </w:rPr>
              <w:t>行业类别</w:t>
            </w:r>
          </w:p>
        </w:tc>
        <w:tc>
          <w:tcPr>
            <w:tcW w:w="3153" w:type="dxa"/>
            <w:vAlign w:val="center"/>
          </w:tcPr>
          <w:p w14:paraId="4BE2F2FF">
            <w:pPr>
              <w:adjustRightInd w:val="0"/>
              <w:snapToGrid w:val="0"/>
              <w:jc w:val="center"/>
              <w:rPr>
                <w:rFonts w:hint="default" w:ascii="宋体" w:hAnsi="宋体" w:eastAsia="新宋体" w:cs="宋体"/>
                <w:color w:val="FF0000"/>
                <w:sz w:val="24"/>
                <w:szCs w:val="24"/>
                <w:lang w:val="en-US" w:eastAsia="zh-CN"/>
              </w:rPr>
            </w:pPr>
            <w:r>
              <w:rPr>
                <w:rFonts w:hint="eastAsia" w:cs="Times New Roman"/>
                <w:color w:val="auto"/>
                <w:sz w:val="24"/>
                <w:szCs w:val="24"/>
                <w:highlight w:val="none"/>
                <w:lang w:val="en-US" w:eastAsia="zh-CN"/>
              </w:rPr>
              <w:t>6</w:t>
            </w:r>
            <w:r>
              <w:rPr>
                <w:rFonts w:hint="default" w:ascii="Times New Roman" w:hAnsi="Times New Roman" w:cs="Times New Roman"/>
                <w:color w:val="auto"/>
                <w:sz w:val="24"/>
                <w:szCs w:val="24"/>
                <w:highlight w:val="none"/>
                <w:lang w:val="en-US" w:eastAsia="zh-CN"/>
              </w:rPr>
              <w:t>9</w:t>
            </w:r>
            <w:r>
              <w:rPr>
                <w:rFonts w:hint="eastAsia" w:cs="Times New Roman"/>
                <w:color w:val="auto"/>
                <w:sz w:val="24"/>
                <w:szCs w:val="24"/>
                <w:highlight w:val="none"/>
                <w:lang w:val="en-US" w:eastAsia="zh-CN"/>
              </w:rPr>
              <w:t xml:space="preserve"> 其他通用设备制造业349</w:t>
            </w:r>
          </w:p>
        </w:tc>
      </w:tr>
      <w:tr w14:paraId="61507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70" w:type="dxa"/>
            <w:tcMar>
              <w:top w:w="16" w:type="dxa"/>
              <w:left w:w="16" w:type="dxa"/>
              <w:right w:w="16" w:type="dxa"/>
            </w:tcMar>
            <w:vAlign w:val="center"/>
          </w:tcPr>
          <w:p w14:paraId="0D625E7F">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建设性质</w:t>
            </w:r>
          </w:p>
        </w:tc>
        <w:tc>
          <w:tcPr>
            <w:tcW w:w="2779" w:type="dxa"/>
            <w:vAlign w:val="center"/>
          </w:tcPr>
          <w:p w14:paraId="02CF9771">
            <w:pPr>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rPr>
              <w:t>新建</w:t>
            </w:r>
          </w:p>
          <w:p w14:paraId="5588DCEF">
            <w:pPr>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改建</w:t>
            </w:r>
          </w:p>
          <w:p w14:paraId="3941C1D0">
            <w:pPr>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rPr>
              <w:t>扩建</w:t>
            </w:r>
          </w:p>
          <w:p w14:paraId="5A5FFB83">
            <w:pPr>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技术改造</w:t>
            </w:r>
          </w:p>
        </w:tc>
        <w:tc>
          <w:tcPr>
            <w:tcW w:w="1868" w:type="dxa"/>
            <w:vAlign w:val="center"/>
          </w:tcPr>
          <w:p w14:paraId="6B361543">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建设项目</w:t>
            </w:r>
          </w:p>
          <w:p w14:paraId="1C695E0E">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申报情形</w:t>
            </w:r>
          </w:p>
        </w:tc>
        <w:tc>
          <w:tcPr>
            <w:tcW w:w="3153" w:type="dxa"/>
            <w:vAlign w:val="center"/>
          </w:tcPr>
          <w:p w14:paraId="5B2C26AD">
            <w:pPr>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rPr>
              <w:t>首次申报项目</w:t>
            </w:r>
          </w:p>
          <w:p w14:paraId="2A026379">
            <w:pPr>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不予批准后再次申报项目</w:t>
            </w:r>
          </w:p>
          <w:p w14:paraId="0058E900">
            <w:pPr>
              <w:jc w:val="left"/>
              <w:rPr>
                <w:rFonts w:hint="eastAsia" w:ascii="宋体" w:hAnsi="宋体" w:eastAsia="宋体" w:cs="宋体"/>
                <w:color w:val="auto"/>
                <w:sz w:val="24"/>
                <w:szCs w:val="24"/>
                <w:lang w:eastAsia="zh-CN"/>
              </w:rPr>
            </w:pPr>
            <w:r>
              <w:rPr>
                <w:rFonts w:hint="eastAsia" w:ascii="宋体" w:hAnsi="宋体" w:cs="宋体"/>
                <w:color w:val="auto"/>
                <w:sz w:val="24"/>
                <w:szCs w:val="24"/>
              </w:rPr>
              <w:t>□超五年重新审核项目</w:t>
            </w:r>
          </w:p>
          <w:p w14:paraId="5F8A73B9">
            <w:pPr>
              <w:jc w:val="left"/>
              <w:rPr>
                <w:rFonts w:ascii="宋体" w:hAnsi="宋体" w:cs="宋体"/>
                <w:color w:val="auto"/>
                <w:sz w:val="24"/>
                <w:szCs w:val="24"/>
              </w:rPr>
            </w:pPr>
            <w:r>
              <w:rPr>
                <w:rFonts w:hint="eastAsia" w:ascii="宋体" w:hAnsi="宋体" w:cs="宋体"/>
                <w:color w:val="auto"/>
                <w:sz w:val="24"/>
                <w:szCs w:val="24"/>
              </w:rPr>
              <w:t>□重大变动重新报批项目</w:t>
            </w:r>
          </w:p>
        </w:tc>
      </w:tr>
      <w:tr w14:paraId="7C675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1070" w:type="dxa"/>
            <w:tcMar>
              <w:top w:w="16" w:type="dxa"/>
              <w:left w:w="16" w:type="dxa"/>
              <w:right w:w="16" w:type="dxa"/>
            </w:tcMar>
            <w:vAlign w:val="center"/>
          </w:tcPr>
          <w:p w14:paraId="6D2A54F7">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项目审批（核准</w:t>
            </w:r>
            <w:r>
              <w:rPr>
                <w:rFonts w:ascii="宋体" w:hAnsi="宋体" w:cs="宋体"/>
                <w:b/>
                <w:bCs/>
                <w:color w:val="auto"/>
                <w:sz w:val="24"/>
                <w:szCs w:val="24"/>
              </w:rPr>
              <w:t>/</w:t>
            </w:r>
          </w:p>
          <w:p w14:paraId="27C6FD2D">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备案）部门（选填）</w:t>
            </w:r>
          </w:p>
        </w:tc>
        <w:tc>
          <w:tcPr>
            <w:tcW w:w="2779" w:type="dxa"/>
            <w:vAlign w:val="center"/>
          </w:tcPr>
          <w:p w14:paraId="1686CB7C">
            <w:pPr>
              <w:adjustRightInd w:val="0"/>
              <w:snapToGrid w:val="0"/>
              <w:jc w:val="center"/>
              <w:rPr>
                <w:rFonts w:hint="eastAsia"/>
                <w:color w:val="FF0000"/>
                <w:sz w:val="24"/>
                <w:szCs w:val="24"/>
                <w:lang w:val="en-US" w:eastAsia="zh-CN"/>
              </w:rPr>
            </w:pPr>
            <w:r>
              <w:rPr>
                <w:rFonts w:hint="eastAsia"/>
                <w:color w:val="auto"/>
                <w:sz w:val="24"/>
                <w:szCs w:val="24"/>
                <w:lang w:val="en-US" w:eastAsia="zh-CN"/>
              </w:rPr>
              <w:t>常州高新技术产业开发区（新北区）政务服务管理办公室</w:t>
            </w:r>
          </w:p>
        </w:tc>
        <w:tc>
          <w:tcPr>
            <w:tcW w:w="1868" w:type="dxa"/>
            <w:vAlign w:val="center"/>
          </w:tcPr>
          <w:p w14:paraId="63C296ED">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项目审批（核准</w:t>
            </w:r>
            <w:r>
              <w:rPr>
                <w:rFonts w:ascii="宋体" w:hAnsi="宋体" w:cs="宋体"/>
                <w:b/>
                <w:bCs/>
                <w:color w:val="auto"/>
                <w:sz w:val="24"/>
                <w:szCs w:val="24"/>
              </w:rPr>
              <w:t>/</w:t>
            </w:r>
          </w:p>
          <w:p w14:paraId="7003E9D3">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备案）文号（选填）</w:t>
            </w:r>
          </w:p>
        </w:tc>
        <w:tc>
          <w:tcPr>
            <w:tcW w:w="3153" w:type="dxa"/>
            <w:vAlign w:val="center"/>
          </w:tcPr>
          <w:p w14:paraId="432B49F2">
            <w:pPr>
              <w:adjustRightInd w:val="0"/>
              <w:snapToGrid w:val="0"/>
              <w:jc w:val="center"/>
              <w:rPr>
                <w:rFonts w:hint="default" w:ascii="Times New Roman" w:hAnsi="Times New Roman" w:cs="Times New Roman"/>
                <w:color w:val="auto"/>
                <w:sz w:val="24"/>
                <w:szCs w:val="24"/>
              </w:rPr>
            </w:pPr>
            <w:r>
              <w:rPr>
                <w:rFonts w:hint="eastAsia" w:ascii="宋体" w:hAnsi="宋体" w:cs="宋体"/>
                <w:color w:val="auto"/>
                <w:sz w:val="24"/>
                <w:szCs w:val="24"/>
              </w:rPr>
              <w:t>备案证</w:t>
            </w:r>
            <w:r>
              <w:rPr>
                <w:rFonts w:hint="default" w:ascii="Times New Roman" w:hAnsi="Times New Roman" w:cs="Times New Roman"/>
                <w:color w:val="auto"/>
                <w:sz w:val="24"/>
                <w:szCs w:val="24"/>
              </w:rPr>
              <w:t>号：</w:t>
            </w:r>
          </w:p>
          <w:p w14:paraId="45ED677D">
            <w:pPr>
              <w:adjustRightInd w:val="0"/>
              <w:snapToGrid w:val="0"/>
              <w:jc w:val="center"/>
              <w:rPr>
                <w:rFonts w:hint="eastAsia" w:ascii="宋体" w:hAnsi="宋体" w:eastAsia="宋体" w:cs="宋体"/>
                <w:color w:val="auto"/>
                <w:sz w:val="24"/>
                <w:szCs w:val="24"/>
                <w:lang w:eastAsia="zh-CN"/>
              </w:rPr>
            </w:pPr>
            <w:r>
              <w:rPr>
                <w:rFonts w:hint="eastAsia" w:cs="Times New Roman"/>
                <w:color w:val="auto"/>
                <w:sz w:val="24"/>
                <w:szCs w:val="24"/>
                <w:lang w:val="en-US" w:eastAsia="zh-CN"/>
              </w:rPr>
              <w:t>常新政务</w:t>
            </w:r>
            <w:r>
              <w:rPr>
                <w:rFonts w:hint="eastAsia" w:cs="Times New Roman"/>
                <w:color w:val="auto"/>
                <w:sz w:val="24"/>
                <w:szCs w:val="24"/>
                <w:lang w:eastAsia="zh-CN"/>
              </w:rPr>
              <w:t>备〔202</w:t>
            </w:r>
            <w:r>
              <w:rPr>
                <w:rFonts w:hint="eastAsia" w:cs="Times New Roman"/>
                <w:color w:val="auto"/>
                <w:sz w:val="24"/>
                <w:szCs w:val="24"/>
                <w:lang w:val="en-US" w:eastAsia="zh-CN"/>
              </w:rPr>
              <w:t>6</w:t>
            </w:r>
            <w:r>
              <w:rPr>
                <w:rFonts w:hint="eastAsia" w:cs="Times New Roman"/>
                <w:color w:val="auto"/>
                <w:sz w:val="24"/>
                <w:szCs w:val="24"/>
                <w:lang w:eastAsia="zh-CN"/>
              </w:rPr>
              <w:t>〕</w:t>
            </w:r>
            <w:r>
              <w:rPr>
                <w:rFonts w:hint="eastAsia" w:cs="Times New Roman"/>
                <w:color w:val="auto"/>
                <w:sz w:val="24"/>
                <w:szCs w:val="24"/>
                <w:lang w:val="en-US" w:eastAsia="zh-CN"/>
              </w:rPr>
              <w:t>229</w:t>
            </w:r>
            <w:r>
              <w:rPr>
                <w:rFonts w:hint="eastAsia" w:cs="Times New Roman"/>
                <w:color w:val="auto"/>
                <w:sz w:val="24"/>
                <w:szCs w:val="24"/>
                <w:lang w:eastAsia="zh-CN"/>
              </w:rPr>
              <w:t>号</w:t>
            </w:r>
          </w:p>
        </w:tc>
      </w:tr>
      <w:tr w14:paraId="0E08B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1070" w:type="dxa"/>
            <w:tcMar>
              <w:top w:w="16" w:type="dxa"/>
              <w:left w:w="16" w:type="dxa"/>
              <w:right w:w="16" w:type="dxa"/>
            </w:tcMar>
            <w:vAlign w:val="center"/>
          </w:tcPr>
          <w:p w14:paraId="6FAD9A25">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总投资（万元）</w:t>
            </w:r>
          </w:p>
        </w:tc>
        <w:tc>
          <w:tcPr>
            <w:tcW w:w="2779" w:type="dxa"/>
            <w:vAlign w:val="center"/>
          </w:tcPr>
          <w:p w14:paraId="5EACA01C">
            <w:pPr>
              <w:adjustRightInd w:val="0"/>
              <w:snapToGrid w:val="0"/>
              <w:jc w:val="center"/>
              <w:rPr>
                <w:rFonts w:hint="default"/>
                <w:color w:val="auto"/>
                <w:sz w:val="24"/>
                <w:szCs w:val="24"/>
                <w:lang w:val="en-US" w:eastAsia="zh-CN"/>
              </w:rPr>
            </w:pPr>
            <w:r>
              <w:rPr>
                <w:rFonts w:hint="eastAsia"/>
                <w:color w:val="auto"/>
                <w:sz w:val="24"/>
                <w:szCs w:val="24"/>
                <w:lang w:val="en-US" w:eastAsia="zh-CN"/>
              </w:rPr>
              <w:t>800</w:t>
            </w:r>
          </w:p>
        </w:tc>
        <w:tc>
          <w:tcPr>
            <w:tcW w:w="1868" w:type="dxa"/>
            <w:tcMar>
              <w:top w:w="16" w:type="dxa"/>
              <w:left w:w="16" w:type="dxa"/>
              <w:right w:w="16" w:type="dxa"/>
            </w:tcMar>
            <w:vAlign w:val="center"/>
          </w:tcPr>
          <w:p w14:paraId="4BBD628C">
            <w:pPr>
              <w:adjustRightInd w:val="0"/>
              <w:snapToGrid w:val="0"/>
              <w:jc w:val="center"/>
              <w:rPr>
                <w:b/>
                <w:bCs/>
                <w:color w:val="auto"/>
                <w:sz w:val="24"/>
                <w:szCs w:val="24"/>
              </w:rPr>
            </w:pPr>
            <w:r>
              <w:rPr>
                <w:b/>
                <w:bCs/>
                <w:color w:val="auto"/>
                <w:sz w:val="24"/>
                <w:szCs w:val="24"/>
              </w:rPr>
              <w:t>环保投资（万元）</w:t>
            </w:r>
          </w:p>
        </w:tc>
        <w:tc>
          <w:tcPr>
            <w:tcW w:w="3153" w:type="dxa"/>
            <w:vAlign w:val="center"/>
          </w:tcPr>
          <w:p w14:paraId="086F1302">
            <w:pPr>
              <w:adjustRightInd w:val="0"/>
              <w:snapToGrid w:val="0"/>
              <w:jc w:val="center"/>
              <w:rPr>
                <w:rFonts w:hint="default" w:eastAsia="宋体"/>
                <w:color w:val="auto"/>
                <w:sz w:val="24"/>
                <w:szCs w:val="24"/>
                <w:lang w:val="en-US" w:eastAsia="zh-CN"/>
              </w:rPr>
            </w:pPr>
            <w:r>
              <w:rPr>
                <w:rFonts w:hint="eastAsia"/>
                <w:color w:val="auto"/>
                <w:sz w:val="24"/>
                <w:szCs w:val="24"/>
                <w:lang w:val="en-US" w:eastAsia="zh-CN"/>
              </w:rPr>
              <w:t>16</w:t>
            </w:r>
          </w:p>
        </w:tc>
      </w:tr>
      <w:tr w14:paraId="55F64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0" w:type="dxa"/>
            <w:tcMar>
              <w:top w:w="16" w:type="dxa"/>
              <w:left w:w="16" w:type="dxa"/>
              <w:right w:w="16" w:type="dxa"/>
            </w:tcMar>
            <w:vAlign w:val="center"/>
          </w:tcPr>
          <w:p w14:paraId="4FEF88CB">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环保投资占比（</w:t>
            </w:r>
            <w:r>
              <w:rPr>
                <w:rFonts w:ascii="宋体" w:hAnsi="宋体" w:cs="宋体"/>
                <w:b/>
                <w:bCs/>
                <w:color w:val="auto"/>
                <w:sz w:val="24"/>
                <w:szCs w:val="24"/>
              </w:rPr>
              <w:t>%</w:t>
            </w:r>
            <w:r>
              <w:rPr>
                <w:rFonts w:hint="eastAsia" w:ascii="宋体" w:hAnsi="宋体" w:cs="宋体"/>
                <w:b/>
                <w:bCs/>
                <w:color w:val="auto"/>
                <w:sz w:val="24"/>
                <w:szCs w:val="24"/>
              </w:rPr>
              <w:t>）</w:t>
            </w:r>
          </w:p>
        </w:tc>
        <w:tc>
          <w:tcPr>
            <w:tcW w:w="2779" w:type="dxa"/>
            <w:vAlign w:val="center"/>
          </w:tcPr>
          <w:p w14:paraId="26EBD62D">
            <w:pPr>
              <w:adjustRightInd w:val="0"/>
              <w:snapToGrid w:val="0"/>
              <w:jc w:val="center"/>
              <w:rPr>
                <w:rFonts w:hint="default" w:eastAsia="宋体"/>
                <w:color w:val="auto"/>
                <w:sz w:val="24"/>
                <w:szCs w:val="24"/>
                <w:lang w:val="en-US" w:eastAsia="zh-CN"/>
              </w:rPr>
            </w:pPr>
            <w:r>
              <w:rPr>
                <w:rFonts w:hint="eastAsia"/>
                <w:color w:val="auto"/>
                <w:sz w:val="24"/>
                <w:szCs w:val="24"/>
                <w:lang w:val="en-US" w:eastAsia="zh-CN"/>
              </w:rPr>
              <w:t>2</w:t>
            </w:r>
          </w:p>
        </w:tc>
        <w:tc>
          <w:tcPr>
            <w:tcW w:w="1868" w:type="dxa"/>
            <w:tcMar>
              <w:top w:w="16" w:type="dxa"/>
              <w:left w:w="16" w:type="dxa"/>
              <w:right w:w="16" w:type="dxa"/>
            </w:tcMar>
            <w:vAlign w:val="center"/>
          </w:tcPr>
          <w:p w14:paraId="3F2D1EE5">
            <w:pPr>
              <w:adjustRightInd w:val="0"/>
              <w:snapToGrid w:val="0"/>
              <w:jc w:val="center"/>
              <w:rPr>
                <w:b/>
                <w:bCs/>
                <w:color w:val="auto"/>
                <w:sz w:val="24"/>
                <w:szCs w:val="24"/>
              </w:rPr>
            </w:pPr>
            <w:r>
              <w:rPr>
                <w:b/>
                <w:bCs/>
                <w:color w:val="auto"/>
                <w:sz w:val="24"/>
                <w:szCs w:val="24"/>
              </w:rPr>
              <w:t>施工工期</w:t>
            </w:r>
          </w:p>
        </w:tc>
        <w:tc>
          <w:tcPr>
            <w:tcW w:w="3153" w:type="dxa"/>
            <w:vAlign w:val="center"/>
          </w:tcPr>
          <w:p w14:paraId="24ACFD52">
            <w:pPr>
              <w:adjustRightInd w:val="0"/>
              <w:snapToGrid w:val="0"/>
              <w:jc w:val="center"/>
              <w:rPr>
                <w:color w:val="auto"/>
                <w:sz w:val="24"/>
                <w:szCs w:val="24"/>
              </w:rPr>
            </w:pPr>
            <w:r>
              <w:rPr>
                <w:rFonts w:hint="eastAsia"/>
                <w:color w:val="auto"/>
                <w:sz w:val="24"/>
                <w:szCs w:val="24"/>
                <w:lang w:val="en-US" w:eastAsia="zh-CN"/>
              </w:rPr>
              <w:t>1</w:t>
            </w:r>
            <w:r>
              <w:rPr>
                <w:color w:val="auto"/>
                <w:sz w:val="24"/>
                <w:szCs w:val="24"/>
              </w:rPr>
              <w:t>个月</w:t>
            </w:r>
          </w:p>
        </w:tc>
      </w:tr>
      <w:tr w14:paraId="4953E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0" w:type="dxa"/>
            <w:tcMar>
              <w:top w:w="16" w:type="dxa"/>
              <w:left w:w="16" w:type="dxa"/>
              <w:right w:w="16" w:type="dxa"/>
            </w:tcMar>
            <w:vAlign w:val="center"/>
          </w:tcPr>
          <w:p w14:paraId="622DF0D7">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是否开工建设</w:t>
            </w:r>
          </w:p>
        </w:tc>
        <w:tc>
          <w:tcPr>
            <w:tcW w:w="2779" w:type="dxa"/>
            <w:vAlign w:val="center"/>
          </w:tcPr>
          <w:p w14:paraId="79C3D781">
            <w:pPr>
              <w:adjustRightInd w:val="0"/>
              <w:snapToGrid w:val="0"/>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否</w:t>
            </w:r>
          </w:p>
          <w:p w14:paraId="659B9AE1">
            <w:pPr>
              <w:adjustRightInd w:val="0"/>
              <w:snapToGrid w:val="0"/>
              <w:rPr>
                <w:rFonts w:hint="default" w:ascii="宋体" w:hAnsi="宋体" w:eastAsia="宋体" w:cs="宋体"/>
                <w:color w:val="auto"/>
                <w:sz w:val="24"/>
                <w:szCs w:val="24"/>
                <w:u w:val="single"/>
                <w:lang w:val="en-US" w:eastAsia="zh-CN"/>
              </w:rPr>
            </w:pPr>
            <w:r>
              <w:rPr>
                <w:rFonts w:hint="eastAsia" w:ascii="宋体" w:hAnsi="宋体" w:cs="宋体"/>
                <w:color w:val="auto"/>
                <w:sz w:val="24"/>
                <w:szCs w:val="24"/>
              </w:rPr>
              <w:t>□是：</w:t>
            </w:r>
            <w:r>
              <w:rPr>
                <w:rFonts w:hint="eastAsia" w:ascii="宋体" w:hAnsi="宋体" w:cs="宋体"/>
                <w:color w:val="auto"/>
                <w:sz w:val="24"/>
                <w:szCs w:val="24"/>
                <w:u w:val="single"/>
                <w:lang w:val="en-US" w:eastAsia="zh-CN"/>
              </w:rPr>
              <w:t xml:space="preserve">             </w:t>
            </w:r>
          </w:p>
        </w:tc>
        <w:tc>
          <w:tcPr>
            <w:tcW w:w="1868" w:type="dxa"/>
            <w:tcMar>
              <w:top w:w="16" w:type="dxa"/>
              <w:left w:w="16" w:type="dxa"/>
              <w:right w:w="16" w:type="dxa"/>
            </w:tcMar>
            <w:vAlign w:val="center"/>
          </w:tcPr>
          <w:p w14:paraId="7ACB770D">
            <w:pPr>
              <w:adjustRightInd w:val="0"/>
              <w:snapToGrid w:val="0"/>
              <w:jc w:val="center"/>
              <w:rPr>
                <w:rFonts w:ascii="宋体" w:hAnsi="宋体" w:cs="宋体"/>
                <w:b/>
                <w:bCs/>
                <w:color w:val="auto"/>
                <w:spacing w:val="-6"/>
                <w:sz w:val="24"/>
                <w:szCs w:val="24"/>
              </w:rPr>
            </w:pPr>
            <w:r>
              <w:rPr>
                <w:rFonts w:hint="eastAsia" w:ascii="宋体" w:hAnsi="宋体" w:cs="宋体"/>
                <w:b/>
                <w:bCs/>
                <w:color w:val="auto"/>
                <w:spacing w:val="-6"/>
                <w:sz w:val="24"/>
                <w:szCs w:val="24"/>
              </w:rPr>
              <w:t>用地（用海）</w:t>
            </w:r>
          </w:p>
          <w:p w14:paraId="1E0C6E8A">
            <w:pPr>
              <w:adjustRightInd w:val="0"/>
              <w:snapToGrid w:val="0"/>
              <w:jc w:val="center"/>
              <w:rPr>
                <w:rFonts w:ascii="宋体" w:hAnsi="宋体" w:cs="宋体"/>
                <w:b/>
                <w:bCs/>
                <w:color w:val="auto"/>
                <w:sz w:val="24"/>
                <w:szCs w:val="24"/>
              </w:rPr>
            </w:pPr>
            <w:r>
              <w:rPr>
                <w:rFonts w:hint="eastAsia" w:ascii="宋体" w:hAnsi="宋体" w:cs="宋体"/>
                <w:b/>
                <w:bCs/>
                <w:color w:val="auto"/>
                <w:spacing w:val="-6"/>
                <w:sz w:val="24"/>
                <w:szCs w:val="24"/>
              </w:rPr>
              <w:t>面积（</w:t>
            </w:r>
            <w:r>
              <w:rPr>
                <w:rFonts w:ascii="宋体" w:hAnsi="宋体" w:cs="宋体"/>
                <w:b/>
                <w:bCs/>
                <w:color w:val="auto"/>
                <w:spacing w:val="-6"/>
                <w:sz w:val="24"/>
                <w:szCs w:val="24"/>
              </w:rPr>
              <w:t>m</w:t>
            </w:r>
            <w:r>
              <w:rPr>
                <w:rFonts w:ascii="宋体" w:hAnsi="宋体" w:cs="宋体"/>
                <w:b/>
                <w:bCs/>
                <w:color w:val="auto"/>
                <w:spacing w:val="-6"/>
                <w:sz w:val="24"/>
                <w:szCs w:val="24"/>
                <w:vertAlign w:val="superscript"/>
              </w:rPr>
              <w:t>2</w:t>
            </w:r>
            <w:r>
              <w:rPr>
                <w:rFonts w:hint="eastAsia" w:ascii="宋体" w:hAnsi="宋体" w:cs="宋体"/>
                <w:b/>
                <w:bCs/>
                <w:color w:val="auto"/>
                <w:spacing w:val="-6"/>
                <w:sz w:val="24"/>
                <w:szCs w:val="24"/>
              </w:rPr>
              <w:t>）</w:t>
            </w:r>
          </w:p>
        </w:tc>
        <w:tc>
          <w:tcPr>
            <w:tcW w:w="3153" w:type="dxa"/>
            <w:vAlign w:val="center"/>
          </w:tcPr>
          <w:p w14:paraId="00BA92B2">
            <w:pPr>
              <w:adjustRightInd w:val="0"/>
              <w:snapToGrid w:val="0"/>
              <w:jc w:val="center"/>
              <w:rPr>
                <w:rFonts w:hint="default" w:ascii="宋体" w:hAnsi="宋体" w:cs="宋体"/>
                <w:color w:val="auto"/>
                <w:sz w:val="24"/>
                <w:szCs w:val="24"/>
                <w:lang w:val="en-US"/>
              </w:rPr>
            </w:pPr>
            <w:r>
              <w:rPr>
                <w:rFonts w:hint="eastAsia" w:cs="Times New Roman"/>
                <w:color w:val="auto"/>
                <w:sz w:val="24"/>
                <w:szCs w:val="24"/>
                <w:highlight w:val="none"/>
                <w:lang w:val="en-US" w:eastAsia="zh-CN"/>
              </w:rPr>
              <w:t>1088</w:t>
            </w:r>
            <w:r>
              <w:rPr>
                <w:rStyle w:val="42"/>
                <w:rFonts w:hint="default" w:ascii="Times New Roman" w:hAnsi="Times New Roman" w:cs="Times New Roman"/>
                <w:color w:val="auto"/>
                <w:sz w:val="24"/>
                <w:szCs w:val="24"/>
                <w:highlight w:val="none"/>
              </w:rPr>
              <w:t>（</w:t>
            </w:r>
            <w:r>
              <w:rPr>
                <w:rStyle w:val="42"/>
                <w:rFonts w:hint="default" w:ascii="Times New Roman" w:hAnsi="Times New Roman" w:cs="Times New Roman"/>
                <w:color w:val="auto"/>
                <w:sz w:val="24"/>
                <w:szCs w:val="24"/>
                <w:highlight w:val="none"/>
                <w:lang w:val="en-US" w:eastAsia="zh-CN"/>
              </w:rPr>
              <w:t>租赁建筑面积</w:t>
            </w:r>
            <w:r>
              <w:rPr>
                <w:rStyle w:val="42"/>
                <w:rFonts w:hint="default" w:ascii="Times New Roman" w:hAnsi="Times New Roman" w:cs="Times New Roman"/>
                <w:color w:val="auto"/>
                <w:sz w:val="24"/>
                <w:szCs w:val="24"/>
                <w:highlight w:val="none"/>
              </w:rPr>
              <w:t>）</w:t>
            </w:r>
          </w:p>
        </w:tc>
      </w:tr>
      <w:tr w14:paraId="5376B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0" w:type="dxa"/>
            <w:vAlign w:val="center"/>
          </w:tcPr>
          <w:p w14:paraId="4691BB52">
            <w:pPr>
              <w:autoSpaceDE w:val="0"/>
              <w:autoSpaceDN w:val="0"/>
              <w:adjustRightInd w:val="0"/>
              <w:snapToGrid w:val="0"/>
              <w:jc w:val="center"/>
              <w:rPr>
                <w:rFonts w:ascii="宋体" w:hAnsi="宋体" w:cs="宋体"/>
                <w:b/>
                <w:bCs/>
                <w:color w:val="auto"/>
                <w:kern w:val="0"/>
                <w:sz w:val="24"/>
                <w:szCs w:val="24"/>
              </w:rPr>
            </w:pPr>
            <w:r>
              <w:rPr>
                <w:rFonts w:hint="eastAsia" w:ascii="宋体" w:hAnsi="宋体" w:cs="宋体"/>
                <w:b/>
                <w:bCs/>
                <w:color w:val="auto"/>
                <w:kern w:val="0"/>
                <w:sz w:val="24"/>
                <w:szCs w:val="24"/>
              </w:rPr>
              <w:t>专项评价设置情况</w:t>
            </w:r>
          </w:p>
        </w:tc>
        <w:tc>
          <w:tcPr>
            <w:tcW w:w="7800" w:type="dxa"/>
            <w:gridSpan w:val="3"/>
            <w:vAlign w:val="center"/>
          </w:tcPr>
          <w:p w14:paraId="5DAA22B3">
            <w:pPr>
              <w:numPr>
                <w:ilvl w:val="0"/>
                <w:numId w:val="0"/>
              </w:numPr>
              <w:autoSpaceDE w:val="0"/>
              <w:autoSpaceDN w:val="0"/>
              <w:adjustRightInd w:val="0"/>
              <w:snapToGrid w:val="0"/>
              <w:spacing w:line="360" w:lineRule="auto"/>
              <w:rPr>
                <w:rFonts w:hint="eastAsia" w:eastAsia="宋体"/>
                <w:b w:val="0"/>
                <w:bCs w:val="0"/>
                <w:color w:val="auto"/>
                <w:kern w:val="0"/>
                <w:sz w:val="24"/>
                <w:szCs w:val="24"/>
                <w:lang w:val="en-US" w:eastAsia="zh-CN"/>
              </w:rPr>
            </w:pPr>
            <w:r>
              <w:rPr>
                <w:rFonts w:hint="eastAsia" w:eastAsia="宋体"/>
                <w:b w:val="0"/>
                <w:bCs w:val="0"/>
                <w:color w:val="auto"/>
                <w:kern w:val="0"/>
                <w:sz w:val="24"/>
                <w:szCs w:val="24"/>
                <w:lang w:val="en-US" w:eastAsia="zh-CN"/>
              </w:rPr>
              <w:t>根据《建设项目环境影响报告表编制技术指南（污染影响类）（试行）》，本项目无需设置专项，具体对照情况见下表。</w:t>
            </w:r>
          </w:p>
          <w:p w14:paraId="6721928D">
            <w:pPr>
              <w:adjustRightInd w:val="0"/>
              <w:snapToGrid w:val="0"/>
              <w:spacing w:line="360" w:lineRule="auto"/>
              <w:jc w:val="center"/>
              <w:rPr>
                <w:rFonts w:hint="eastAsia"/>
                <w:b/>
                <w:color w:val="FF0000"/>
                <w:sz w:val="24"/>
                <w:szCs w:val="24"/>
              </w:rPr>
            </w:pPr>
          </w:p>
          <w:p w14:paraId="4D9A916D">
            <w:pPr>
              <w:adjustRightInd w:val="0"/>
              <w:snapToGrid w:val="0"/>
              <w:spacing w:line="360" w:lineRule="auto"/>
              <w:jc w:val="center"/>
              <w:rPr>
                <w:rFonts w:hint="eastAsia"/>
                <w:b/>
                <w:color w:val="FF0000"/>
                <w:sz w:val="24"/>
                <w:szCs w:val="24"/>
              </w:rPr>
            </w:pPr>
          </w:p>
          <w:p w14:paraId="646036F4">
            <w:pPr>
              <w:adjustRightInd w:val="0"/>
              <w:snapToGrid w:val="0"/>
              <w:spacing w:line="360" w:lineRule="auto"/>
              <w:jc w:val="center"/>
              <w:rPr>
                <w:rFonts w:hint="eastAsia"/>
                <w:b/>
                <w:color w:val="FF0000"/>
                <w:sz w:val="24"/>
                <w:szCs w:val="24"/>
              </w:rPr>
            </w:pPr>
          </w:p>
          <w:p w14:paraId="2727E5EC">
            <w:pPr>
              <w:adjustRightInd w:val="0"/>
              <w:snapToGrid w:val="0"/>
              <w:spacing w:line="360" w:lineRule="auto"/>
              <w:jc w:val="center"/>
              <w:rPr>
                <w:rFonts w:hint="eastAsia"/>
                <w:b/>
                <w:color w:val="FF0000"/>
                <w:sz w:val="24"/>
                <w:szCs w:val="24"/>
              </w:rPr>
            </w:pPr>
          </w:p>
          <w:p w14:paraId="06DF38F5">
            <w:pPr>
              <w:adjustRightInd w:val="0"/>
              <w:snapToGrid w:val="0"/>
              <w:spacing w:line="360" w:lineRule="auto"/>
              <w:jc w:val="center"/>
              <w:rPr>
                <w:rFonts w:hint="eastAsia"/>
                <w:b/>
                <w:color w:val="FF0000"/>
                <w:sz w:val="24"/>
                <w:szCs w:val="24"/>
              </w:rPr>
            </w:pPr>
          </w:p>
          <w:p w14:paraId="01A4478B">
            <w:pPr>
              <w:adjustRightInd w:val="0"/>
              <w:snapToGrid w:val="0"/>
              <w:spacing w:line="360" w:lineRule="auto"/>
              <w:jc w:val="center"/>
              <w:rPr>
                <w:rFonts w:hint="eastAsia"/>
                <w:b/>
                <w:color w:val="FF0000"/>
                <w:sz w:val="24"/>
                <w:szCs w:val="24"/>
              </w:rPr>
            </w:pPr>
          </w:p>
          <w:p w14:paraId="7F042209">
            <w:pPr>
              <w:adjustRightInd w:val="0"/>
              <w:snapToGrid w:val="0"/>
              <w:spacing w:line="360" w:lineRule="auto"/>
              <w:jc w:val="center"/>
              <w:rPr>
                <w:rFonts w:hint="eastAsia"/>
                <w:b/>
                <w:color w:val="FF0000"/>
                <w:sz w:val="24"/>
                <w:szCs w:val="24"/>
              </w:rPr>
            </w:pPr>
          </w:p>
          <w:p w14:paraId="2E905236">
            <w:pPr>
              <w:adjustRightInd w:val="0"/>
              <w:snapToGrid w:val="0"/>
              <w:spacing w:line="360" w:lineRule="auto"/>
              <w:jc w:val="center"/>
              <w:rPr>
                <w:rFonts w:hint="eastAsia"/>
                <w:b/>
                <w:color w:val="FF0000"/>
                <w:sz w:val="24"/>
                <w:szCs w:val="24"/>
              </w:rPr>
            </w:pPr>
          </w:p>
          <w:p w14:paraId="676977FA">
            <w:pPr>
              <w:adjustRightInd w:val="0"/>
              <w:snapToGrid w:val="0"/>
              <w:spacing w:line="360" w:lineRule="auto"/>
              <w:jc w:val="center"/>
              <w:rPr>
                <w:rFonts w:hint="eastAsia"/>
                <w:b/>
                <w:color w:val="auto"/>
                <w:sz w:val="24"/>
                <w:szCs w:val="24"/>
              </w:rPr>
            </w:pPr>
            <w:r>
              <w:rPr>
                <w:rFonts w:hint="eastAsia"/>
                <w:b/>
                <w:color w:val="auto"/>
                <w:sz w:val="24"/>
                <w:szCs w:val="24"/>
              </w:rPr>
              <w:t>表</w:t>
            </w:r>
            <w:r>
              <w:rPr>
                <w:rFonts w:hint="eastAsia"/>
                <w:b/>
                <w:color w:val="auto"/>
                <w:sz w:val="24"/>
                <w:szCs w:val="24"/>
                <w:lang w:val="en-US" w:eastAsia="zh-CN"/>
              </w:rPr>
              <w:t>1</w:t>
            </w:r>
            <w:r>
              <w:rPr>
                <w:rFonts w:hint="eastAsia"/>
                <w:b/>
                <w:color w:val="auto"/>
                <w:sz w:val="24"/>
                <w:szCs w:val="24"/>
              </w:rPr>
              <w:t>-1建设项目专项</w:t>
            </w:r>
            <w:r>
              <w:rPr>
                <w:rFonts w:hint="eastAsia"/>
                <w:b/>
                <w:color w:val="auto"/>
                <w:sz w:val="24"/>
                <w:szCs w:val="24"/>
                <w:lang w:eastAsia="zh-CN"/>
              </w:rPr>
              <w:t>评价</w:t>
            </w:r>
            <w:r>
              <w:rPr>
                <w:rFonts w:hint="eastAsia"/>
                <w:b/>
                <w:color w:val="auto"/>
                <w:sz w:val="24"/>
                <w:szCs w:val="24"/>
              </w:rPr>
              <w:t>设置对照表</w:t>
            </w:r>
          </w:p>
          <w:tbl>
            <w:tblPr>
              <w:tblStyle w:val="36"/>
              <w:tblW w:w="76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3250"/>
              <w:gridCol w:w="2014"/>
              <w:gridCol w:w="1302"/>
            </w:tblGrid>
            <w:tr w14:paraId="0013AE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092" w:type="dxa"/>
                  <w:tcBorders>
                    <w:tl2br w:val="nil"/>
                    <w:tr2bl w:val="nil"/>
                  </w:tcBorders>
                  <w:vAlign w:val="center"/>
                </w:tcPr>
                <w:p w14:paraId="373CD704">
                  <w:pPr>
                    <w:autoSpaceDE w:val="0"/>
                    <w:autoSpaceDN w:val="0"/>
                    <w:adjustRightInd w:val="0"/>
                    <w:snapToGrid w:val="0"/>
                    <w:spacing w:line="240" w:lineRule="auto"/>
                    <w:jc w:val="center"/>
                    <w:rPr>
                      <w:rFonts w:hint="eastAsia" w:ascii="宋体" w:hAnsi="宋体" w:eastAsia="宋体" w:cs="宋体"/>
                      <w:b/>
                      <w:bCs/>
                      <w:color w:val="auto"/>
                      <w:kern w:val="0"/>
                      <w:sz w:val="21"/>
                      <w:szCs w:val="21"/>
                      <w:vertAlign w:val="baseline"/>
                      <w:lang w:eastAsia="zh-CN"/>
                    </w:rPr>
                  </w:pPr>
                  <w:r>
                    <w:rPr>
                      <w:rFonts w:hint="eastAsia" w:ascii="宋体" w:hAnsi="宋体" w:cs="宋体"/>
                      <w:b/>
                      <w:bCs/>
                      <w:color w:val="auto"/>
                      <w:kern w:val="0"/>
                      <w:sz w:val="21"/>
                      <w:szCs w:val="21"/>
                      <w:vertAlign w:val="baseline"/>
                      <w:lang w:eastAsia="zh-CN"/>
                    </w:rPr>
                    <w:t>专项评价的类别</w:t>
                  </w:r>
                </w:p>
              </w:tc>
              <w:tc>
                <w:tcPr>
                  <w:tcW w:w="3250" w:type="dxa"/>
                  <w:tcBorders>
                    <w:tl2br w:val="nil"/>
                    <w:tr2bl w:val="nil"/>
                  </w:tcBorders>
                  <w:vAlign w:val="center"/>
                </w:tcPr>
                <w:p w14:paraId="56A866C3">
                  <w:pPr>
                    <w:autoSpaceDE w:val="0"/>
                    <w:autoSpaceDN w:val="0"/>
                    <w:adjustRightInd w:val="0"/>
                    <w:snapToGrid w:val="0"/>
                    <w:spacing w:line="240" w:lineRule="auto"/>
                    <w:jc w:val="center"/>
                    <w:rPr>
                      <w:rFonts w:hint="eastAsia" w:ascii="宋体" w:hAnsi="宋体" w:eastAsia="宋体" w:cs="宋体"/>
                      <w:b/>
                      <w:bCs/>
                      <w:color w:val="auto"/>
                      <w:kern w:val="0"/>
                      <w:sz w:val="21"/>
                      <w:szCs w:val="21"/>
                      <w:vertAlign w:val="baseline"/>
                      <w:lang w:eastAsia="zh-CN"/>
                    </w:rPr>
                  </w:pPr>
                  <w:r>
                    <w:rPr>
                      <w:rFonts w:hint="eastAsia" w:ascii="宋体" w:hAnsi="宋体" w:cs="宋体"/>
                      <w:b/>
                      <w:bCs/>
                      <w:color w:val="auto"/>
                      <w:kern w:val="0"/>
                      <w:sz w:val="21"/>
                      <w:szCs w:val="21"/>
                      <w:vertAlign w:val="baseline"/>
                      <w:lang w:eastAsia="zh-CN"/>
                    </w:rPr>
                    <w:t>设置原则</w:t>
                  </w:r>
                </w:p>
              </w:tc>
              <w:tc>
                <w:tcPr>
                  <w:tcW w:w="2014" w:type="dxa"/>
                  <w:tcBorders>
                    <w:tl2br w:val="nil"/>
                    <w:tr2bl w:val="nil"/>
                  </w:tcBorders>
                  <w:vAlign w:val="center"/>
                </w:tcPr>
                <w:p w14:paraId="02DB42BA">
                  <w:pPr>
                    <w:autoSpaceDE w:val="0"/>
                    <w:autoSpaceDN w:val="0"/>
                    <w:adjustRightInd w:val="0"/>
                    <w:snapToGrid w:val="0"/>
                    <w:spacing w:line="240" w:lineRule="auto"/>
                    <w:jc w:val="center"/>
                    <w:rPr>
                      <w:rFonts w:hint="eastAsia" w:ascii="宋体" w:hAnsi="宋体" w:eastAsia="宋体" w:cs="宋体"/>
                      <w:b/>
                      <w:bCs/>
                      <w:color w:val="auto"/>
                      <w:kern w:val="0"/>
                      <w:sz w:val="21"/>
                      <w:szCs w:val="21"/>
                      <w:vertAlign w:val="baseline"/>
                      <w:lang w:eastAsia="zh-CN"/>
                    </w:rPr>
                  </w:pPr>
                  <w:r>
                    <w:rPr>
                      <w:rFonts w:hint="eastAsia" w:ascii="宋体" w:hAnsi="宋体" w:cs="宋体"/>
                      <w:b/>
                      <w:bCs/>
                      <w:color w:val="auto"/>
                      <w:kern w:val="0"/>
                      <w:sz w:val="21"/>
                      <w:szCs w:val="21"/>
                      <w:vertAlign w:val="baseline"/>
                      <w:lang w:eastAsia="zh-CN"/>
                    </w:rPr>
                    <w:t>本项目对照情况</w:t>
                  </w:r>
                </w:p>
              </w:tc>
              <w:tc>
                <w:tcPr>
                  <w:tcW w:w="1302" w:type="dxa"/>
                  <w:tcBorders>
                    <w:tl2br w:val="nil"/>
                    <w:tr2bl w:val="nil"/>
                  </w:tcBorders>
                  <w:vAlign w:val="center"/>
                </w:tcPr>
                <w:p w14:paraId="40D81D64">
                  <w:pPr>
                    <w:autoSpaceDE w:val="0"/>
                    <w:autoSpaceDN w:val="0"/>
                    <w:adjustRightInd w:val="0"/>
                    <w:snapToGrid w:val="0"/>
                    <w:spacing w:line="240" w:lineRule="auto"/>
                    <w:jc w:val="center"/>
                    <w:rPr>
                      <w:rFonts w:hint="eastAsia" w:ascii="宋体" w:hAnsi="宋体" w:eastAsia="宋体" w:cs="宋体"/>
                      <w:b/>
                      <w:bCs/>
                      <w:color w:val="auto"/>
                      <w:kern w:val="0"/>
                      <w:sz w:val="21"/>
                      <w:szCs w:val="21"/>
                      <w:vertAlign w:val="baseline"/>
                      <w:lang w:eastAsia="zh-CN"/>
                    </w:rPr>
                  </w:pPr>
                  <w:r>
                    <w:rPr>
                      <w:rFonts w:hint="eastAsia" w:ascii="宋体" w:hAnsi="宋体" w:cs="宋体"/>
                      <w:b/>
                      <w:bCs/>
                      <w:color w:val="auto"/>
                      <w:kern w:val="0"/>
                      <w:sz w:val="21"/>
                      <w:szCs w:val="21"/>
                      <w:vertAlign w:val="baseline"/>
                      <w:lang w:eastAsia="zh-CN"/>
                    </w:rPr>
                    <w:t>本项目专项设置情况</w:t>
                  </w:r>
                </w:p>
              </w:tc>
            </w:tr>
            <w:tr w14:paraId="1D900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92" w:type="dxa"/>
                  <w:tcBorders>
                    <w:tl2br w:val="nil"/>
                    <w:tr2bl w:val="nil"/>
                  </w:tcBorders>
                  <w:vAlign w:val="center"/>
                </w:tcPr>
                <w:p w14:paraId="70A0B0AC">
                  <w:pPr>
                    <w:autoSpaceDE w:val="0"/>
                    <w:autoSpaceDN w:val="0"/>
                    <w:adjustRightInd w:val="0"/>
                    <w:snapToGrid w:val="0"/>
                    <w:spacing w:line="240" w:lineRule="auto"/>
                    <w:jc w:val="center"/>
                    <w:rPr>
                      <w:rFonts w:hint="eastAsia" w:ascii="宋体" w:hAnsi="宋体" w:eastAsia="宋体" w:cs="宋体"/>
                      <w:b w:val="0"/>
                      <w:bCs w:val="0"/>
                      <w:color w:val="auto"/>
                      <w:kern w:val="0"/>
                      <w:sz w:val="21"/>
                      <w:szCs w:val="21"/>
                      <w:vertAlign w:val="baseline"/>
                      <w:lang w:eastAsia="zh-CN"/>
                    </w:rPr>
                  </w:pPr>
                  <w:r>
                    <w:rPr>
                      <w:rFonts w:hint="eastAsia" w:ascii="宋体" w:hAnsi="宋体" w:cs="宋体"/>
                      <w:b w:val="0"/>
                      <w:bCs w:val="0"/>
                      <w:color w:val="auto"/>
                      <w:kern w:val="0"/>
                      <w:sz w:val="21"/>
                      <w:szCs w:val="21"/>
                      <w:vertAlign w:val="baseline"/>
                      <w:lang w:eastAsia="zh-CN"/>
                    </w:rPr>
                    <w:t>大气</w:t>
                  </w:r>
                </w:p>
              </w:tc>
              <w:tc>
                <w:tcPr>
                  <w:tcW w:w="3250" w:type="dxa"/>
                  <w:tcBorders>
                    <w:tl2br w:val="nil"/>
                    <w:tr2bl w:val="nil"/>
                  </w:tcBorders>
                  <w:vAlign w:val="center"/>
                </w:tcPr>
                <w:p w14:paraId="0A2E79CC">
                  <w:pPr>
                    <w:autoSpaceDE w:val="0"/>
                    <w:autoSpaceDN w:val="0"/>
                    <w:adjustRightInd w:val="0"/>
                    <w:snapToGrid w:val="0"/>
                    <w:spacing w:line="240" w:lineRule="auto"/>
                    <w:jc w:val="center"/>
                    <w:rPr>
                      <w:rFonts w:hint="eastAsia" w:ascii="宋体" w:hAnsi="宋体" w:cs="宋体"/>
                      <w:b w:val="0"/>
                      <w:bCs w:val="0"/>
                      <w:color w:val="auto"/>
                      <w:kern w:val="0"/>
                      <w:sz w:val="21"/>
                      <w:szCs w:val="21"/>
                      <w:vertAlign w:val="baseline"/>
                      <w:lang w:eastAsia="zh-CN"/>
                    </w:rPr>
                  </w:pPr>
                  <w:r>
                    <w:rPr>
                      <w:rFonts w:hint="eastAsia"/>
                      <w:color w:val="auto"/>
                      <w:sz w:val="21"/>
                      <w:szCs w:val="21"/>
                      <w:lang w:eastAsia="zh-CN"/>
                    </w:rPr>
                    <w:t>排放废气含有毒有害污染物</w:t>
                  </w:r>
                  <w:r>
                    <w:rPr>
                      <w:rFonts w:hint="eastAsia"/>
                      <w:color w:val="auto"/>
                      <w:sz w:val="21"/>
                      <w:szCs w:val="21"/>
                      <w:vertAlign w:val="superscript"/>
                      <w:lang w:val="en-US" w:eastAsia="zh-CN"/>
                    </w:rPr>
                    <w:t>[1]</w:t>
                  </w:r>
                  <w:r>
                    <w:rPr>
                      <w:rFonts w:hint="eastAsia"/>
                      <w:color w:val="auto"/>
                      <w:sz w:val="21"/>
                      <w:szCs w:val="21"/>
                      <w:lang w:eastAsia="zh-CN"/>
                    </w:rPr>
                    <w:t>、二噁英、苯并[a]芘、氰化物、氯气且厂界外500米范围内有环境空气保护目标</w:t>
                  </w:r>
                  <w:r>
                    <w:rPr>
                      <w:rFonts w:hint="eastAsia"/>
                      <w:color w:val="auto"/>
                      <w:sz w:val="21"/>
                      <w:szCs w:val="21"/>
                      <w:vertAlign w:val="superscript"/>
                      <w:lang w:val="en-US" w:eastAsia="zh-CN"/>
                    </w:rPr>
                    <w:t>[2]</w:t>
                  </w:r>
                  <w:r>
                    <w:rPr>
                      <w:rFonts w:hint="eastAsia"/>
                      <w:color w:val="auto"/>
                      <w:sz w:val="21"/>
                      <w:szCs w:val="21"/>
                      <w:lang w:eastAsia="zh-CN"/>
                    </w:rPr>
                    <w:t>的建设项目</w:t>
                  </w:r>
                </w:p>
              </w:tc>
              <w:tc>
                <w:tcPr>
                  <w:tcW w:w="2014" w:type="dxa"/>
                  <w:tcBorders>
                    <w:tl2br w:val="nil"/>
                    <w:tr2bl w:val="nil"/>
                  </w:tcBorders>
                  <w:vAlign w:val="center"/>
                </w:tcPr>
                <w:p w14:paraId="28BCE895">
                  <w:pPr>
                    <w:autoSpaceDE w:val="0"/>
                    <w:autoSpaceDN w:val="0"/>
                    <w:adjustRightInd w:val="0"/>
                    <w:snapToGrid w:val="0"/>
                    <w:spacing w:line="240" w:lineRule="auto"/>
                    <w:jc w:val="center"/>
                    <w:rPr>
                      <w:rFonts w:hint="eastAsia" w:ascii="宋体" w:hAnsi="宋体" w:cs="宋体"/>
                      <w:b w:val="0"/>
                      <w:bCs w:val="0"/>
                      <w:color w:val="auto"/>
                      <w:kern w:val="0"/>
                      <w:sz w:val="21"/>
                      <w:szCs w:val="21"/>
                      <w:vertAlign w:val="baseline"/>
                    </w:rPr>
                  </w:pPr>
                  <w:r>
                    <w:rPr>
                      <w:rFonts w:hint="eastAsia" w:ascii="宋体" w:hAnsi="宋体" w:cs="宋体"/>
                      <w:b w:val="0"/>
                      <w:bCs w:val="0"/>
                      <w:color w:val="auto"/>
                      <w:kern w:val="0"/>
                      <w:sz w:val="21"/>
                      <w:szCs w:val="21"/>
                      <w:vertAlign w:val="baseline"/>
                    </w:rPr>
                    <w:t>本项目不排放纳入《有毒有害污染物名录》以及设置原则中提及的污染物</w:t>
                  </w:r>
                </w:p>
              </w:tc>
              <w:tc>
                <w:tcPr>
                  <w:tcW w:w="1302" w:type="dxa"/>
                  <w:tcBorders>
                    <w:tl2br w:val="nil"/>
                    <w:tr2bl w:val="nil"/>
                  </w:tcBorders>
                  <w:vAlign w:val="center"/>
                </w:tcPr>
                <w:p w14:paraId="492AAF66">
                  <w:pPr>
                    <w:autoSpaceDE w:val="0"/>
                    <w:autoSpaceDN w:val="0"/>
                    <w:adjustRightInd w:val="0"/>
                    <w:snapToGrid w:val="0"/>
                    <w:spacing w:line="240" w:lineRule="auto"/>
                    <w:jc w:val="center"/>
                    <w:rPr>
                      <w:rFonts w:hint="eastAsia" w:ascii="宋体" w:hAnsi="宋体" w:eastAsia="宋体" w:cs="宋体"/>
                      <w:b w:val="0"/>
                      <w:bCs w:val="0"/>
                      <w:color w:val="auto"/>
                      <w:kern w:val="0"/>
                      <w:sz w:val="21"/>
                      <w:szCs w:val="21"/>
                      <w:vertAlign w:val="baseline"/>
                      <w:lang w:eastAsia="zh-CN"/>
                    </w:rPr>
                  </w:pPr>
                  <w:r>
                    <w:rPr>
                      <w:rFonts w:hint="eastAsia" w:ascii="宋体" w:hAnsi="宋体" w:cs="宋体"/>
                      <w:b w:val="0"/>
                      <w:bCs w:val="0"/>
                      <w:color w:val="auto"/>
                      <w:kern w:val="0"/>
                      <w:sz w:val="21"/>
                      <w:szCs w:val="21"/>
                      <w:vertAlign w:val="baseline"/>
                      <w:lang w:eastAsia="zh-CN"/>
                    </w:rPr>
                    <w:t>不设置</w:t>
                  </w:r>
                </w:p>
              </w:tc>
            </w:tr>
            <w:tr w14:paraId="607F8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092" w:type="dxa"/>
                  <w:tcBorders>
                    <w:tl2br w:val="nil"/>
                    <w:tr2bl w:val="nil"/>
                  </w:tcBorders>
                  <w:vAlign w:val="center"/>
                </w:tcPr>
                <w:p w14:paraId="251F8B38">
                  <w:pPr>
                    <w:autoSpaceDE w:val="0"/>
                    <w:autoSpaceDN w:val="0"/>
                    <w:adjustRightInd w:val="0"/>
                    <w:snapToGrid w:val="0"/>
                    <w:spacing w:line="240" w:lineRule="auto"/>
                    <w:jc w:val="center"/>
                    <w:rPr>
                      <w:rFonts w:hint="eastAsia" w:ascii="宋体" w:hAnsi="宋体" w:eastAsia="宋体" w:cs="宋体"/>
                      <w:b w:val="0"/>
                      <w:bCs w:val="0"/>
                      <w:color w:val="auto"/>
                      <w:kern w:val="0"/>
                      <w:sz w:val="21"/>
                      <w:szCs w:val="21"/>
                      <w:vertAlign w:val="baseline"/>
                      <w:lang w:eastAsia="zh-CN"/>
                    </w:rPr>
                  </w:pPr>
                  <w:r>
                    <w:rPr>
                      <w:rFonts w:hint="eastAsia" w:ascii="宋体" w:hAnsi="宋体" w:cs="宋体"/>
                      <w:b w:val="0"/>
                      <w:bCs w:val="0"/>
                      <w:color w:val="auto"/>
                      <w:kern w:val="0"/>
                      <w:sz w:val="21"/>
                      <w:szCs w:val="21"/>
                      <w:vertAlign w:val="baseline"/>
                      <w:lang w:eastAsia="zh-CN"/>
                    </w:rPr>
                    <w:t>地表水</w:t>
                  </w:r>
                </w:p>
              </w:tc>
              <w:tc>
                <w:tcPr>
                  <w:tcW w:w="3250" w:type="dxa"/>
                  <w:tcBorders>
                    <w:tl2br w:val="nil"/>
                    <w:tr2bl w:val="nil"/>
                  </w:tcBorders>
                  <w:vAlign w:val="center"/>
                </w:tcPr>
                <w:p w14:paraId="16975223">
                  <w:pPr>
                    <w:autoSpaceDE w:val="0"/>
                    <w:autoSpaceDN w:val="0"/>
                    <w:adjustRightInd w:val="0"/>
                    <w:snapToGrid w:val="0"/>
                    <w:spacing w:line="240" w:lineRule="auto"/>
                    <w:jc w:val="center"/>
                    <w:rPr>
                      <w:rFonts w:hint="eastAsia" w:ascii="宋体" w:hAnsi="宋体" w:cs="宋体"/>
                      <w:b w:val="0"/>
                      <w:bCs w:val="0"/>
                      <w:color w:val="auto"/>
                      <w:kern w:val="0"/>
                      <w:sz w:val="21"/>
                      <w:szCs w:val="21"/>
                      <w:vertAlign w:val="baseline"/>
                      <w:lang w:eastAsia="zh-CN"/>
                    </w:rPr>
                  </w:pPr>
                  <w:r>
                    <w:rPr>
                      <w:rFonts w:hint="eastAsia" w:ascii="宋体" w:hAnsi="宋体" w:cs="宋体"/>
                      <w:b w:val="0"/>
                      <w:bCs w:val="0"/>
                      <w:color w:val="auto"/>
                      <w:kern w:val="0"/>
                      <w:sz w:val="21"/>
                      <w:szCs w:val="21"/>
                      <w:vertAlign w:val="baseline"/>
                      <w:lang w:eastAsia="zh-CN"/>
                    </w:rPr>
                    <w:t>新增工业废水直排建设项目（槽罐车外送污水处理厂的除外）：新增废水直排的污水集中处理厂</w:t>
                  </w:r>
                </w:p>
              </w:tc>
              <w:tc>
                <w:tcPr>
                  <w:tcW w:w="2014" w:type="dxa"/>
                  <w:tcBorders>
                    <w:tl2br w:val="nil"/>
                    <w:tr2bl w:val="nil"/>
                  </w:tcBorders>
                  <w:vAlign w:val="center"/>
                </w:tcPr>
                <w:p w14:paraId="2752E613">
                  <w:pPr>
                    <w:autoSpaceDE w:val="0"/>
                    <w:autoSpaceDN w:val="0"/>
                    <w:adjustRightInd w:val="0"/>
                    <w:snapToGrid w:val="0"/>
                    <w:spacing w:line="240" w:lineRule="auto"/>
                    <w:jc w:val="center"/>
                    <w:rPr>
                      <w:rFonts w:hint="eastAsia" w:ascii="宋体" w:hAnsi="宋体" w:cs="宋体"/>
                      <w:b w:val="0"/>
                      <w:bCs w:val="0"/>
                      <w:color w:val="auto"/>
                      <w:kern w:val="0"/>
                      <w:sz w:val="21"/>
                      <w:szCs w:val="21"/>
                      <w:vertAlign w:val="baseline"/>
                    </w:rPr>
                  </w:pPr>
                  <w:r>
                    <w:rPr>
                      <w:rFonts w:hint="eastAsia" w:ascii="宋体" w:hAnsi="宋体" w:cs="宋体"/>
                      <w:b w:val="0"/>
                      <w:bCs w:val="0"/>
                      <w:color w:val="auto"/>
                      <w:kern w:val="0"/>
                      <w:sz w:val="21"/>
                      <w:szCs w:val="21"/>
                      <w:vertAlign w:val="baseline"/>
                    </w:rPr>
                    <w:t>本项目不涉及污水直排</w:t>
                  </w:r>
                </w:p>
              </w:tc>
              <w:tc>
                <w:tcPr>
                  <w:tcW w:w="1302" w:type="dxa"/>
                  <w:tcBorders>
                    <w:tl2br w:val="nil"/>
                    <w:tr2bl w:val="nil"/>
                  </w:tcBorders>
                  <w:vAlign w:val="center"/>
                </w:tcPr>
                <w:p w14:paraId="0E1B920D">
                  <w:pPr>
                    <w:autoSpaceDE w:val="0"/>
                    <w:autoSpaceDN w:val="0"/>
                    <w:adjustRightInd w:val="0"/>
                    <w:snapToGrid w:val="0"/>
                    <w:spacing w:line="240" w:lineRule="auto"/>
                    <w:jc w:val="center"/>
                    <w:rPr>
                      <w:rFonts w:hint="eastAsia" w:ascii="宋体" w:hAnsi="宋体" w:cs="宋体"/>
                      <w:b w:val="0"/>
                      <w:bCs w:val="0"/>
                      <w:color w:val="auto"/>
                      <w:kern w:val="0"/>
                      <w:sz w:val="21"/>
                      <w:szCs w:val="21"/>
                      <w:vertAlign w:val="baseline"/>
                    </w:rPr>
                  </w:pPr>
                  <w:r>
                    <w:rPr>
                      <w:rFonts w:hint="eastAsia" w:ascii="宋体" w:hAnsi="宋体" w:cs="宋体"/>
                      <w:b w:val="0"/>
                      <w:bCs w:val="0"/>
                      <w:color w:val="auto"/>
                      <w:kern w:val="0"/>
                      <w:sz w:val="21"/>
                      <w:szCs w:val="21"/>
                      <w:vertAlign w:val="baseline"/>
                      <w:lang w:eastAsia="zh-CN"/>
                    </w:rPr>
                    <w:t>不设置</w:t>
                  </w:r>
                </w:p>
              </w:tc>
            </w:tr>
            <w:tr w14:paraId="75379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92" w:type="dxa"/>
                  <w:tcBorders>
                    <w:tl2br w:val="nil"/>
                    <w:tr2bl w:val="nil"/>
                  </w:tcBorders>
                  <w:vAlign w:val="center"/>
                </w:tcPr>
                <w:p w14:paraId="30A1E613">
                  <w:pPr>
                    <w:autoSpaceDE w:val="0"/>
                    <w:autoSpaceDN w:val="0"/>
                    <w:adjustRightInd w:val="0"/>
                    <w:snapToGrid w:val="0"/>
                    <w:spacing w:line="240" w:lineRule="auto"/>
                    <w:jc w:val="center"/>
                    <w:rPr>
                      <w:rFonts w:hint="eastAsia" w:ascii="宋体" w:hAnsi="宋体" w:eastAsia="宋体" w:cs="宋体"/>
                      <w:b w:val="0"/>
                      <w:bCs w:val="0"/>
                      <w:color w:val="auto"/>
                      <w:kern w:val="0"/>
                      <w:sz w:val="21"/>
                      <w:szCs w:val="21"/>
                      <w:vertAlign w:val="baseline"/>
                      <w:lang w:eastAsia="zh-CN"/>
                    </w:rPr>
                  </w:pPr>
                  <w:r>
                    <w:rPr>
                      <w:rFonts w:hint="eastAsia" w:ascii="宋体" w:hAnsi="宋体" w:cs="宋体"/>
                      <w:b w:val="0"/>
                      <w:bCs w:val="0"/>
                      <w:color w:val="auto"/>
                      <w:kern w:val="0"/>
                      <w:sz w:val="21"/>
                      <w:szCs w:val="21"/>
                      <w:vertAlign w:val="baseline"/>
                      <w:lang w:eastAsia="zh-CN"/>
                    </w:rPr>
                    <w:t>环境风险</w:t>
                  </w:r>
                </w:p>
              </w:tc>
              <w:tc>
                <w:tcPr>
                  <w:tcW w:w="3250" w:type="dxa"/>
                  <w:tcBorders>
                    <w:tl2br w:val="nil"/>
                    <w:tr2bl w:val="nil"/>
                  </w:tcBorders>
                  <w:vAlign w:val="center"/>
                </w:tcPr>
                <w:p w14:paraId="60C33E8A">
                  <w:pPr>
                    <w:autoSpaceDE w:val="0"/>
                    <w:autoSpaceDN w:val="0"/>
                    <w:adjustRightInd w:val="0"/>
                    <w:snapToGrid w:val="0"/>
                    <w:spacing w:line="240" w:lineRule="auto"/>
                    <w:jc w:val="center"/>
                    <w:rPr>
                      <w:rFonts w:hint="eastAsia" w:ascii="宋体" w:hAnsi="宋体" w:cs="宋体"/>
                      <w:b w:val="0"/>
                      <w:bCs w:val="0"/>
                      <w:color w:val="auto"/>
                      <w:kern w:val="0"/>
                      <w:sz w:val="21"/>
                      <w:szCs w:val="21"/>
                      <w:vertAlign w:val="baseline"/>
                    </w:rPr>
                  </w:pPr>
                  <w:r>
                    <w:rPr>
                      <w:rFonts w:hint="eastAsia" w:ascii="宋体" w:hAnsi="宋体" w:cs="宋体"/>
                      <w:b w:val="0"/>
                      <w:bCs w:val="0"/>
                      <w:color w:val="auto"/>
                      <w:kern w:val="0"/>
                      <w:sz w:val="21"/>
                      <w:szCs w:val="21"/>
                      <w:vertAlign w:val="baseline"/>
                    </w:rPr>
                    <w:t>有毒有害和易燃易爆危险物质存储量超过临界量</w:t>
                  </w:r>
                  <w:r>
                    <w:rPr>
                      <w:rFonts w:hint="eastAsia"/>
                      <w:color w:val="auto"/>
                      <w:sz w:val="21"/>
                      <w:szCs w:val="21"/>
                      <w:vertAlign w:val="superscript"/>
                      <w:lang w:val="en-US" w:eastAsia="zh-CN"/>
                    </w:rPr>
                    <w:t>[3]</w:t>
                  </w:r>
                  <w:r>
                    <w:rPr>
                      <w:rFonts w:hint="eastAsia" w:ascii="宋体" w:hAnsi="宋体" w:cs="宋体"/>
                      <w:b w:val="0"/>
                      <w:bCs w:val="0"/>
                      <w:color w:val="auto"/>
                      <w:kern w:val="0"/>
                      <w:sz w:val="21"/>
                      <w:szCs w:val="21"/>
                      <w:vertAlign w:val="baseline"/>
                    </w:rPr>
                    <w:t>的建设项目</w:t>
                  </w:r>
                </w:p>
              </w:tc>
              <w:tc>
                <w:tcPr>
                  <w:tcW w:w="2014" w:type="dxa"/>
                  <w:tcBorders>
                    <w:tl2br w:val="nil"/>
                    <w:tr2bl w:val="nil"/>
                  </w:tcBorders>
                  <w:vAlign w:val="center"/>
                </w:tcPr>
                <w:p w14:paraId="7C4F8DB9">
                  <w:pPr>
                    <w:autoSpaceDE w:val="0"/>
                    <w:autoSpaceDN w:val="0"/>
                    <w:adjustRightInd w:val="0"/>
                    <w:snapToGrid w:val="0"/>
                    <w:spacing w:line="240" w:lineRule="auto"/>
                    <w:jc w:val="center"/>
                    <w:rPr>
                      <w:rFonts w:hint="eastAsia" w:ascii="宋体" w:hAnsi="宋体" w:cs="宋体"/>
                      <w:b w:val="0"/>
                      <w:bCs w:val="0"/>
                      <w:color w:val="auto"/>
                      <w:kern w:val="0"/>
                      <w:sz w:val="21"/>
                      <w:szCs w:val="21"/>
                      <w:vertAlign w:val="baseline"/>
                    </w:rPr>
                  </w:pPr>
                  <w:r>
                    <w:rPr>
                      <w:rFonts w:hint="eastAsia" w:ascii="宋体" w:hAnsi="宋体" w:cs="宋体"/>
                      <w:b w:val="0"/>
                      <w:bCs w:val="0"/>
                      <w:color w:val="auto"/>
                      <w:kern w:val="0"/>
                      <w:sz w:val="21"/>
                      <w:szCs w:val="21"/>
                      <w:vertAlign w:val="baseline"/>
                    </w:rPr>
                    <w:t>本项目危险物质存储量未超过临界量</w:t>
                  </w:r>
                </w:p>
              </w:tc>
              <w:tc>
                <w:tcPr>
                  <w:tcW w:w="1302" w:type="dxa"/>
                  <w:tcBorders>
                    <w:tl2br w:val="nil"/>
                    <w:tr2bl w:val="nil"/>
                  </w:tcBorders>
                  <w:vAlign w:val="center"/>
                </w:tcPr>
                <w:p w14:paraId="7C0D70F8">
                  <w:pPr>
                    <w:autoSpaceDE w:val="0"/>
                    <w:autoSpaceDN w:val="0"/>
                    <w:adjustRightInd w:val="0"/>
                    <w:snapToGrid w:val="0"/>
                    <w:spacing w:line="240" w:lineRule="auto"/>
                    <w:jc w:val="center"/>
                    <w:rPr>
                      <w:rFonts w:hint="eastAsia" w:ascii="宋体" w:hAnsi="宋体" w:cs="宋体"/>
                      <w:b w:val="0"/>
                      <w:bCs w:val="0"/>
                      <w:color w:val="auto"/>
                      <w:kern w:val="0"/>
                      <w:sz w:val="21"/>
                      <w:szCs w:val="21"/>
                      <w:vertAlign w:val="baseline"/>
                    </w:rPr>
                  </w:pPr>
                  <w:r>
                    <w:rPr>
                      <w:rFonts w:hint="eastAsia" w:ascii="宋体" w:hAnsi="宋体" w:cs="宋体"/>
                      <w:b w:val="0"/>
                      <w:bCs w:val="0"/>
                      <w:color w:val="auto"/>
                      <w:kern w:val="0"/>
                      <w:sz w:val="21"/>
                      <w:szCs w:val="21"/>
                      <w:vertAlign w:val="baseline"/>
                      <w:lang w:eastAsia="zh-CN"/>
                    </w:rPr>
                    <w:t>不设置</w:t>
                  </w:r>
                </w:p>
              </w:tc>
            </w:tr>
            <w:tr w14:paraId="40CBB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92" w:type="dxa"/>
                  <w:tcBorders>
                    <w:tl2br w:val="nil"/>
                    <w:tr2bl w:val="nil"/>
                  </w:tcBorders>
                  <w:vAlign w:val="center"/>
                </w:tcPr>
                <w:p w14:paraId="02FAC5E6">
                  <w:pPr>
                    <w:autoSpaceDE w:val="0"/>
                    <w:autoSpaceDN w:val="0"/>
                    <w:adjustRightInd w:val="0"/>
                    <w:snapToGrid w:val="0"/>
                    <w:spacing w:line="240" w:lineRule="auto"/>
                    <w:jc w:val="center"/>
                    <w:rPr>
                      <w:rFonts w:hint="eastAsia" w:ascii="宋体" w:hAnsi="宋体" w:eastAsia="宋体" w:cs="宋体"/>
                      <w:b w:val="0"/>
                      <w:bCs w:val="0"/>
                      <w:color w:val="auto"/>
                      <w:kern w:val="0"/>
                      <w:sz w:val="21"/>
                      <w:szCs w:val="21"/>
                      <w:vertAlign w:val="baseline"/>
                      <w:lang w:eastAsia="zh-CN"/>
                    </w:rPr>
                  </w:pPr>
                  <w:r>
                    <w:rPr>
                      <w:rFonts w:hint="eastAsia" w:ascii="宋体" w:hAnsi="宋体" w:cs="宋体"/>
                      <w:b w:val="0"/>
                      <w:bCs w:val="0"/>
                      <w:color w:val="auto"/>
                      <w:kern w:val="0"/>
                      <w:sz w:val="21"/>
                      <w:szCs w:val="21"/>
                      <w:vertAlign w:val="baseline"/>
                      <w:lang w:eastAsia="zh-CN"/>
                    </w:rPr>
                    <w:t>生态</w:t>
                  </w:r>
                </w:p>
              </w:tc>
              <w:tc>
                <w:tcPr>
                  <w:tcW w:w="3250" w:type="dxa"/>
                  <w:tcBorders>
                    <w:tl2br w:val="nil"/>
                    <w:tr2bl w:val="nil"/>
                  </w:tcBorders>
                  <w:vAlign w:val="center"/>
                </w:tcPr>
                <w:p w14:paraId="24877515">
                  <w:pPr>
                    <w:autoSpaceDE w:val="0"/>
                    <w:autoSpaceDN w:val="0"/>
                    <w:adjustRightInd w:val="0"/>
                    <w:snapToGrid w:val="0"/>
                    <w:spacing w:line="240" w:lineRule="auto"/>
                    <w:jc w:val="center"/>
                    <w:rPr>
                      <w:rFonts w:hint="eastAsia" w:ascii="宋体" w:hAnsi="宋体" w:cs="宋体"/>
                      <w:b w:val="0"/>
                      <w:bCs w:val="0"/>
                      <w:color w:val="auto"/>
                      <w:kern w:val="0"/>
                      <w:sz w:val="21"/>
                      <w:szCs w:val="21"/>
                      <w:vertAlign w:val="baseline"/>
                    </w:rPr>
                  </w:pPr>
                  <w:r>
                    <w:rPr>
                      <w:rFonts w:hint="eastAsia" w:ascii="宋体" w:hAnsi="宋体" w:cs="宋体"/>
                      <w:b w:val="0"/>
                      <w:bCs w:val="0"/>
                      <w:color w:val="auto"/>
                      <w:kern w:val="0"/>
                      <w:sz w:val="21"/>
                      <w:szCs w:val="21"/>
                      <w:vertAlign w:val="baseline"/>
                    </w:rPr>
                    <w:t>取水口下</w:t>
                  </w:r>
                  <w:r>
                    <w:rPr>
                      <w:rFonts w:hint="eastAsia"/>
                      <w:color w:val="auto"/>
                      <w:sz w:val="21"/>
                      <w:szCs w:val="21"/>
                      <w:lang w:eastAsia="zh-CN"/>
                    </w:rPr>
                    <w:t>游500</w:t>
                  </w:r>
                  <w:r>
                    <w:rPr>
                      <w:rFonts w:hint="eastAsia" w:ascii="宋体" w:hAnsi="宋体" w:cs="宋体"/>
                      <w:b w:val="0"/>
                      <w:bCs w:val="0"/>
                      <w:color w:val="auto"/>
                      <w:kern w:val="0"/>
                      <w:sz w:val="21"/>
                      <w:szCs w:val="21"/>
                      <w:vertAlign w:val="baseline"/>
                    </w:rPr>
                    <w:t>米范围内有重要水生生物的自然产卵场、索饵场、越冬场和洄游通道的新增河道取水的污染类建设项目</w:t>
                  </w:r>
                </w:p>
              </w:tc>
              <w:tc>
                <w:tcPr>
                  <w:tcW w:w="2014" w:type="dxa"/>
                  <w:tcBorders>
                    <w:tl2br w:val="nil"/>
                    <w:tr2bl w:val="nil"/>
                  </w:tcBorders>
                  <w:vAlign w:val="center"/>
                </w:tcPr>
                <w:p w14:paraId="53396CB0">
                  <w:pPr>
                    <w:autoSpaceDE w:val="0"/>
                    <w:autoSpaceDN w:val="0"/>
                    <w:adjustRightInd w:val="0"/>
                    <w:snapToGrid w:val="0"/>
                    <w:spacing w:line="240" w:lineRule="auto"/>
                    <w:jc w:val="center"/>
                    <w:rPr>
                      <w:rFonts w:hint="eastAsia" w:ascii="宋体" w:hAnsi="宋体" w:cs="宋体"/>
                      <w:b w:val="0"/>
                      <w:bCs w:val="0"/>
                      <w:color w:val="auto"/>
                      <w:kern w:val="0"/>
                      <w:sz w:val="21"/>
                      <w:szCs w:val="21"/>
                      <w:vertAlign w:val="baseline"/>
                    </w:rPr>
                  </w:pPr>
                  <w:r>
                    <w:rPr>
                      <w:rFonts w:hint="eastAsia" w:ascii="宋体" w:hAnsi="宋体" w:cs="宋体"/>
                      <w:b w:val="0"/>
                      <w:bCs w:val="0"/>
                      <w:color w:val="auto"/>
                      <w:kern w:val="0"/>
                      <w:sz w:val="21"/>
                      <w:szCs w:val="21"/>
                      <w:vertAlign w:val="baseline"/>
                    </w:rPr>
                    <w:t>本项目不涉及河道取水</w:t>
                  </w:r>
                </w:p>
              </w:tc>
              <w:tc>
                <w:tcPr>
                  <w:tcW w:w="1302" w:type="dxa"/>
                  <w:tcBorders>
                    <w:tl2br w:val="nil"/>
                    <w:tr2bl w:val="nil"/>
                  </w:tcBorders>
                  <w:vAlign w:val="center"/>
                </w:tcPr>
                <w:p w14:paraId="4B409D83">
                  <w:pPr>
                    <w:autoSpaceDE w:val="0"/>
                    <w:autoSpaceDN w:val="0"/>
                    <w:adjustRightInd w:val="0"/>
                    <w:snapToGrid w:val="0"/>
                    <w:spacing w:line="240" w:lineRule="auto"/>
                    <w:jc w:val="center"/>
                    <w:rPr>
                      <w:rFonts w:hint="eastAsia" w:ascii="宋体" w:hAnsi="宋体" w:cs="宋体"/>
                      <w:b w:val="0"/>
                      <w:bCs w:val="0"/>
                      <w:color w:val="auto"/>
                      <w:kern w:val="0"/>
                      <w:sz w:val="21"/>
                      <w:szCs w:val="21"/>
                      <w:vertAlign w:val="baseline"/>
                    </w:rPr>
                  </w:pPr>
                  <w:r>
                    <w:rPr>
                      <w:rFonts w:hint="eastAsia" w:ascii="宋体" w:hAnsi="宋体" w:cs="宋体"/>
                      <w:b w:val="0"/>
                      <w:bCs w:val="0"/>
                      <w:color w:val="auto"/>
                      <w:kern w:val="0"/>
                      <w:sz w:val="21"/>
                      <w:szCs w:val="21"/>
                      <w:vertAlign w:val="baseline"/>
                      <w:lang w:eastAsia="zh-CN"/>
                    </w:rPr>
                    <w:t>不设置</w:t>
                  </w:r>
                </w:p>
              </w:tc>
            </w:tr>
            <w:tr w14:paraId="794A5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092" w:type="dxa"/>
                  <w:tcBorders>
                    <w:tl2br w:val="nil"/>
                    <w:tr2bl w:val="nil"/>
                  </w:tcBorders>
                  <w:vAlign w:val="center"/>
                </w:tcPr>
                <w:p w14:paraId="3599E3CC">
                  <w:pPr>
                    <w:autoSpaceDE w:val="0"/>
                    <w:autoSpaceDN w:val="0"/>
                    <w:adjustRightInd w:val="0"/>
                    <w:snapToGrid w:val="0"/>
                    <w:spacing w:line="240" w:lineRule="auto"/>
                    <w:jc w:val="center"/>
                    <w:rPr>
                      <w:rFonts w:hint="eastAsia" w:ascii="宋体" w:hAnsi="宋体" w:eastAsia="宋体" w:cs="宋体"/>
                      <w:b w:val="0"/>
                      <w:bCs w:val="0"/>
                      <w:color w:val="auto"/>
                      <w:kern w:val="0"/>
                      <w:sz w:val="21"/>
                      <w:szCs w:val="21"/>
                      <w:vertAlign w:val="baseline"/>
                      <w:lang w:eastAsia="zh-CN"/>
                    </w:rPr>
                  </w:pPr>
                  <w:r>
                    <w:rPr>
                      <w:rFonts w:hint="eastAsia" w:ascii="宋体" w:hAnsi="宋体" w:cs="宋体"/>
                      <w:b w:val="0"/>
                      <w:bCs w:val="0"/>
                      <w:color w:val="auto"/>
                      <w:kern w:val="0"/>
                      <w:sz w:val="21"/>
                      <w:szCs w:val="21"/>
                      <w:vertAlign w:val="baseline"/>
                      <w:lang w:eastAsia="zh-CN"/>
                    </w:rPr>
                    <w:t>海洋</w:t>
                  </w:r>
                </w:p>
              </w:tc>
              <w:tc>
                <w:tcPr>
                  <w:tcW w:w="3250" w:type="dxa"/>
                  <w:tcBorders>
                    <w:tl2br w:val="nil"/>
                    <w:tr2bl w:val="nil"/>
                  </w:tcBorders>
                  <w:vAlign w:val="center"/>
                </w:tcPr>
                <w:p w14:paraId="183E16B4">
                  <w:pPr>
                    <w:autoSpaceDE w:val="0"/>
                    <w:autoSpaceDN w:val="0"/>
                    <w:adjustRightInd w:val="0"/>
                    <w:snapToGrid w:val="0"/>
                    <w:spacing w:line="240" w:lineRule="auto"/>
                    <w:jc w:val="center"/>
                    <w:rPr>
                      <w:rFonts w:hint="eastAsia" w:ascii="宋体" w:hAnsi="宋体" w:cs="宋体"/>
                      <w:b w:val="0"/>
                      <w:bCs w:val="0"/>
                      <w:color w:val="auto"/>
                      <w:kern w:val="0"/>
                      <w:sz w:val="21"/>
                      <w:szCs w:val="21"/>
                      <w:vertAlign w:val="baseline"/>
                    </w:rPr>
                  </w:pPr>
                  <w:r>
                    <w:rPr>
                      <w:rFonts w:hint="eastAsia" w:ascii="宋体" w:hAnsi="宋体" w:cs="宋体"/>
                      <w:b w:val="0"/>
                      <w:bCs w:val="0"/>
                      <w:color w:val="auto"/>
                      <w:kern w:val="0"/>
                      <w:sz w:val="21"/>
                      <w:szCs w:val="21"/>
                      <w:vertAlign w:val="baseline"/>
                    </w:rPr>
                    <w:t>直接向海排放污染物的海洋工程建设项目</w:t>
                  </w:r>
                </w:p>
              </w:tc>
              <w:tc>
                <w:tcPr>
                  <w:tcW w:w="2014" w:type="dxa"/>
                  <w:tcBorders>
                    <w:tl2br w:val="nil"/>
                    <w:tr2bl w:val="nil"/>
                  </w:tcBorders>
                  <w:vAlign w:val="center"/>
                </w:tcPr>
                <w:p w14:paraId="0F9D7512">
                  <w:pPr>
                    <w:autoSpaceDE w:val="0"/>
                    <w:autoSpaceDN w:val="0"/>
                    <w:adjustRightInd w:val="0"/>
                    <w:snapToGrid w:val="0"/>
                    <w:spacing w:line="240" w:lineRule="auto"/>
                    <w:jc w:val="center"/>
                    <w:rPr>
                      <w:rFonts w:hint="eastAsia" w:ascii="宋体" w:hAnsi="宋体" w:cs="宋体"/>
                      <w:b w:val="0"/>
                      <w:bCs w:val="0"/>
                      <w:color w:val="auto"/>
                      <w:kern w:val="0"/>
                      <w:sz w:val="21"/>
                      <w:szCs w:val="21"/>
                      <w:vertAlign w:val="baseline"/>
                    </w:rPr>
                  </w:pPr>
                  <w:r>
                    <w:rPr>
                      <w:rFonts w:hint="eastAsia" w:ascii="宋体" w:hAnsi="宋体" w:cs="宋体"/>
                      <w:b w:val="0"/>
                      <w:bCs w:val="0"/>
                      <w:color w:val="auto"/>
                      <w:kern w:val="0"/>
                      <w:sz w:val="21"/>
                      <w:szCs w:val="21"/>
                      <w:vertAlign w:val="baseline"/>
                    </w:rPr>
                    <w:t>本项目不涉及向海洋排放污染物</w:t>
                  </w:r>
                </w:p>
              </w:tc>
              <w:tc>
                <w:tcPr>
                  <w:tcW w:w="1302" w:type="dxa"/>
                  <w:tcBorders>
                    <w:tl2br w:val="nil"/>
                    <w:tr2bl w:val="nil"/>
                  </w:tcBorders>
                  <w:vAlign w:val="center"/>
                </w:tcPr>
                <w:p w14:paraId="58B5A86D">
                  <w:pPr>
                    <w:autoSpaceDE w:val="0"/>
                    <w:autoSpaceDN w:val="0"/>
                    <w:adjustRightInd w:val="0"/>
                    <w:snapToGrid w:val="0"/>
                    <w:spacing w:line="240" w:lineRule="auto"/>
                    <w:jc w:val="center"/>
                    <w:rPr>
                      <w:rFonts w:hint="eastAsia" w:ascii="宋体" w:hAnsi="宋体" w:cs="宋体"/>
                      <w:b w:val="0"/>
                      <w:bCs w:val="0"/>
                      <w:color w:val="auto"/>
                      <w:kern w:val="0"/>
                      <w:sz w:val="21"/>
                      <w:szCs w:val="21"/>
                      <w:vertAlign w:val="baseline"/>
                    </w:rPr>
                  </w:pPr>
                  <w:r>
                    <w:rPr>
                      <w:rFonts w:hint="eastAsia" w:ascii="宋体" w:hAnsi="宋体" w:cs="宋体"/>
                      <w:b w:val="0"/>
                      <w:bCs w:val="0"/>
                      <w:color w:val="auto"/>
                      <w:kern w:val="0"/>
                      <w:sz w:val="21"/>
                      <w:szCs w:val="21"/>
                      <w:vertAlign w:val="baseline"/>
                      <w:lang w:eastAsia="zh-CN"/>
                    </w:rPr>
                    <w:t>不设置</w:t>
                  </w:r>
                </w:p>
              </w:tc>
            </w:tr>
          </w:tbl>
          <w:p w14:paraId="49EB9DE4">
            <w:pPr>
              <w:ind w:firstLine="360" w:firstLineChars="200"/>
              <w:rPr>
                <w:rFonts w:hint="eastAsia"/>
                <w:color w:val="auto"/>
                <w:sz w:val="18"/>
                <w:szCs w:val="18"/>
                <w:lang w:val="en-US" w:eastAsia="zh-CN"/>
              </w:rPr>
            </w:pPr>
            <w:r>
              <w:rPr>
                <w:rFonts w:hint="eastAsia"/>
                <w:color w:val="auto"/>
                <w:sz w:val="18"/>
                <w:szCs w:val="18"/>
                <w:lang w:eastAsia="zh-CN"/>
              </w:rPr>
              <w:t>注：</w:t>
            </w:r>
            <w:r>
              <w:rPr>
                <w:rFonts w:hint="eastAsia"/>
                <w:color w:val="auto"/>
                <w:sz w:val="18"/>
                <w:szCs w:val="18"/>
                <w:lang w:val="en-US" w:eastAsia="zh-CN"/>
              </w:rPr>
              <w:t>[1]废气中有毒有害污染物指纳入《有毒有害大气污染物名录》的污染物（不包括无排放标准的污染物）。</w:t>
            </w:r>
          </w:p>
          <w:p w14:paraId="5115764D">
            <w:pPr>
              <w:ind w:firstLine="360" w:firstLineChars="200"/>
              <w:rPr>
                <w:rFonts w:hint="eastAsia"/>
                <w:color w:val="auto"/>
                <w:sz w:val="18"/>
                <w:szCs w:val="18"/>
                <w:lang w:val="en-US" w:eastAsia="zh-CN"/>
              </w:rPr>
            </w:pPr>
            <w:r>
              <w:rPr>
                <w:rFonts w:hint="eastAsia"/>
                <w:color w:val="auto"/>
                <w:sz w:val="18"/>
                <w:szCs w:val="18"/>
                <w:lang w:val="en-US" w:eastAsia="zh-CN"/>
              </w:rPr>
              <w:t>[2]环境空气保护目标指自然保护区、风景名胜区、居住区、文化区和农村地区中人群较集中的区域。</w:t>
            </w:r>
          </w:p>
          <w:p w14:paraId="4A22A0CF">
            <w:pPr>
              <w:ind w:firstLine="360" w:firstLineChars="200"/>
              <w:rPr>
                <w:rFonts w:hint="eastAsia"/>
                <w:color w:val="FF0000"/>
                <w:sz w:val="18"/>
                <w:szCs w:val="18"/>
                <w:lang w:val="en-US" w:eastAsia="zh-CN"/>
              </w:rPr>
            </w:pPr>
            <w:r>
              <w:rPr>
                <w:rFonts w:hint="eastAsia"/>
                <w:color w:val="auto"/>
                <w:sz w:val="18"/>
                <w:szCs w:val="18"/>
                <w:lang w:val="en-US" w:eastAsia="zh-CN"/>
              </w:rPr>
              <w:t>[3]临界量及其计算方法可参考《建设项目环境风险评价技术导则》（HJ169）附录B、附录C。</w:t>
            </w:r>
          </w:p>
        </w:tc>
      </w:tr>
      <w:tr w14:paraId="04F28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0" w:type="dxa"/>
            <w:vAlign w:val="center"/>
          </w:tcPr>
          <w:p w14:paraId="4FCB8FA9">
            <w:pPr>
              <w:autoSpaceDE w:val="0"/>
              <w:autoSpaceDN w:val="0"/>
              <w:adjustRightInd w:val="0"/>
              <w:snapToGrid w:val="0"/>
              <w:ind w:right="76" w:rightChars="36"/>
              <w:jc w:val="center"/>
              <w:rPr>
                <w:rFonts w:ascii="宋体" w:hAnsi="宋体" w:cs="宋体"/>
                <w:b/>
                <w:bCs/>
                <w:color w:val="auto"/>
                <w:kern w:val="0"/>
                <w:sz w:val="24"/>
                <w:szCs w:val="24"/>
              </w:rPr>
            </w:pPr>
            <w:r>
              <w:rPr>
                <w:rFonts w:hint="eastAsia" w:ascii="宋体" w:hAnsi="宋体" w:cs="宋体"/>
                <w:b/>
                <w:bCs/>
                <w:color w:val="auto"/>
                <w:sz w:val="24"/>
                <w:szCs w:val="24"/>
              </w:rPr>
              <w:t>规划情况</w:t>
            </w:r>
          </w:p>
        </w:tc>
        <w:tc>
          <w:tcPr>
            <w:tcW w:w="7800" w:type="dxa"/>
            <w:gridSpan w:val="3"/>
            <w:vAlign w:val="center"/>
          </w:tcPr>
          <w:p w14:paraId="4E9EAE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lang w:val="en-US" w:eastAsia="zh-CN"/>
              </w:rPr>
              <w:t>规划名称：《江苏常州滨江经济开发区发展规划》</w:t>
            </w:r>
          </w:p>
          <w:p w14:paraId="61866F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审批机关、审批文件名称及文号：无</w:t>
            </w:r>
            <w:r>
              <w:rPr>
                <w:rFonts w:hint="eastAsia" w:ascii="Times New Roman" w:hAnsi="Times New Roman" w:cs="Times New Roman"/>
                <w:color w:val="auto"/>
                <w:sz w:val="24"/>
                <w:highlight w:val="none"/>
                <w:lang w:val="en-US" w:eastAsia="zh-CN"/>
              </w:rPr>
              <w:t>；</w:t>
            </w:r>
          </w:p>
          <w:p w14:paraId="698DE0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color w:val="auto"/>
                <w:sz w:val="24"/>
                <w:highlight w:val="none"/>
                <w:lang w:val="en-US" w:eastAsia="zh-CN"/>
              </w:rPr>
            </w:pP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lang w:val="en-US" w:eastAsia="zh-CN"/>
              </w:rPr>
              <w:t>规划名称：</w:t>
            </w:r>
            <w:r>
              <w:rPr>
                <w:rFonts w:hint="eastAsia" w:ascii="Times New Roman" w:hAnsi="Times New Roman" w:cs="Times New Roman"/>
                <w:color w:val="auto"/>
                <w:sz w:val="24"/>
                <w:highlight w:val="none"/>
                <w:lang w:val="en-US" w:eastAsia="zh-CN"/>
              </w:rPr>
              <w:t>《江苏常州滨江经济开发区（不含新材料产业园）发展规划（2021-2035年）》</w:t>
            </w:r>
          </w:p>
          <w:p w14:paraId="09AC7FCF">
            <w:pPr>
              <w:keepNext w:val="0"/>
              <w:keepLines w:val="0"/>
              <w:pageBreakBefore w:val="0"/>
              <w:widowControl w:val="0"/>
              <w:kinsoku/>
              <w:wordWrap/>
              <w:overflowPunct/>
              <w:topLinePunct w:val="0"/>
              <w:autoSpaceDE/>
              <w:autoSpaceDN/>
              <w:bidi w:val="0"/>
              <w:spacing w:line="360" w:lineRule="auto"/>
              <w:ind w:right="0" w:firstLine="480" w:firstLineChars="200"/>
              <w:jc w:val="left"/>
              <w:textAlignment w:val="auto"/>
              <w:rPr>
                <w:rFonts w:hint="eastAsia"/>
                <w:color w:val="FF0000"/>
                <w:sz w:val="24"/>
                <w:lang w:eastAsia="zh-CN"/>
              </w:rPr>
            </w:pPr>
            <w:r>
              <w:rPr>
                <w:rFonts w:hint="default" w:ascii="Times New Roman" w:hAnsi="Times New Roman" w:cs="Times New Roman"/>
                <w:color w:val="auto"/>
                <w:sz w:val="24"/>
                <w:highlight w:val="none"/>
                <w:lang w:val="en-US" w:eastAsia="zh-CN"/>
              </w:rPr>
              <w:t>审批机关、审批文件名称及文号：无</w:t>
            </w:r>
            <w:r>
              <w:rPr>
                <w:rFonts w:hint="eastAsia" w:ascii="Times New Roman" w:hAnsi="Times New Roman" w:cs="Times New Roman"/>
                <w:color w:val="auto"/>
                <w:sz w:val="24"/>
                <w:highlight w:val="none"/>
                <w:lang w:val="en-US" w:eastAsia="zh-CN"/>
              </w:rPr>
              <w:t>。</w:t>
            </w:r>
          </w:p>
        </w:tc>
      </w:tr>
      <w:tr w14:paraId="2C171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70" w:type="dxa"/>
            <w:vAlign w:val="center"/>
          </w:tcPr>
          <w:p w14:paraId="56CD70DD">
            <w:pPr>
              <w:adjustRightInd w:val="0"/>
              <w:snapToGrid w:val="0"/>
              <w:jc w:val="center"/>
              <w:rPr>
                <w:rFonts w:ascii="宋体" w:hAnsi="宋体" w:cs="宋体"/>
                <w:b/>
                <w:bCs/>
                <w:color w:val="auto"/>
                <w:kern w:val="0"/>
                <w:sz w:val="24"/>
                <w:szCs w:val="24"/>
              </w:rPr>
            </w:pPr>
            <w:r>
              <w:rPr>
                <w:rFonts w:hint="eastAsia" w:ascii="宋体" w:hAnsi="宋体" w:cs="宋体"/>
                <w:b/>
                <w:bCs/>
                <w:color w:val="auto"/>
                <w:sz w:val="24"/>
                <w:szCs w:val="24"/>
              </w:rPr>
              <w:t>规划环境影响评价情况</w:t>
            </w:r>
          </w:p>
        </w:tc>
        <w:tc>
          <w:tcPr>
            <w:tcW w:w="7800" w:type="dxa"/>
            <w:gridSpan w:val="3"/>
            <w:vAlign w:val="center"/>
          </w:tcPr>
          <w:p w14:paraId="36E28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（1）《常州市新北区新港分区环境影响报告书》；</w:t>
            </w:r>
          </w:p>
          <w:p w14:paraId="484A96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审查机关：江苏省环境保护厅；</w:t>
            </w:r>
          </w:p>
          <w:p w14:paraId="465F4F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审查意见名称及文号：《关于对常州市新北区新港分区环境影响报告书的批复》（苏环管[2008]137号）；</w:t>
            </w:r>
          </w:p>
          <w:p w14:paraId="52A13B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（2）《江苏常州滨江经济开发区规划环境影响跟踪评价报告书》</w:t>
            </w:r>
          </w:p>
          <w:p w14:paraId="202864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审查机关：江苏省环境保护厅；</w:t>
            </w:r>
          </w:p>
          <w:p w14:paraId="418557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审查意见名称及文号：《关于江苏常州滨江经济开发区规划环境影响跟踪评价报告书的审核意见》（苏环审[2014]27号）</w:t>
            </w:r>
            <w:r>
              <w:rPr>
                <w:rFonts w:hint="eastAsia" w:ascii="Times New Roman" w:hAnsi="Times New Roman" w:eastAsia="宋体" w:cs="Times New Roman"/>
                <w:color w:val="auto"/>
                <w:sz w:val="24"/>
                <w:highlight w:val="none"/>
                <w:lang w:val="en-US" w:eastAsia="zh-CN"/>
              </w:rPr>
              <w:t>；</w:t>
            </w:r>
          </w:p>
          <w:p w14:paraId="2851ED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（3）《江苏常州滨江经济开发区（不含新材料产业园）发展规划环境影响报告书（征求意见稿）》</w:t>
            </w:r>
          </w:p>
          <w:p w14:paraId="664A31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审查机关：</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w:t>
            </w:r>
          </w:p>
          <w:p w14:paraId="0E41F0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olor w:val="FF0000"/>
                <w:lang w:eastAsia="zh-CN"/>
              </w:rPr>
            </w:pPr>
            <w:r>
              <w:rPr>
                <w:rFonts w:hint="default" w:ascii="Times New Roman" w:hAnsi="Times New Roman" w:eastAsia="宋体" w:cs="Times New Roman"/>
                <w:color w:val="auto"/>
                <w:sz w:val="24"/>
                <w:highlight w:val="none"/>
                <w:lang w:val="en-US" w:eastAsia="zh-CN"/>
              </w:rPr>
              <w:t>审查意见名称及文号：</w:t>
            </w:r>
            <w:r>
              <w:rPr>
                <w:rFonts w:hint="eastAsia" w:ascii="Times New Roman" w:hAnsi="Times New Roman" w:eastAsia="宋体" w:cs="Times New Roman"/>
                <w:color w:val="auto"/>
                <w:sz w:val="24"/>
                <w:highlight w:val="none"/>
                <w:lang w:val="en-US" w:eastAsia="zh-CN"/>
              </w:rPr>
              <w:t>/。</w:t>
            </w:r>
          </w:p>
        </w:tc>
      </w:tr>
      <w:tr w14:paraId="684FA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0" w:type="dxa"/>
            <w:vAlign w:val="center"/>
          </w:tcPr>
          <w:p w14:paraId="5004CD26">
            <w:pPr>
              <w:autoSpaceDE w:val="0"/>
              <w:autoSpaceDN w:val="0"/>
              <w:adjustRightInd w:val="0"/>
              <w:snapToGrid w:val="0"/>
              <w:jc w:val="center"/>
              <w:rPr>
                <w:rFonts w:ascii="宋体" w:hAnsi="宋体" w:cs="宋体"/>
                <w:b/>
                <w:bCs/>
                <w:color w:val="auto"/>
                <w:sz w:val="24"/>
                <w:szCs w:val="24"/>
              </w:rPr>
            </w:pPr>
            <w:r>
              <w:rPr>
                <w:rFonts w:hint="eastAsia" w:ascii="宋体" w:hAnsi="宋体" w:cs="宋体"/>
                <w:b/>
                <w:bCs/>
                <w:color w:val="auto"/>
                <w:kern w:val="0"/>
                <w:sz w:val="24"/>
                <w:szCs w:val="24"/>
              </w:rPr>
              <w:t>规划及规划环境影响评价符合性分析</w:t>
            </w:r>
          </w:p>
        </w:tc>
        <w:tc>
          <w:tcPr>
            <w:tcW w:w="7800" w:type="dxa"/>
            <w:gridSpan w:val="3"/>
            <w:vAlign w:val="center"/>
          </w:tcPr>
          <w:p w14:paraId="2E922E77">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cs="Times New Roman"/>
                <w:b/>
                <w:bCs/>
                <w:color w:val="auto"/>
                <w:kern w:val="0"/>
                <w:sz w:val="24"/>
                <w:szCs w:val="24"/>
                <w:highlight w:val="none"/>
                <w:lang w:val="en-US" w:eastAsia="zh-CN"/>
              </w:rPr>
            </w:pPr>
            <w:r>
              <w:rPr>
                <w:rFonts w:hint="default" w:cs="Times New Roman"/>
                <w:b/>
                <w:bCs/>
                <w:color w:val="auto"/>
                <w:kern w:val="0"/>
                <w:sz w:val="24"/>
                <w:szCs w:val="24"/>
                <w:highlight w:val="none"/>
                <w:lang w:val="en-US" w:eastAsia="zh-CN"/>
              </w:rPr>
              <w:t>1、</w:t>
            </w:r>
            <w:r>
              <w:rPr>
                <w:rFonts w:hint="eastAsia" w:cs="Times New Roman"/>
                <w:b/>
                <w:bCs/>
                <w:color w:val="auto"/>
                <w:kern w:val="0"/>
                <w:sz w:val="24"/>
                <w:szCs w:val="24"/>
                <w:highlight w:val="none"/>
                <w:lang w:val="en-US" w:eastAsia="zh-CN"/>
              </w:rPr>
              <w:t>与规划相符性分析</w:t>
            </w:r>
          </w:p>
          <w:p w14:paraId="7BC17B87">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default" w:ascii="Times New Roman" w:hAnsi="Times New Roman" w:cs="Times New Roman"/>
                <w:b/>
                <w:bCs/>
                <w:color w:val="auto"/>
                <w:kern w:val="0"/>
                <w:sz w:val="24"/>
                <w:szCs w:val="24"/>
                <w:highlight w:val="none"/>
              </w:rPr>
            </w:pPr>
            <w:r>
              <w:rPr>
                <w:rFonts w:hint="eastAsia" w:cs="Times New Roman"/>
                <w:b/>
                <w:bCs/>
                <w:color w:val="auto"/>
                <w:kern w:val="0"/>
                <w:sz w:val="24"/>
                <w:szCs w:val="24"/>
                <w:highlight w:val="none"/>
                <w:lang w:val="en-US" w:eastAsia="zh-CN"/>
              </w:rPr>
              <w:t>1.1、</w:t>
            </w:r>
            <w:r>
              <w:rPr>
                <w:rFonts w:hint="default" w:ascii="Times New Roman" w:hAnsi="Times New Roman" w:cs="Times New Roman"/>
                <w:b/>
                <w:bCs/>
                <w:color w:val="auto"/>
                <w:kern w:val="0"/>
                <w:sz w:val="24"/>
                <w:szCs w:val="24"/>
                <w:highlight w:val="none"/>
              </w:rPr>
              <w:t>与</w:t>
            </w:r>
            <w:r>
              <w:rPr>
                <w:rFonts w:hint="eastAsia" w:cs="Times New Roman"/>
                <w:b/>
                <w:bCs/>
                <w:color w:val="auto"/>
                <w:kern w:val="0"/>
                <w:sz w:val="24"/>
                <w:szCs w:val="24"/>
                <w:highlight w:val="none"/>
                <w:lang w:eastAsia="zh-CN"/>
              </w:rPr>
              <w:t>“</w:t>
            </w:r>
            <w:r>
              <w:rPr>
                <w:rFonts w:hint="default" w:ascii="Times New Roman" w:hAnsi="Times New Roman" w:cs="Times New Roman"/>
                <w:b/>
                <w:bCs/>
                <w:color w:val="auto"/>
                <w:kern w:val="0"/>
                <w:sz w:val="24"/>
                <w:szCs w:val="24"/>
                <w:highlight w:val="none"/>
              </w:rPr>
              <w:t>江苏常州滨江经济开发区发展规划</w:t>
            </w:r>
            <w:r>
              <w:rPr>
                <w:rFonts w:hint="eastAsia" w:cs="Times New Roman"/>
                <w:b/>
                <w:bCs/>
                <w:color w:val="auto"/>
                <w:kern w:val="0"/>
                <w:sz w:val="24"/>
                <w:szCs w:val="24"/>
                <w:highlight w:val="none"/>
                <w:lang w:eastAsia="zh-CN"/>
              </w:rPr>
              <w:t>”</w:t>
            </w:r>
            <w:r>
              <w:rPr>
                <w:rFonts w:hint="default" w:ascii="Times New Roman" w:hAnsi="Times New Roman" w:cs="Times New Roman"/>
                <w:b/>
                <w:bCs/>
                <w:color w:val="auto"/>
                <w:kern w:val="0"/>
                <w:sz w:val="24"/>
                <w:szCs w:val="24"/>
                <w:highlight w:val="none"/>
              </w:rPr>
              <w:t>相符性分析</w:t>
            </w:r>
          </w:p>
          <w:p w14:paraId="337E5C2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江苏常州滨江经济开发区（原江苏常州新北区工业园区，又称常州市新北区新港分区）位于常州市新北区春江镇，成立于2006年4月，批准面积300.0ha，2012年11月省政府同意江苏常州新北工业园区更名为江苏常州滨江经济开发区。</w:t>
            </w:r>
          </w:p>
          <w:p w14:paraId="7957480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（1）规划范围</w:t>
            </w:r>
          </w:p>
          <w:p w14:paraId="43816D5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江苏常州滨江经济开发区位于常州市区北部，规划范围东起常州市界，西至德胜河、南至镇南铁路，北濒长江，规划总用地68.8平方公里。</w:t>
            </w:r>
          </w:p>
          <w:p w14:paraId="33E20D70">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default" w:ascii="Times New Roman" w:hAnsi="Times New Roman" w:cs="Times New Roman"/>
                <w:b/>
                <w:color w:val="auto"/>
                <w:kern w:val="0"/>
                <w:sz w:val="24"/>
                <w:szCs w:val="24"/>
                <w:highlight w:val="none"/>
              </w:rPr>
            </w:pPr>
            <w:r>
              <w:rPr>
                <w:rFonts w:hint="default" w:ascii="Times New Roman" w:hAnsi="Times New Roman" w:cs="Times New Roman"/>
                <w:b/>
                <w:color w:val="auto"/>
                <w:kern w:val="0"/>
                <w:sz w:val="24"/>
                <w:szCs w:val="24"/>
                <w:highlight w:val="none"/>
              </w:rPr>
              <w:t>对照分析：本项目位于</w:t>
            </w:r>
            <w:r>
              <w:rPr>
                <w:rFonts w:hint="eastAsia" w:cs="Times New Roman"/>
                <w:b/>
                <w:color w:val="auto"/>
                <w:sz w:val="24"/>
                <w:szCs w:val="24"/>
                <w:highlight w:val="none"/>
                <w:lang w:eastAsia="zh-CN"/>
              </w:rPr>
              <w:t>常州市新北区滨江经济开发区赣江路318号中瑞（常州）国际合作产业园</w:t>
            </w:r>
            <w:r>
              <w:rPr>
                <w:rFonts w:hint="default" w:ascii="Times New Roman" w:hAnsi="Times New Roman" w:cs="Times New Roman"/>
                <w:b/>
                <w:color w:val="auto"/>
                <w:sz w:val="24"/>
                <w:szCs w:val="24"/>
                <w:highlight w:val="none"/>
              </w:rPr>
              <w:t>内</w:t>
            </w:r>
            <w:r>
              <w:rPr>
                <w:rFonts w:hint="default" w:ascii="Times New Roman" w:hAnsi="Times New Roman" w:cs="Times New Roman"/>
                <w:b/>
                <w:color w:val="auto"/>
                <w:kern w:val="0"/>
                <w:sz w:val="24"/>
                <w:szCs w:val="24"/>
                <w:highlight w:val="none"/>
              </w:rPr>
              <w:t>，在江苏常州滨江经济开发区规划范围内。</w:t>
            </w:r>
          </w:p>
          <w:p w14:paraId="15A1AB49">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开发区用地布局</w:t>
            </w:r>
            <w:r>
              <w:rPr>
                <w:rFonts w:hint="default" w:ascii="Times New Roman" w:hAnsi="Times New Roman" w:cs="Times New Roman"/>
                <w:color w:val="auto"/>
                <w:kern w:val="0"/>
                <w:sz w:val="24"/>
                <w:szCs w:val="24"/>
                <w:highlight w:val="none"/>
                <w:lang w:eastAsia="zh-CN"/>
              </w:rPr>
              <w:t>及产业定位</w:t>
            </w:r>
          </w:p>
          <w:p w14:paraId="201E064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cs="Times New Roman"/>
                <w:color w:val="auto"/>
                <w:kern w:val="0"/>
                <w:sz w:val="24"/>
                <w:szCs w:val="24"/>
                <w:highlight w:val="none"/>
                <w:lang w:eastAsia="zh-CN"/>
              </w:rPr>
              <w:t>主要功能定位：</w:t>
            </w:r>
            <w:r>
              <w:rPr>
                <w:rFonts w:hint="default" w:ascii="Times New Roman" w:hAnsi="Times New Roman" w:eastAsia="宋体" w:cs="Times New Roman"/>
                <w:color w:val="auto"/>
                <w:kern w:val="0"/>
                <w:sz w:val="24"/>
                <w:szCs w:val="24"/>
                <w:highlight w:val="none"/>
              </w:rPr>
              <w:t>常州市现代化港口、物流区，现代制造业基地，沿江开发的前沿区、城市重大基础设施基地，生态环境良好的滨江新城区。</w:t>
            </w:r>
          </w:p>
          <w:p w14:paraId="18155AE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b w:val="0"/>
                <w:bCs/>
                <w:color w:val="auto"/>
                <w:kern w:val="0"/>
                <w:sz w:val="24"/>
                <w:szCs w:val="24"/>
                <w:highlight w:val="none"/>
                <w:lang w:eastAsia="zh-CN"/>
              </w:rPr>
              <w:t>◆</w:t>
            </w:r>
            <w:r>
              <w:rPr>
                <w:rFonts w:hint="default" w:ascii="Times New Roman" w:hAnsi="Times New Roman" w:cs="Times New Roman"/>
                <w:color w:val="auto"/>
                <w:kern w:val="0"/>
                <w:sz w:val="24"/>
                <w:szCs w:val="24"/>
                <w:highlight w:val="none"/>
              </w:rPr>
              <w:t>用地布局</w:t>
            </w:r>
          </w:p>
          <w:p w14:paraId="19E7FBF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充分整合现状用地，形成</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一港两心三大版块</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的空间布局结构。一港即长江常州港；两心即行政、商贸和居住中心；三大版块即北部滨江产业版块、东部产业版块、西部产业版块。其中北部产业版块现状以化工为主，规划提升产业品味和企业准入条件；东部产业版块包括原圩塘工业园、百丈工业园、环保产业园，以环保产业为主；西部产业版块现状为农田，规划将区外分散化工企业通过技术改造迁入西部产业版块。</w:t>
            </w:r>
          </w:p>
          <w:p w14:paraId="14AC9EE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b w:val="0"/>
                <w:bCs/>
                <w:color w:val="auto"/>
                <w:kern w:val="0"/>
                <w:sz w:val="24"/>
                <w:szCs w:val="24"/>
                <w:highlight w:val="none"/>
              </w:rPr>
            </w:pPr>
            <w:r>
              <w:rPr>
                <w:rFonts w:hint="default" w:ascii="Times New Roman" w:hAnsi="Times New Roman" w:cs="Times New Roman"/>
                <w:b w:val="0"/>
                <w:bCs/>
                <w:color w:val="auto"/>
                <w:kern w:val="0"/>
                <w:sz w:val="24"/>
                <w:szCs w:val="24"/>
                <w:highlight w:val="none"/>
              </w:rPr>
              <w:t>①西部产业版块</w:t>
            </w:r>
            <w:r>
              <w:rPr>
                <w:rFonts w:hint="default" w:ascii="Times New Roman" w:hAnsi="Times New Roman" w:cs="Times New Roman"/>
                <w:b w:val="0"/>
                <w:bCs/>
                <w:color w:val="auto"/>
                <w:kern w:val="0"/>
                <w:sz w:val="24"/>
                <w:szCs w:val="24"/>
                <w:highlight w:val="none"/>
                <w:lang w:eastAsia="zh-CN"/>
              </w:rPr>
              <w:t>（本项目所在版块）</w:t>
            </w:r>
          </w:p>
          <w:p w14:paraId="44D3530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b w:val="0"/>
                <w:bCs/>
                <w:color w:val="auto"/>
                <w:kern w:val="0"/>
                <w:sz w:val="24"/>
                <w:szCs w:val="24"/>
                <w:highlight w:val="none"/>
              </w:rPr>
            </w:pPr>
            <w:r>
              <w:rPr>
                <w:rFonts w:hint="default" w:ascii="Times New Roman" w:hAnsi="Times New Roman" w:cs="Times New Roman"/>
                <w:b w:val="0"/>
                <w:bCs/>
                <w:color w:val="auto"/>
                <w:kern w:val="0"/>
                <w:sz w:val="24"/>
                <w:szCs w:val="24"/>
                <w:highlight w:val="none"/>
              </w:rPr>
              <w:t>位于338省道以南，德胜河以东，创业路以北，长江路以西，总用地面积2060公顷，布置以生物工程、医药、合成材料、高分子产品延伸加工、基本有机化工原料为主的企业，以接收区外化工整治搬迁企业为主；同时在与混合用地相邻处布置少量一类工业用地；涵盖了化工集中区的D地块。</w:t>
            </w:r>
          </w:p>
          <w:p w14:paraId="04D5958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b w:val="0"/>
                <w:bCs/>
                <w:color w:val="auto"/>
                <w:kern w:val="0"/>
                <w:sz w:val="24"/>
                <w:szCs w:val="24"/>
                <w:highlight w:val="none"/>
                <w:lang w:val="en-US" w:eastAsia="zh-CN"/>
              </w:rPr>
            </w:pPr>
            <w:r>
              <w:rPr>
                <w:rFonts w:hint="default" w:ascii="Times New Roman" w:hAnsi="Times New Roman" w:cs="Times New Roman"/>
                <w:b w:val="0"/>
                <w:bCs/>
                <w:color w:val="auto"/>
                <w:kern w:val="0"/>
                <w:sz w:val="24"/>
                <w:szCs w:val="24"/>
                <w:highlight w:val="none"/>
              </w:rPr>
              <w:t>②滨江产业版块</w:t>
            </w:r>
          </w:p>
          <w:p w14:paraId="3613AAA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b w:val="0"/>
                <w:bCs/>
                <w:color w:val="auto"/>
                <w:kern w:val="0"/>
                <w:sz w:val="24"/>
                <w:szCs w:val="24"/>
                <w:highlight w:val="none"/>
              </w:rPr>
            </w:pPr>
            <w:r>
              <w:rPr>
                <w:rFonts w:hint="default" w:ascii="Times New Roman" w:hAnsi="Times New Roman" w:cs="Times New Roman"/>
                <w:b w:val="0"/>
                <w:bCs/>
                <w:color w:val="auto"/>
                <w:kern w:val="0"/>
                <w:sz w:val="24"/>
                <w:szCs w:val="24"/>
                <w:highlight w:val="none"/>
              </w:rPr>
              <w:t>位于桃花港以西、338省道以北、春江路以东、长江以南，面积1170公顷，布置以港口、基础化工为主的企业；同时在与混合用相邻处布置少量一类工业用地；涵盖了化工集中区的B、C地块。</w:t>
            </w:r>
          </w:p>
          <w:p w14:paraId="0B0D5FA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b w:val="0"/>
                <w:bCs/>
                <w:color w:val="auto"/>
                <w:kern w:val="0"/>
                <w:sz w:val="24"/>
                <w:szCs w:val="24"/>
                <w:highlight w:val="none"/>
              </w:rPr>
            </w:pPr>
            <w:r>
              <w:rPr>
                <w:rFonts w:hint="default" w:ascii="Times New Roman" w:hAnsi="Times New Roman" w:cs="Times New Roman"/>
                <w:b w:val="0"/>
                <w:bCs/>
                <w:color w:val="auto"/>
                <w:kern w:val="0"/>
                <w:sz w:val="24"/>
                <w:szCs w:val="24"/>
                <w:highlight w:val="none"/>
              </w:rPr>
              <w:t>③东部产业版块</w:t>
            </w:r>
          </w:p>
          <w:p w14:paraId="1E26F28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b w:val="0"/>
                <w:bCs/>
                <w:color w:val="auto"/>
                <w:kern w:val="0"/>
                <w:sz w:val="24"/>
                <w:szCs w:val="24"/>
                <w:highlight w:val="none"/>
              </w:rPr>
            </w:pPr>
            <w:r>
              <w:rPr>
                <w:rFonts w:hint="default" w:ascii="Times New Roman" w:hAnsi="Times New Roman" w:cs="Times New Roman"/>
                <w:b w:val="0"/>
                <w:bCs/>
                <w:color w:val="auto"/>
                <w:kern w:val="0"/>
                <w:sz w:val="24"/>
                <w:szCs w:val="24"/>
                <w:highlight w:val="none"/>
              </w:rPr>
              <w:t>位于桃花港以西、338省道以南、藻江河以东、镇南铁路以北，面积750公顷，布置少量的化工企业（化工集中区的A地块。）以及以环保设备、机械为主的一类工业。</w:t>
            </w:r>
          </w:p>
          <w:p w14:paraId="5FE3F65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b w:val="0"/>
                <w:bCs/>
                <w:color w:val="auto"/>
                <w:kern w:val="0"/>
                <w:sz w:val="24"/>
                <w:szCs w:val="24"/>
                <w:highlight w:val="none"/>
              </w:rPr>
            </w:pPr>
            <w:r>
              <w:rPr>
                <w:rFonts w:hint="default" w:ascii="Times New Roman" w:hAnsi="Times New Roman" w:cs="Times New Roman"/>
                <w:b w:val="0"/>
                <w:bCs/>
                <w:color w:val="auto"/>
                <w:kern w:val="0"/>
                <w:sz w:val="24"/>
                <w:szCs w:val="24"/>
                <w:highlight w:val="none"/>
                <w:lang w:eastAsia="zh-CN"/>
              </w:rPr>
              <w:t>◆</w:t>
            </w:r>
            <w:r>
              <w:rPr>
                <w:rFonts w:hint="default" w:ascii="Times New Roman" w:hAnsi="Times New Roman" w:cs="Times New Roman"/>
                <w:b w:val="0"/>
                <w:bCs/>
                <w:color w:val="auto"/>
                <w:kern w:val="0"/>
                <w:sz w:val="24"/>
                <w:szCs w:val="24"/>
                <w:highlight w:val="none"/>
              </w:rPr>
              <w:t>产业定位</w:t>
            </w:r>
          </w:p>
          <w:p w14:paraId="7C8CB4D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b w:val="0"/>
                <w:bCs/>
                <w:color w:val="auto"/>
                <w:kern w:val="0"/>
                <w:sz w:val="24"/>
                <w:szCs w:val="24"/>
                <w:highlight w:val="none"/>
              </w:rPr>
            </w:pPr>
            <w:r>
              <w:rPr>
                <w:rFonts w:hint="default" w:ascii="Times New Roman" w:hAnsi="Times New Roman" w:cs="Times New Roman"/>
                <w:b w:val="0"/>
                <w:bCs/>
                <w:color w:val="auto"/>
                <w:kern w:val="0"/>
                <w:sz w:val="24"/>
                <w:szCs w:val="24"/>
                <w:highlight w:val="none"/>
              </w:rPr>
              <w:t>三类工业用地（化工集中区）集中布置生物工程、医药、合成材料、高分子产品延伸加工、基本有机化工原料为主的三类工业企业，同时接收区外化工整治搬迁企业。一、二类工业区主要布置机械、电子、环保设备等。</w:t>
            </w:r>
          </w:p>
          <w:p w14:paraId="3C65BE1C">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default" w:ascii="Times New Roman" w:hAnsi="Times New Roman" w:cs="Times New Roman"/>
                <w:b/>
                <w:bCs w:val="0"/>
                <w:color w:val="auto"/>
                <w:kern w:val="0"/>
                <w:sz w:val="24"/>
                <w:szCs w:val="24"/>
                <w:highlight w:val="none"/>
              </w:rPr>
            </w:pPr>
            <w:r>
              <w:rPr>
                <w:rFonts w:hint="default" w:ascii="Times New Roman" w:hAnsi="Times New Roman" w:cs="Times New Roman"/>
                <w:b/>
                <w:bCs w:val="0"/>
                <w:color w:val="auto"/>
                <w:kern w:val="0"/>
                <w:sz w:val="24"/>
                <w:szCs w:val="24"/>
                <w:highlight w:val="none"/>
              </w:rPr>
              <w:t>对照分析：本项目属于</w:t>
            </w:r>
            <w:r>
              <w:rPr>
                <w:rFonts w:hint="eastAsia" w:cs="Times New Roman"/>
                <w:b/>
                <w:bCs w:val="0"/>
                <w:color w:val="auto"/>
                <w:kern w:val="0"/>
                <w:sz w:val="24"/>
                <w:szCs w:val="24"/>
                <w:highlight w:val="none"/>
                <w:lang w:eastAsia="zh-CN"/>
              </w:rPr>
              <w:t>西部</w:t>
            </w:r>
            <w:r>
              <w:rPr>
                <w:rFonts w:hint="default" w:ascii="Times New Roman" w:hAnsi="Times New Roman" w:cs="Times New Roman"/>
                <w:b/>
                <w:bCs w:val="0"/>
                <w:color w:val="auto"/>
                <w:kern w:val="0"/>
                <w:sz w:val="24"/>
                <w:szCs w:val="24"/>
                <w:highlight w:val="none"/>
              </w:rPr>
              <w:t>产业版块，主要</w:t>
            </w:r>
            <w:r>
              <w:rPr>
                <w:rFonts w:hint="eastAsia" w:cs="Times New Roman"/>
                <w:b/>
                <w:bCs w:val="0"/>
                <w:color w:val="auto"/>
                <w:kern w:val="0"/>
                <w:sz w:val="24"/>
                <w:szCs w:val="24"/>
                <w:highlight w:val="none"/>
                <w:lang w:eastAsia="zh-CN"/>
              </w:rPr>
              <w:t>从事高端医用设备的生产</w:t>
            </w:r>
            <w:r>
              <w:rPr>
                <w:rFonts w:hint="default" w:ascii="Times New Roman" w:hAnsi="Times New Roman" w:cs="Times New Roman"/>
                <w:b/>
                <w:bCs w:val="0"/>
                <w:color w:val="auto"/>
                <w:kern w:val="0"/>
                <w:sz w:val="24"/>
                <w:szCs w:val="24"/>
                <w:highlight w:val="none"/>
              </w:rPr>
              <w:t>，</w:t>
            </w:r>
            <w:r>
              <w:rPr>
                <w:rFonts w:hint="default" w:ascii="Times New Roman" w:hAnsi="Times New Roman" w:cs="Times New Roman"/>
                <w:b/>
                <w:bCs w:val="0"/>
                <w:color w:val="auto"/>
                <w:kern w:val="0"/>
                <w:sz w:val="24"/>
                <w:szCs w:val="24"/>
                <w:highlight w:val="none"/>
                <w:lang w:eastAsia="zh-CN"/>
              </w:rPr>
              <w:t>是板块内主要产业的配套产业，</w:t>
            </w:r>
            <w:r>
              <w:rPr>
                <w:rFonts w:hint="default" w:ascii="Times New Roman" w:hAnsi="Times New Roman" w:cs="Times New Roman"/>
                <w:b/>
                <w:bCs w:val="0"/>
                <w:color w:val="auto"/>
                <w:kern w:val="0"/>
                <w:sz w:val="24"/>
                <w:szCs w:val="24"/>
                <w:highlight w:val="none"/>
              </w:rPr>
              <w:t>与园区</w:t>
            </w:r>
            <w:r>
              <w:rPr>
                <w:rFonts w:hint="eastAsia" w:cs="Times New Roman"/>
                <w:b/>
                <w:bCs w:val="0"/>
                <w:color w:val="auto"/>
                <w:kern w:val="0"/>
                <w:sz w:val="24"/>
                <w:szCs w:val="24"/>
                <w:highlight w:val="none"/>
                <w:lang w:eastAsia="zh-CN"/>
              </w:rPr>
              <w:t>产业定位</w:t>
            </w:r>
            <w:r>
              <w:rPr>
                <w:rFonts w:hint="default" w:ascii="Times New Roman" w:hAnsi="Times New Roman" w:cs="Times New Roman"/>
                <w:b/>
                <w:bCs w:val="0"/>
                <w:color w:val="auto"/>
                <w:kern w:val="0"/>
                <w:sz w:val="24"/>
                <w:szCs w:val="24"/>
                <w:highlight w:val="none"/>
              </w:rPr>
              <w:t>相符。</w:t>
            </w:r>
          </w:p>
          <w:p w14:paraId="4903EB51">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default" w:ascii="Times New Roman" w:hAnsi="Times New Roman" w:cs="Times New Roman"/>
                <w:b/>
                <w:color w:val="auto"/>
                <w:kern w:val="0"/>
                <w:sz w:val="24"/>
                <w:szCs w:val="24"/>
                <w:highlight w:val="none"/>
              </w:rPr>
            </w:pPr>
            <w:r>
              <w:rPr>
                <w:rFonts w:hint="default" w:ascii="Times New Roman" w:hAnsi="Times New Roman" w:cs="Times New Roman"/>
                <w:b/>
                <w:color w:val="auto"/>
                <w:kern w:val="0"/>
                <w:sz w:val="24"/>
                <w:szCs w:val="24"/>
                <w:highlight w:val="none"/>
              </w:rPr>
              <w:t>综上所述，本项目与江苏常州滨江经济开发区发展规划相符。</w:t>
            </w:r>
          </w:p>
          <w:p w14:paraId="3FEFFCFB">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hint="default" w:ascii="Times New Roman" w:hAnsi="Times New Roman" w:eastAsia="宋体" w:cs="Times New Roman"/>
                <w:b/>
                <w:bCs w:val="0"/>
                <w:color w:val="auto"/>
                <w:kern w:val="0"/>
                <w:sz w:val="24"/>
                <w:szCs w:val="24"/>
                <w:highlight w:val="none"/>
                <w:lang w:val="en-US" w:eastAsia="zh-CN"/>
              </w:rPr>
            </w:pPr>
            <w:r>
              <w:rPr>
                <w:rFonts w:hint="eastAsia" w:cs="Times New Roman"/>
                <w:b/>
                <w:bCs w:val="0"/>
                <w:color w:val="auto"/>
                <w:kern w:val="0"/>
                <w:sz w:val="24"/>
                <w:szCs w:val="24"/>
                <w:highlight w:val="none"/>
                <w:lang w:val="en-US" w:eastAsia="zh-CN"/>
              </w:rPr>
              <w:t>1.2、与“江苏常州滨江经济开发区（不含新材料产业园）发展规划（2021-2035年）”相符性分析</w:t>
            </w:r>
          </w:p>
          <w:p w14:paraId="07E0E8C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cs="Times New Roman"/>
                <w:color w:val="auto"/>
                <w:kern w:val="0"/>
                <w:sz w:val="24"/>
                <w:szCs w:val="24"/>
                <w:highlight w:val="none"/>
                <w:lang w:eastAsia="zh-CN"/>
              </w:rPr>
            </w:pPr>
            <w:r>
              <w:rPr>
                <w:rFonts w:hint="default" w:cs="Times New Roman"/>
                <w:color w:val="auto"/>
                <w:kern w:val="0"/>
                <w:sz w:val="24"/>
                <w:szCs w:val="24"/>
                <w:highlight w:val="none"/>
                <w:lang w:eastAsia="zh-CN"/>
              </w:rPr>
              <w:t>（1）规划范围</w:t>
            </w:r>
          </w:p>
          <w:p w14:paraId="2CBE87E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cs="Times New Roman"/>
                <w:color w:val="auto"/>
                <w:kern w:val="0"/>
                <w:sz w:val="24"/>
                <w:szCs w:val="24"/>
                <w:highlight w:val="none"/>
                <w:lang w:eastAsia="zh-CN"/>
              </w:rPr>
            </w:pPr>
            <w:r>
              <w:rPr>
                <w:rFonts w:hint="default" w:cs="Times New Roman"/>
                <w:color w:val="auto"/>
                <w:kern w:val="0"/>
                <w:sz w:val="24"/>
                <w:szCs w:val="24"/>
                <w:highlight w:val="none"/>
                <w:lang w:eastAsia="zh-CN"/>
              </w:rPr>
              <w:t>规划总面积57.55km</w:t>
            </w:r>
            <w:r>
              <w:rPr>
                <w:rFonts w:hint="default" w:cs="Times New Roman"/>
                <w:color w:val="auto"/>
                <w:kern w:val="0"/>
                <w:sz w:val="24"/>
                <w:szCs w:val="24"/>
                <w:highlight w:val="none"/>
                <w:vertAlign w:val="superscript"/>
                <w:lang w:eastAsia="zh-CN"/>
              </w:rPr>
              <w:t>2</w:t>
            </w:r>
            <w:r>
              <w:rPr>
                <w:rFonts w:hint="default" w:cs="Times New Roman"/>
                <w:color w:val="auto"/>
                <w:kern w:val="0"/>
                <w:sz w:val="24"/>
                <w:szCs w:val="24"/>
                <w:highlight w:val="none"/>
                <w:lang w:eastAsia="zh-CN"/>
              </w:rPr>
              <w:t>，规划范围西起德胜河，东至常州市界、北起长江，南至122省道以北（不含新材料产业园）。</w:t>
            </w:r>
          </w:p>
          <w:p w14:paraId="3193785D">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hint="default" w:ascii="Times New Roman" w:hAnsi="Times New Roman" w:cs="Times New Roman"/>
                <w:b/>
                <w:color w:val="auto"/>
                <w:kern w:val="0"/>
                <w:sz w:val="24"/>
                <w:szCs w:val="24"/>
                <w:highlight w:val="none"/>
              </w:rPr>
            </w:pPr>
            <w:r>
              <w:rPr>
                <w:rFonts w:hint="default" w:ascii="Times New Roman" w:hAnsi="Times New Roman" w:cs="Times New Roman"/>
                <w:b/>
                <w:color w:val="auto"/>
                <w:kern w:val="0"/>
                <w:sz w:val="24"/>
                <w:szCs w:val="24"/>
                <w:highlight w:val="none"/>
              </w:rPr>
              <w:t>对照分析：本项目位于</w:t>
            </w:r>
            <w:r>
              <w:rPr>
                <w:rFonts w:hint="eastAsia" w:cs="Times New Roman"/>
                <w:b/>
                <w:color w:val="auto"/>
                <w:sz w:val="24"/>
                <w:szCs w:val="24"/>
                <w:highlight w:val="none"/>
                <w:lang w:eastAsia="zh-CN"/>
              </w:rPr>
              <w:t>常州市新北区滨江经济开发区赣江路318号中瑞（常州）国际合作产业园</w:t>
            </w:r>
            <w:r>
              <w:rPr>
                <w:rFonts w:hint="default" w:ascii="Times New Roman" w:hAnsi="Times New Roman" w:cs="Times New Roman"/>
                <w:b/>
                <w:color w:val="auto"/>
                <w:sz w:val="24"/>
                <w:szCs w:val="24"/>
                <w:highlight w:val="none"/>
              </w:rPr>
              <w:t>内</w:t>
            </w:r>
            <w:r>
              <w:rPr>
                <w:rFonts w:hint="default" w:ascii="Times New Roman" w:hAnsi="Times New Roman" w:cs="Times New Roman"/>
                <w:b/>
                <w:color w:val="auto"/>
                <w:kern w:val="0"/>
                <w:sz w:val="24"/>
                <w:szCs w:val="24"/>
                <w:highlight w:val="none"/>
              </w:rPr>
              <w:t>，在江苏常州滨江经济开发区</w:t>
            </w:r>
            <w:r>
              <w:rPr>
                <w:rFonts w:hint="eastAsia" w:cs="Times New Roman"/>
                <w:b/>
                <w:bCs w:val="0"/>
                <w:color w:val="auto"/>
                <w:kern w:val="0"/>
                <w:sz w:val="24"/>
                <w:szCs w:val="24"/>
                <w:highlight w:val="none"/>
                <w:lang w:val="en-US" w:eastAsia="zh-CN"/>
              </w:rPr>
              <w:t>（不含新材料产业园）</w:t>
            </w:r>
            <w:r>
              <w:rPr>
                <w:rFonts w:hint="default" w:ascii="Times New Roman" w:hAnsi="Times New Roman" w:cs="Times New Roman"/>
                <w:b/>
                <w:color w:val="auto"/>
                <w:kern w:val="0"/>
                <w:sz w:val="24"/>
                <w:szCs w:val="24"/>
                <w:highlight w:val="none"/>
              </w:rPr>
              <w:t>规划范围内。</w:t>
            </w:r>
          </w:p>
          <w:p w14:paraId="284F11C2">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（2）产业发展引导</w:t>
            </w:r>
          </w:p>
          <w:p w14:paraId="0473422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color w:val="auto"/>
                <w:kern w:val="0"/>
                <w:sz w:val="24"/>
                <w:szCs w:val="24"/>
                <w:highlight w:val="none"/>
                <w:lang w:eastAsia="zh-CN"/>
              </w:rPr>
            </w:pPr>
            <w:r>
              <w:rPr>
                <w:rFonts w:hint="default" w:cs="Times New Roman"/>
                <w:color w:val="auto"/>
                <w:kern w:val="0"/>
                <w:sz w:val="24"/>
                <w:szCs w:val="24"/>
                <w:highlight w:val="none"/>
                <w:lang w:eastAsia="zh-CN"/>
              </w:rPr>
              <w:t>近期定位</w:t>
            </w:r>
            <w:r>
              <w:rPr>
                <w:rFonts w:hint="eastAsia" w:cs="Times New Roman"/>
                <w:color w:val="auto"/>
                <w:kern w:val="0"/>
                <w:sz w:val="24"/>
                <w:szCs w:val="24"/>
                <w:highlight w:val="none"/>
                <w:lang w:eastAsia="zh-CN"/>
              </w:rPr>
              <w:t>：</w:t>
            </w:r>
            <w:r>
              <w:rPr>
                <w:rFonts w:hint="default" w:cs="Times New Roman"/>
                <w:color w:val="auto"/>
                <w:kern w:val="0"/>
                <w:sz w:val="24"/>
                <w:szCs w:val="24"/>
                <w:highlight w:val="none"/>
                <w:lang w:eastAsia="zh-CN"/>
              </w:rPr>
              <w:t>“改革创新引领区、统筹发展先行区、争先进位示范区”</w:t>
            </w:r>
            <w:r>
              <w:rPr>
                <w:rFonts w:hint="eastAsia" w:cs="Times New Roman"/>
                <w:color w:val="auto"/>
                <w:kern w:val="0"/>
                <w:sz w:val="24"/>
                <w:szCs w:val="24"/>
                <w:highlight w:val="none"/>
                <w:lang w:eastAsia="zh-CN"/>
              </w:rPr>
              <w:t>；</w:t>
            </w:r>
          </w:p>
          <w:p w14:paraId="3D0455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cs="Times New Roman"/>
                <w:color w:val="auto"/>
                <w:kern w:val="0"/>
                <w:sz w:val="24"/>
                <w:szCs w:val="24"/>
                <w:highlight w:val="none"/>
                <w:lang w:eastAsia="zh-CN"/>
              </w:rPr>
            </w:pPr>
            <w:r>
              <w:rPr>
                <w:rFonts w:hint="default" w:cs="Times New Roman"/>
                <w:color w:val="auto"/>
                <w:kern w:val="0"/>
                <w:sz w:val="24"/>
                <w:szCs w:val="24"/>
                <w:highlight w:val="none"/>
                <w:lang w:eastAsia="zh-CN"/>
              </w:rPr>
              <w:t>远期定位</w:t>
            </w:r>
            <w:r>
              <w:rPr>
                <w:rFonts w:hint="eastAsia" w:cs="Times New Roman"/>
                <w:color w:val="auto"/>
                <w:kern w:val="0"/>
                <w:sz w:val="24"/>
                <w:szCs w:val="24"/>
                <w:highlight w:val="none"/>
                <w:lang w:eastAsia="zh-CN"/>
              </w:rPr>
              <w:t>：</w:t>
            </w:r>
            <w:r>
              <w:rPr>
                <w:rFonts w:hint="default" w:cs="Times New Roman"/>
                <w:color w:val="auto"/>
                <w:kern w:val="0"/>
                <w:sz w:val="24"/>
                <w:szCs w:val="24"/>
                <w:highlight w:val="none"/>
                <w:lang w:eastAsia="zh-CN"/>
              </w:rPr>
              <w:t>“江苏中轴明珠，魅力滨江港城”。</w:t>
            </w:r>
          </w:p>
          <w:p w14:paraId="100CFC04">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滨开区要继续坚持以产业强区为导向，坚持融合、集成、创新的发展思路，提升“含金量”，产业转型出成效。立足实体经济，全面提升产业核心竞争力，优化产业布局，培育壮大龙头企业，锚定主导产业补链强链。结合已有的产业发展基础，以及政策的支持力度，围绕新材料（New material）产业、装备制造（Equipment manufacturing）产业、未来产业（X）、港口物流（Transportation logistics）产业，形成产业下一步发展的NEXT计划，构建“NEXT”四大产业体系，即新材料与新医药、装备制造、港口物流、未来智慧创新产业（规划不含新材料产业园区及新材料与新医药产业内容）。</w:t>
            </w:r>
          </w:p>
          <w:p w14:paraId="5F947770">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滨开区规划设置三个园区，分别为智能制造产业园、港口物流产业园和未来智慧创新产业园。</w:t>
            </w:r>
          </w:p>
          <w:p w14:paraId="4964787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①智能制造产业园</w:t>
            </w:r>
          </w:p>
          <w:p w14:paraId="048551E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规划范围：东至常州市界，西至澡港河，北至G346，南至122省道以北，园区规划范围面积为8.4平方公里。</w:t>
            </w:r>
          </w:p>
          <w:p w14:paraId="6ADC29A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产业定位：产业园区以“精益智能制造”为发展定位，重点发展汽车及零部件、电子信息及延伸、轨道交通、航空航天制造、智能电网、高端精密装备制造、医疗器械、新光源、节能环保、绿色建筑、人工智能等新材料制造产业。</w:t>
            </w:r>
          </w:p>
          <w:p w14:paraId="4A66AC6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cs="Times New Roman"/>
                <w:color w:val="auto"/>
                <w:kern w:val="0"/>
                <w:sz w:val="24"/>
                <w:szCs w:val="24"/>
                <w:highlight w:val="none"/>
                <w:lang w:eastAsia="zh-CN"/>
              </w:rPr>
            </w:pPr>
            <w:r>
              <w:rPr>
                <w:rFonts w:hint="default" w:ascii="Times New Roman" w:hAnsi="Times New Roman" w:cs="Times New Roman"/>
                <w:color w:val="auto"/>
                <w:kern w:val="0"/>
                <w:sz w:val="24"/>
                <w:szCs w:val="24"/>
                <w:highlight w:val="none"/>
              </w:rPr>
              <w:t>重点打造和培育围绕整车制造和核心零部件产业，医疗器械和港口机械等传统装备制造产业，以及</w:t>
            </w:r>
            <w:r>
              <w:rPr>
                <w:rFonts w:hint="eastAsia" w:cs="Times New Roman"/>
                <w:color w:val="auto"/>
                <w:kern w:val="0"/>
                <w:sz w:val="24"/>
                <w:szCs w:val="24"/>
                <w:highlight w:val="none"/>
                <w:lang w:eastAsia="zh-CN"/>
              </w:rPr>
              <w:t>环保科技和高端精密制造等智慧创新产业。紧跟市场，特色发展，高端打造。实现从单一产品结构向多元化、系列化产品结构转变，中低端产品向中高端产品转变，推进产业集群发展，大幅提升高端装备制造业竞争力。引育大项目，培育大龙头，打造大集群，加快实现产业链辐射带动新突破。以东风日产新车型项目建设为重大契机，加快引进突破整车轻量化、动力系统、转向系统、控制系统、变速系统等汽车关键核心零部件智造项目，建立从关键零部件到终端产品的完整制造体系和创新体系。加大力度争取优势车型布局常州基地，加强举措攻关引进一批附加值较高的汽车电子、变速箱、发动机等总成件配套企业，抓紧布局招引智能网联汽车和氢燃料电池落地，争取抓住未来汽车发展新的风口。</w:t>
            </w:r>
          </w:p>
          <w:p w14:paraId="71C0F6E4">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cs="Times New Roman"/>
                <w:color w:val="auto"/>
                <w:kern w:val="0"/>
                <w:sz w:val="24"/>
                <w:szCs w:val="24"/>
                <w:highlight w:val="none"/>
                <w:lang w:eastAsia="zh-CN"/>
              </w:rPr>
            </w:pPr>
            <w:r>
              <w:rPr>
                <w:rFonts w:hint="eastAsia" w:cs="Times New Roman"/>
                <w:color w:val="auto"/>
                <w:kern w:val="0"/>
                <w:sz w:val="24"/>
                <w:szCs w:val="24"/>
                <w:highlight w:val="none"/>
                <w:lang w:eastAsia="zh-CN"/>
              </w:rPr>
              <w:t>尤墅板块建设：北起建新河，南至老桃花港，西起珠峰路，东至市界，对总面积约2000亩的尤墅板块优化用地布局，完善道路、水系、市政等基础设施建设，适时启动标准厂房区的建设，整体打造为“十四五”期间智能装备制造产业的重点承载园区。</w:t>
            </w:r>
          </w:p>
          <w:p w14:paraId="090B101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Times New Roman" w:hAnsi="Times New Roman" w:eastAsia="宋体" w:cs="Times New Roman"/>
                <w:b/>
                <w:color w:val="auto"/>
                <w:kern w:val="0"/>
                <w:sz w:val="24"/>
                <w:szCs w:val="24"/>
                <w:highlight w:val="none"/>
                <w:lang w:eastAsia="zh-CN"/>
              </w:rPr>
            </w:pPr>
            <w:r>
              <w:rPr>
                <w:rFonts w:hint="eastAsia" w:cs="Times New Roman"/>
                <w:color w:val="auto"/>
                <w:kern w:val="0"/>
                <w:sz w:val="24"/>
                <w:szCs w:val="24"/>
                <w:highlight w:val="none"/>
                <w:lang w:eastAsia="zh-CN"/>
              </w:rPr>
              <w:t>百丈工业园区改造提升：北至建新河、南至122省道、西至澡港河、东至通江路，涉及徐墅、百丈、东海三个社区，总用地面积约为4297亩。加快落后产能的淘汰，加快低效企业的转型收储，加强道路市政等基础设施改造建设，对园区进行整体转型升级，建设成为集生活居住、配套服务功能、现代产业、生产性服务、文旅休闲等功能于一体的产城融合示范区。</w:t>
            </w:r>
          </w:p>
          <w:p w14:paraId="511272C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cs="Times New Roman"/>
                <w:color w:val="auto"/>
                <w:kern w:val="0"/>
                <w:sz w:val="24"/>
                <w:szCs w:val="24"/>
                <w:highlight w:val="none"/>
                <w:lang w:eastAsia="zh-CN"/>
              </w:rPr>
            </w:pPr>
            <w:r>
              <w:rPr>
                <w:rFonts w:hint="eastAsia" w:cs="Times New Roman"/>
                <w:b w:val="0"/>
                <w:bCs/>
                <w:color w:val="auto"/>
                <w:kern w:val="0"/>
                <w:sz w:val="24"/>
                <w:szCs w:val="24"/>
                <w:highlight w:val="none"/>
                <w:lang w:eastAsia="zh-CN"/>
              </w:rPr>
              <w:t>②</w:t>
            </w:r>
            <w:r>
              <w:rPr>
                <w:rFonts w:hint="default" w:cs="Times New Roman"/>
                <w:color w:val="auto"/>
                <w:kern w:val="0"/>
                <w:sz w:val="24"/>
                <w:szCs w:val="24"/>
                <w:highlight w:val="none"/>
                <w:lang w:eastAsia="zh-CN"/>
              </w:rPr>
              <w:t>港口物流产业园</w:t>
            </w:r>
          </w:p>
          <w:p w14:paraId="08CCB45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cs="Times New Roman"/>
                <w:color w:val="auto"/>
                <w:kern w:val="0"/>
                <w:sz w:val="24"/>
                <w:szCs w:val="24"/>
                <w:highlight w:val="none"/>
                <w:lang w:eastAsia="zh-CN"/>
              </w:rPr>
            </w:pPr>
            <w:r>
              <w:rPr>
                <w:rFonts w:hint="default" w:cs="Times New Roman"/>
                <w:color w:val="auto"/>
                <w:kern w:val="0"/>
                <w:sz w:val="24"/>
                <w:szCs w:val="24"/>
                <w:highlight w:val="none"/>
                <w:lang w:eastAsia="zh-CN"/>
              </w:rPr>
              <w:t>规划范围：南至港区北路，东至常州市界，西至省庄河，北至录安洲岛北，园区规划范围面积为9.80平方公里。</w:t>
            </w:r>
          </w:p>
          <w:p w14:paraId="768D846F">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cs="Times New Roman"/>
                <w:color w:val="auto"/>
                <w:kern w:val="0"/>
                <w:sz w:val="24"/>
                <w:szCs w:val="24"/>
                <w:highlight w:val="none"/>
                <w:lang w:eastAsia="zh-CN"/>
              </w:rPr>
            </w:pPr>
            <w:r>
              <w:rPr>
                <w:rFonts w:hint="default" w:cs="Times New Roman"/>
                <w:color w:val="auto"/>
                <w:kern w:val="0"/>
                <w:sz w:val="24"/>
                <w:szCs w:val="24"/>
                <w:highlight w:val="none"/>
                <w:lang w:eastAsia="zh-CN"/>
              </w:rPr>
              <w:t>产业定位：重点发展以码头、仓储、现代物流、电子商务等行业，同时兼顾发展机械、电子等一般工业类产业。</w:t>
            </w:r>
          </w:p>
          <w:p w14:paraId="6BA2BA2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cs="Times New Roman"/>
                <w:color w:val="auto"/>
                <w:kern w:val="0"/>
                <w:sz w:val="24"/>
                <w:szCs w:val="24"/>
                <w:highlight w:val="none"/>
                <w:lang w:eastAsia="zh-CN"/>
              </w:rPr>
            </w:pPr>
            <w:r>
              <w:rPr>
                <w:rFonts w:hint="eastAsia" w:cs="Times New Roman"/>
                <w:color w:val="auto"/>
                <w:kern w:val="0"/>
                <w:sz w:val="24"/>
                <w:szCs w:val="24"/>
                <w:highlight w:val="none"/>
                <w:lang w:eastAsia="zh-CN"/>
              </w:rPr>
              <w:t>③未来智慧创新产业园</w:t>
            </w:r>
          </w:p>
          <w:p w14:paraId="616F005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cs="Times New Roman"/>
                <w:color w:val="auto"/>
                <w:kern w:val="0"/>
                <w:sz w:val="24"/>
                <w:szCs w:val="24"/>
                <w:highlight w:val="none"/>
                <w:lang w:eastAsia="zh-CN"/>
              </w:rPr>
            </w:pPr>
            <w:r>
              <w:rPr>
                <w:rFonts w:hint="default" w:cs="Times New Roman"/>
                <w:color w:val="auto"/>
                <w:kern w:val="0"/>
                <w:sz w:val="24"/>
                <w:szCs w:val="24"/>
                <w:highlight w:val="none"/>
                <w:lang w:eastAsia="zh-CN"/>
              </w:rPr>
              <w:t>规划范围：东至澡港河，西至德胜河，北至港区中路，南至创业西路，园区规划范围面积为19.7平方公里。</w:t>
            </w:r>
          </w:p>
          <w:p w14:paraId="66C82C6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cs="Times New Roman"/>
                <w:color w:val="auto"/>
                <w:kern w:val="0"/>
                <w:sz w:val="24"/>
                <w:szCs w:val="24"/>
                <w:highlight w:val="none"/>
                <w:lang w:eastAsia="zh-CN"/>
              </w:rPr>
            </w:pPr>
            <w:r>
              <w:rPr>
                <w:rFonts w:hint="default" w:cs="Times New Roman"/>
                <w:color w:val="auto"/>
                <w:kern w:val="0"/>
                <w:sz w:val="24"/>
                <w:szCs w:val="24"/>
                <w:highlight w:val="none"/>
                <w:lang w:eastAsia="zh-CN"/>
              </w:rPr>
              <w:t>产业定位：重点发展非晶态金属、新型铝合金、形状记忆合金、耐高温耐腐蚀合金、特种焊材等为代表的高端金属新材料及新型功能合金产业；以碳纤及复合材料、玻纤及复合材料、纺织纤维为代表的高性能纤维及复合材料及其下游产业，兼顾发展高端机械、电子等产业；积极引导企业广泛设立研发机构，提升企业自主创新能力。</w:t>
            </w:r>
          </w:p>
          <w:p w14:paraId="6F8672DA">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hint="default" w:ascii="Times New Roman" w:hAnsi="Times New Roman" w:cs="Times New Roman"/>
                <w:b/>
                <w:bCs w:val="0"/>
                <w:color w:val="auto"/>
                <w:kern w:val="0"/>
                <w:sz w:val="24"/>
                <w:szCs w:val="24"/>
                <w:highlight w:val="none"/>
              </w:rPr>
            </w:pPr>
            <w:r>
              <w:rPr>
                <w:rFonts w:hint="eastAsia" w:cs="Times New Roman"/>
                <w:b/>
                <w:bCs/>
                <w:color w:val="auto"/>
                <w:kern w:val="0"/>
                <w:sz w:val="24"/>
                <w:szCs w:val="24"/>
                <w:highlight w:val="none"/>
                <w:lang w:eastAsia="zh-CN"/>
              </w:rPr>
              <w:t>对照分析：</w:t>
            </w:r>
            <w:r>
              <w:rPr>
                <w:rFonts w:hint="default" w:ascii="Times New Roman" w:hAnsi="Times New Roman" w:cs="Times New Roman"/>
                <w:b/>
                <w:bCs w:val="0"/>
                <w:color w:val="auto"/>
                <w:kern w:val="0"/>
                <w:sz w:val="24"/>
                <w:szCs w:val="24"/>
                <w:highlight w:val="none"/>
              </w:rPr>
              <w:t>项目</w:t>
            </w:r>
            <w:r>
              <w:rPr>
                <w:rFonts w:hint="eastAsia" w:cs="Times New Roman"/>
                <w:b/>
                <w:color w:val="auto"/>
                <w:kern w:val="0"/>
                <w:sz w:val="24"/>
                <w:szCs w:val="24"/>
                <w:highlight w:val="none"/>
                <w:lang w:eastAsia="zh-CN"/>
              </w:rPr>
              <w:t>所在地</w:t>
            </w:r>
            <w:r>
              <w:rPr>
                <w:rFonts w:hint="default" w:ascii="Times New Roman" w:hAnsi="Times New Roman" w:cs="Times New Roman"/>
                <w:b/>
                <w:bCs w:val="0"/>
                <w:color w:val="auto"/>
                <w:kern w:val="0"/>
                <w:sz w:val="24"/>
                <w:szCs w:val="24"/>
                <w:highlight w:val="none"/>
              </w:rPr>
              <w:t>属于</w:t>
            </w:r>
            <w:r>
              <w:rPr>
                <w:rFonts w:hint="eastAsia" w:cs="Times New Roman"/>
                <w:b/>
                <w:bCs w:val="0"/>
                <w:color w:val="auto"/>
                <w:kern w:val="0"/>
                <w:sz w:val="24"/>
                <w:szCs w:val="24"/>
                <w:highlight w:val="none"/>
                <w:lang w:eastAsia="zh-CN"/>
              </w:rPr>
              <w:t>“</w:t>
            </w:r>
            <w:r>
              <w:rPr>
                <w:rFonts w:hint="default" w:ascii="Times New Roman" w:hAnsi="Times New Roman" w:cs="Times New Roman"/>
                <w:b/>
                <w:bCs w:val="0"/>
                <w:color w:val="auto"/>
                <w:kern w:val="0"/>
                <w:sz w:val="24"/>
                <w:szCs w:val="24"/>
                <w:highlight w:val="none"/>
              </w:rPr>
              <w:t>未来智慧创新产业园</w:t>
            </w:r>
            <w:r>
              <w:rPr>
                <w:rFonts w:hint="eastAsia" w:cs="Times New Roman"/>
                <w:b/>
                <w:bCs w:val="0"/>
                <w:color w:val="auto"/>
                <w:kern w:val="0"/>
                <w:sz w:val="24"/>
                <w:szCs w:val="24"/>
                <w:highlight w:val="none"/>
                <w:lang w:eastAsia="zh-CN"/>
              </w:rPr>
              <w:t>”产业园区内</w:t>
            </w:r>
            <w:r>
              <w:rPr>
                <w:rFonts w:hint="default" w:ascii="Times New Roman" w:hAnsi="Times New Roman" w:cs="Times New Roman"/>
                <w:b/>
                <w:bCs w:val="0"/>
                <w:color w:val="auto"/>
                <w:kern w:val="0"/>
                <w:sz w:val="24"/>
                <w:szCs w:val="24"/>
                <w:highlight w:val="none"/>
              </w:rPr>
              <w:t>，主要</w:t>
            </w:r>
            <w:r>
              <w:rPr>
                <w:rFonts w:hint="eastAsia" w:cs="Times New Roman"/>
                <w:b/>
                <w:bCs w:val="0"/>
                <w:color w:val="auto"/>
                <w:kern w:val="0"/>
                <w:sz w:val="24"/>
                <w:szCs w:val="24"/>
                <w:highlight w:val="none"/>
                <w:lang w:eastAsia="zh-CN"/>
              </w:rPr>
              <w:t>从事高端医用设备的生产，该产品主要用于‌医疗、临床检验等研究领域，属于</w:t>
            </w:r>
            <w:r>
              <w:rPr>
                <w:rFonts w:hint="default" w:ascii="Times New Roman" w:hAnsi="Times New Roman" w:cs="Times New Roman"/>
                <w:b/>
                <w:bCs w:val="0"/>
                <w:color w:val="auto"/>
                <w:kern w:val="0"/>
                <w:sz w:val="24"/>
                <w:szCs w:val="24"/>
                <w:highlight w:val="none"/>
                <w:lang w:eastAsia="zh-CN"/>
              </w:rPr>
              <w:t>是</w:t>
            </w:r>
            <w:r>
              <w:rPr>
                <w:rFonts w:hint="eastAsia" w:cs="Times New Roman"/>
                <w:b/>
                <w:bCs w:val="0"/>
                <w:color w:val="auto"/>
                <w:kern w:val="0"/>
                <w:sz w:val="24"/>
                <w:szCs w:val="24"/>
                <w:highlight w:val="none"/>
                <w:lang w:eastAsia="zh-CN"/>
              </w:rPr>
              <w:t>园区</w:t>
            </w:r>
            <w:r>
              <w:rPr>
                <w:rFonts w:hint="default" w:ascii="Times New Roman" w:hAnsi="Times New Roman" w:cs="Times New Roman"/>
                <w:b/>
                <w:bCs w:val="0"/>
                <w:color w:val="auto"/>
                <w:kern w:val="0"/>
                <w:sz w:val="24"/>
                <w:szCs w:val="24"/>
                <w:highlight w:val="none"/>
                <w:lang w:eastAsia="zh-CN"/>
              </w:rPr>
              <w:t>内</w:t>
            </w:r>
            <w:r>
              <w:rPr>
                <w:rFonts w:hint="eastAsia" w:cs="Times New Roman"/>
                <w:b/>
                <w:bCs w:val="0"/>
                <w:color w:val="auto"/>
                <w:kern w:val="0"/>
                <w:sz w:val="24"/>
                <w:szCs w:val="24"/>
                <w:highlight w:val="none"/>
                <w:lang w:eastAsia="zh-CN"/>
              </w:rPr>
              <w:t>兼顾发展的高端机械</w:t>
            </w:r>
            <w:r>
              <w:rPr>
                <w:rFonts w:hint="default" w:ascii="Times New Roman" w:hAnsi="Times New Roman" w:cs="Times New Roman"/>
                <w:b/>
                <w:bCs w:val="0"/>
                <w:color w:val="auto"/>
                <w:kern w:val="0"/>
                <w:sz w:val="24"/>
                <w:szCs w:val="24"/>
                <w:highlight w:val="none"/>
                <w:lang w:eastAsia="zh-CN"/>
              </w:rPr>
              <w:t>产业</w:t>
            </w:r>
            <w:r>
              <w:rPr>
                <w:rFonts w:hint="eastAsia" w:cs="Times New Roman"/>
                <w:b/>
                <w:bCs w:val="0"/>
                <w:color w:val="auto"/>
                <w:kern w:val="0"/>
                <w:sz w:val="24"/>
                <w:szCs w:val="24"/>
                <w:highlight w:val="none"/>
                <w:lang w:eastAsia="zh-CN"/>
              </w:rPr>
              <w:t>的配套产业</w:t>
            </w:r>
            <w:r>
              <w:rPr>
                <w:rFonts w:hint="default" w:ascii="Times New Roman" w:hAnsi="Times New Roman" w:cs="Times New Roman"/>
                <w:b/>
                <w:bCs w:val="0"/>
                <w:color w:val="auto"/>
                <w:kern w:val="0"/>
                <w:sz w:val="24"/>
                <w:szCs w:val="24"/>
                <w:highlight w:val="none"/>
                <w:lang w:eastAsia="zh-CN"/>
              </w:rPr>
              <w:t>，</w:t>
            </w:r>
            <w:r>
              <w:rPr>
                <w:rFonts w:hint="default" w:ascii="Times New Roman" w:hAnsi="Times New Roman" w:cs="Times New Roman"/>
                <w:b/>
                <w:bCs w:val="0"/>
                <w:color w:val="auto"/>
                <w:kern w:val="0"/>
                <w:sz w:val="24"/>
                <w:szCs w:val="24"/>
                <w:highlight w:val="none"/>
              </w:rPr>
              <w:t>与园区</w:t>
            </w:r>
            <w:r>
              <w:rPr>
                <w:rFonts w:hint="eastAsia" w:cs="Times New Roman"/>
                <w:b/>
                <w:bCs w:val="0"/>
                <w:color w:val="auto"/>
                <w:kern w:val="0"/>
                <w:sz w:val="24"/>
                <w:szCs w:val="24"/>
                <w:highlight w:val="none"/>
                <w:lang w:eastAsia="zh-CN"/>
              </w:rPr>
              <w:t>产业定位</w:t>
            </w:r>
            <w:r>
              <w:rPr>
                <w:rFonts w:hint="default" w:ascii="Times New Roman" w:hAnsi="Times New Roman" w:cs="Times New Roman"/>
                <w:b/>
                <w:bCs w:val="0"/>
                <w:color w:val="auto"/>
                <w:kern w:val="0"/>
                <w:sz w:val="24"/>
                <w:szCs w:val="24"/>
                <w:highlight w:val="none"/>
              </w:rPr>
              <w:t>相符。</w:t>
            </w:r>
          </w:p>
          <w:p w14:paraId="66BA2845">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hint="default" w:ascii="Times New Roman" w:hAnsi="Times New Roman" w:cs="Times New Roman"/>
                <w:b/>
                <w:color w:val="auto"/>
                <w:kern w:val="0"/>
                <w:sz w:val="24"/>
                <w:szCs w:val="24"/>
                <w:highlight w:val="none"/>
              </w:rPr>
            </w:pPr>
            <w:r>
              <w:rPr>
                <w:rFonts w:hint="default" w:ascii="Times New Roman" w:hAnsi="Times New Roman" w:cs="Times New Roman"/>
                <w:b/>
                <w:color w:val="auto"/>
                <w:kern w:val="0"/>
                <w:sz w:val="24"/>
                <w:szCs w:val="24"/>
                <w:highlight w:val="none"/>
              </w:rPr>
              <w:t>综上所述，本项目与</w:t>
            </w:r>
            <w:r>
              <w:rPr>
                <w:rFonts w:hint="eastAsia" w:cs="Times New Roman"/>
                <w:b/>
                <w:bCs w:val="0"/>
                <w:color w:val="auto"/>
                <w:kern w:val="0"/>
                <w:sz w:val="24"/>
                <w:szCs w:val="24"/>
                <w:highlight w:val="none"/>
                <w:lang w:val="en-US" w:eastAsia="zh-CN"/>
              </w:rPr>
              <w:t>江苏常州滨江经济开发区（不含新材料产业园）</w:t>
            </w:r>
            <w:r>
              <w:rPr>
                <w:rFonts w:hint="default" w:ascii="Times New Roman" w:hAnsi="Times New Roman" w:cs="Times New Roman"/>
                <w:b/>
                <w:color w:val="auto"/>
                <w:kern w:val="0"/>
                <w:sz w:val="24"/>
                <w:szCs w:val="24"/>
                <w:highlight w:val="none"/>
              </w:rPr>
              <w:t>发展规划相符。</w:t>
            </w:r>
          </w:p>
          <w:p w14:paraId="1441E05C">
            <w:pPr>
              <w:tabs>
                <w:tab w:val="left" w:pos="7462"/>
              </w:tabs>
              <w:snapToGrid w:val="0"/>
              <w:spacing w:line="360" w:lineRule="auto"/>
              <w:ind w:firstLine="482" w:firstLineChars="200"/>
              <w:rPr>
                <w:rFonts w:hint="default" w:ascii="Times New Roman" w:hAnsi="Times New Roman" w:cs="Times New Roman" w:eastAsiaTheme="minorEastAsia"/>
                <w:b/>
                <w:bCs/>
                <w:color w:val="FF0000"/>
                <w:sz w:val="24"/>
                <w:szCs w:val="24"/>
              </w:rPr>
            </w:pPr>
          </w:p>
          <w:p w14:paraId="01B7994E">
            <w:pPr>
              <w:tabs>
                <w:tab w:val="left" w:pos="7462"/>
              </w:tabs>
              <w:snapToGrid w:val="0"/>
              <w:spacing w:line="360" w:lineRule="auto"/>
              <w:ind w:firstLine="482" w:firstLineChars="200"/>
              <w:rPr>
                <w:rFonts w:hint="default" w:ascii="Times New Roman" w:hAnsi="Times New Roman" w:cs="Times New Roman" w:eastAsiaTheme="minorEastAsia"/>
                <w:b/>
                <w:bCs/>
                <w:color w:val="FF0000"/>
                <w:sz w:val="24"/>
                <w:szCs w:val="24"/>
              </w:rPr>
            </w:pPr>
          </w:p>
          <w:p w14:paraId="3603628B">
            <w:pPr>
              <w:autoSpaceDE w:val="0"/>
              <w:autoSpaceDN w:val="0"/>
              <w:adjustRightInd w:val="0"/>
              <w:spacing w:line="360" w:lineRule="auto"/>
              <w:ind w:firstLine="420"/>
              <w:rPr>
                <w:rFonts w:hint="eastAsia" w:ascii="Times New Roman" w:hAnsi="Times New Roman" w:eastAsia="宋体" w:cs="Times New Roman"/>
                <w:b/>
                <w:bCs/>
                <w:color w:val="auto"/>
                <w:kern w:val="0"/>
                <w:sz w:val="24"/>
                <w:szCs w:val="24"/>
                <w:highlight w:val="none"/>
                <w:lang w:eastAsia="zh-CN"/>
              </w:rPr>
            </w:pPr>
            <w:r>
              <w:rPr>
                <w:rFonts w:hint="default" w:ascii="Times New Roman" w:hAnsi="Times New Roman" w:cs="Times New Roman"/>
                <w:b/>
                <w:bCs/>
                <w:color w:val="auto"/>
                <w:kern w:val="0"/>
                <w:sz w:val="24"/>
                <w:szCs w:val="24"/>
                <w:highlight w:val="none"/>
              </w:rPr>
              <w:t>2、与规划环评及</w:t>
            </w:r>
            <w:r>
              <w:rPr>
                <w:rFonts w:hint="default" w:ascii="Times New Roman" w:hAnsi="Times New Roman" w:cs="Times New Roman"/>
                <w:b/>
                <w:bCs/>
                <w:color w:val="auto"/>
                <w:kern w:val="0"/>
                <w:sz w:val="24"/>
                <w:szCs w:val="24"/>
                <w:highlight w:val="none"/>
                <w:lang w:eastAsia="zh-CN"/>
              </w:rPr>
              <w:t>审核</w:t>
            </w:r>
            <w:r>
              <w:rPr>
                <w:rFonts w:hint="default" w:ascii="Times New Roman" w:hAnsi="Times New Roman" w:cs="Times New Roman"/>
                <w:b/>
                <w:bCs/>
                <w:color w:val="auto"/>
                <w:kern w:val="0"/>
                <w:sz w:val="24"/>
                <w:szCs w:val="24"/>
                <w:highlight w:val="none"/>
              </w:rPr>
              <w:t>意见符合性分析</w:t>
            </w:r>
          </w:p>
          <w:p w14:paraId="7E456CB8">
            <w:pPr>
              <w:autoSpaceDE w:val="0"/>
              <w:autoSpaceDN w:val="0"/>
              <w:adjustRightInd w:val="0"/>
              <w:spacing w:line="360" w:lineRule="auto"/>
              <w:ind w:firstLine="420"/>
              <w:rPr>
                <w:rFonts w:hint="eastAsia" w:cs="Times New Roman"/>
                <w:b/>
                <w:bCs/>
                <w:color w:val="auto"/>
                <w:kern w:val="0"/>
                <w:sz w:val="24"/>
                <w:szCs w:val="24"/>
                <w:highlight w:val="none"/>
                <w:lang w:val="en-US" w:eastAsia="zh-CN"/>
              </w:rPr>
            </w:pPr>
            <w:r>
              <w:rPr>
                <w:rFonts w:hint="eastAsia" w:cs="Times New Roman"/>
                <w:b/>
                <w:bCs/>
                <w:color w:val="auto"/>
                <w:kern w:val="0"/>
                <w:sz w:val="24"/>
                <w:szCs w:val="24"/>
                <w:highlight w:val="none"/>
                <w:lang w:val="en-US" w:eastAsia="zh-CN"/>
              </w:rPr>
              <w:t>2.1、</w:t>
            </w:r>
            <w:r>
              <w:rPr>
                <w:rFonts w:hint="default" w:ascii="Times New Roman" w:hAnsi="Times New Roman" w:cs="Times New Roman"/>
                <w:b/>
                <w:bCs/>
                <w:color w:val="auto"/>
                <w:kern w:val="0"/>
                <w:sz w:val="24"/>
                <w:szCs w:val="24"/>
                <w:highlight w:val="none"/>
                <w:lang w:val="en-US" w:eastAsia="zh-CN"/>
              </w:rPr>
              <w:t>《江苏常州滨江经济开发区规划环境影响跟踪评价报告书》</w:t>
            </w:r>
            <w:r>
              <w:rPr>
                <w:rFonts w:hint="eastAsia" w:cs="Times New Roman"/>
                <w:b/>
                <w:bCs/>
                <w:color w:val="auto"/>
                <w:kern w:val="0"/>
                <w:sz w:val="24"/>
                <w:szCs w:val="24"/>
                <w:highlight w:val="none"/>
                <w:lang w:val="en-US" w:eastAsia="zh-CN"/>
              </w:rPr>
              <w:t>及</w:t>
            </w:r>
            <w:r>
              <w:rPr>
                <w:rFonts w:hint="eastAsia" w:cs="Times New Roman"/>
                <w:b/>
                <w:bCs/>
                <w:color w:val="auto"/>
                <w:kern w:val="0"/>
                <w:sz w:val="24"/>
                <w:szCs w:val="24"/>
                <w:highlight w:val="none"/>
                <w:lang w:eastAsia="zh-CN"/>
              </w:rPr>
              <w:t>审核意见</w:t>
            </w:r>
          </w:p>
          <w:p w14:paraId="0CB0F5B9">
            <w:pPr>
              <w:autoSpaceDE w:val="0"/>
              <w:autoSpaceDN w:val="0"/>
              <w:adjustRightInd w:val="0"/>
              <w:spacing w:line="360" w:lineRule="auto"/>
              <w:ind w:firstLine="42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根据《江苏常州滨江经济开发区规划环境影响跟踪评价报告书》及《</w:t>
            </w:r>
            <w:r>
              <w:rPr>
                <w:rFonts w:hint="default" w:ascii="Times New Roman" w:hAnsi="Times New Roman" w:cs="Times New Roman"/>
                <w:color w:val="auto"/>
                <w:kern w:val="0"/>
                <w:sz w:val="24"/>
                <w:szCs w:val="24"/>
                <w:highlight w:val="none"/>
              </w:rPr>
              <w:t>关于江苏常州滨江经济开发区规划环境影响跟踪评价报告书的审核意见</w:t>
            </w:r>
            <w:r>
              <w:rPr>
                <w:rFonts w:hint="default" w:ascii="Times New Roman" w:hAnsi="Times New Roman" w:cs="Times New Roman"/>
                <w:color w:val="auto"/>
                <w:kern w:val="0"/>
                <w:sz w:val="24"/>
                <w:szCs w:val="24"/>
                <w:highlight w:val="none"/>
                <w:lang w:val="en-US" w:eastAsia="zh-CN"/>
              </w:rPr>
              <w:t>》</w:t>
            </w:r>
            <w:r>
              <w:rPr>
                <w:rFonts w:hint="default" w:ascii="Times New Roman" w:hAnsi="Times New Roman" w:cs="Times New Roman"/>
                <w:color w:val="auto"/>
                <w:kern w:val="0"/>
                <w:sz w:val="24"/>
                <w:szCs w:val="24"/>
                <w:highlight w:val="none"/>
              </w:rPr>
              <w:t>（苏环审[2014]27号）</w:t>
            </w:r>
            <w:r>
              <w:rPr>
                <w:rFonts w:hint="default" w:ascii="Times New Roman" w:hAnsi="Times New Roman" w:cs="Times New Roman"/>
                <w:color w:val="auto"/>
                <w:kern w:val="0"/>
                <w:sz w:val="24"/>
                <w:szCs w:val="24"/>
                <w:highlight w:val="none"/>
                <w:lang w:val="en-US" w:eastAsia="zh-CN"/>
              </w:rPr>
              <w:t>：</w:t>
            </w:r>
          </w:p>
          <w:p w14:paraId="26295CAD">
            <w:pPr>
              <w:autoSpaceDE w:val="0"/>
              <w:autoSpaceDN w:val="0"/>
              <w:adjustRightInd w:val="0"/>
              <w:spacing w:line="360" w:lineRule="auto"/>
              <w:ind w:firstLine="42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（1）</w:t>
            </w:r>
            <w:r>
              <w:rPr>
                <w:rFonts w:hint="eastAsia" w:ascii="Times New Roman" w:hAnsi="Times New Roman" w:cs="Times New Roman"/>
                <w:color w:val="auto"/>
                <w:kern w:val="0"/>
                <w:sz w:val="24"/>
                <w:szCs w:val="24"/>
                <w:highlight w:val="none"/>
                <w:lang w:val="zh-CN"/>
              </w:rPr>
              <w:t>规划范围及功能定位</w:t>
            </w:r>
            <w:r>
              <w:rPr>
                <w:rFonts w:hint="eastAsia" w:cs="Times New Roman"/>
                <w:color w:val="auto"/>
                <w:kern w:val="0"/>
                <w:sz w:val="24"/>
                <w:szCs w:val="24"/>
                <w:highlight w:val="none"/>
                <w:lang w:val="zh-CN"/>
              </w:rPr>
              <w:t>：</w:t>
            </w:r>
            <w:r>
              <w:rPr>
                <w:rFonts w:hint="eastAsia" w:ascii="Times New Roman" w:hAnsi="Times New Roman" w:cs="Times New Roman"/>
                <w:color w:val="auto"/>
                <w:kern w:val="0"/>
                <w:sz w:val="24"/>
                <w:szCs w:val="24"/>
                <w:highlight w:val="none"/>
                <w:lang w:val="zh-CN"/>
              </w:rPr>
              <w:t>规划总面积68.80km</w:t>
            </w:r>
            <w:r>
              <w:rPr>
                <w:rFonts w:hint="eastAsia" w:ascii="Times New Roman" w:hAnsi="Times New Roman" w:cs="Times New Roman"/>
                <w:color w:val="auto"/>
                <w:kern w:val="0"/>
                <w:sz w:val="24"/>
                <w:szCs w:val="24"/>
                <w:highlight w:val="none"/>
                <w:vertAlign w:val="superscript"/>
                <w:lang w:val="zh-CN"/>
              </w:rPr>
              <w:t>2</w:t>
            </w:r>
            <w:r>
              <w:rPr>
                <w:rFonts w:hint="eastAsia" w:ascii="Times New Roman" w:hAnsi="Times New Roman" w:cs="Times New Roman"/>
                <w:color w:val="auto"/>
                <w:kern w:val="0"/>
                <w:sz w:val="24"/>
                <w:szCs w:val="24"/>
                <w:highlight w:val="none"/>
                <w:lang w:val="zh-CN"/>
              </w:rPr>
              <w:t>，东起常州市界，北濒长江，西至德胜河，南至镇南铁路。功能定位为</w:t>
            </w:r>
            <w:r>
              <w:rPr>
                <w:rFonts w:hint="default" w:ascii="Times New Roman" w:hAnsi="Times New Roman" w:cs="Times New Roman"/>
                <w:color w:val="auto"/>
                <w:kern w:val="0"/>
                <w:sz w:val="24"/>
                <w:szCs w:val="24"/>
                <w:highlight w:val="none"/>
                <w:lang w:val="zh-CN"/>
              </w:rPr>
              <w:t>“</w:t>
            </w:r>
            <w:r>
              <w:rPr>
                <w:rFonts w:hint="eastAsia" w:ascii="Times New Roman" w:hAnsi="Times New Roman" w:cs="Times New Roman"/>
                <w:color w:val="auto"/>
                <w:kern w:val="0"/>
                <w:sz w:val="24"/>
                <w:szCs w:val="24"/>
                <w:highlight w:val="none"/>
                <w:lang w:val="zh-CN"/>
              </w:rPr>
              <w:t>常州市现代化港口、物流区</w:t>
            </w:r>
            <w:r>
              <w:rPr>
                <w:rFonts w:hint="eastAsia" w:cs="Times New Roman"/>
                <w:color w:val="auto"/>
                <w:kern w:val="0"/>
                <w:sz w:val="24"/>
                <w:szCs w:val="24"/>
                <w:highlight w:val="none"/>
                <w:lang w:val="zh-CN"/>
              </w:rPr>
              <w:t>，</w:t>
            </w:r>
            <w:r>
              <w:rPr>
                <w:rFonts w:hint="eastAsia" w:ascii="Times New Roman" w:hAnsi="Times New Roman" w:cs="Times New Roman"/>
                <w:color w:val="auto"/>
                <w:kern w:val="0"/>
                <w:sz w:val="24"/>
                <w:szCs w:val="24"/>
                <w:highlight w:val="none"/>
                <w:lang w:val="zh-CN"/>
              </w:rPr>
              <w:t>现代制造业基地，沿江开发的前沿区、城市重大基础设施基地、生态环境良好的滨江新城区</w:t>
            </w:r>
            <w:r>
              <w:rPr>
                <w:rFonts w:hint="eastAsia" w:cs="Times New Roman"/>
                <w:color w:val="auto"/>
                <w:kern w:val="0"/>
                <w:sz w:val="24"/>
                <w:szCs w:val="24"/>
                <w:highlight w:val="none"/>
                <w:lang w:val="zh-CN"/>
              </w:rPr>
              <w:t>”</w:t>
            </w:r>
            <w:r>
              <w:rPr>
                <w:rFonts w:hint="default" w:ascii="Times New Roman" w:hAnsi="Times New Roman" w:cs="Times New Roman"/>
                <w:color w:val="auto"/>
                <w:kern w:val="0"/>
                <w:sz w:val="24"/>
                <w:szCs w:val="24"/>
                <w:highlight w:val="none"/>
                <w:lang w:val="en-US" w:eastAsia="zh-CN"/>
              </w:rPr>
              <w:t xml:space="preserve">。 </w:t>
            </w:r>
          </w:p>
          <w:p w14:paraId="6D832D32">
            <w:pPr>
              <w:autoSpaceDE w:val="0"/>
              <w:autoSpaceDN w:val="0"/>
              <w:adjustRightInd w:val="0"/>
              <w:spacing w:line="360" w:lineRule="auto"/>
              <w:ind w:firstLine="420"/>
              <w:rPr>
                <w:rFonts w:hint="eastAsia"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2）用地布局：规划形成“一港两心三大板块”的空间布局结构。一港即长江常州港；两心即行政、商贸和居住中心；三大板块即北部滨江产业板块、东部产业板块、西部产业板块。其中北部产业版块现状以化工为主，规划提升产业品味和企业准入条件；东部产业版块包括原圩塘工业园、百丈工业园、环保产业园，以环保产业为主；西部产业版块现状为农田，规划将主要作为常州市化工行业整治用地，将区外分散化工企业通过技术改造迁入西部产业版块。</w:t>
            </w:r>
          </w:p>
          <w:p w14:paraId="769CFEDB">
            <w:pPr>
              <w:autoSpaceDE w:val="0"/>
              <w:autoSpaceDN w:val="0"/>
              <w:adjustRightInd w:val="0"/>
              <w:spacing w:line="360" w:lineRule="auto"/>
              <w:ind w:firstLine="420"/>
              <w:rPr>
                <w:rFonts w:hint="default" w:ascii="Times New Roman" w:hAnsi="Times New Roman"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（3）</w:t>
            </w:r>
            <w:r>
              <w:rPr>
                <w:rFonts w:hint="default" w:ascii="Times New Roman" w:hAnsi="Times New Roman" w:cs="Times New Roman"/>
                <w:color w:val="auto"/>
                <w:kern w:val="0"/>
                <w:sz w:val="24"/>
                <w:szCs w:val="24"/>
                <w:highlight w:val="none"/>
                <w:lang w:val="en-US" w:eastAsia="zh-CN"/>
              </w:rPr>
              <w:t>产业定位</w:t>
            </w:r>
            <w:r>
              <w:rPr>
                <w:rFonts w:hint="eastAsia" w:cs="Times New Roman"/>
                <w:color w:val="auto"/>
                <w:kern w:val="0"/>
                <w:sz w:val="24"/>
                <w:szCs w:val="24"/>
                <w:highlight w:val="none"/>
                <w:lang w:val="en-US" w:eastAsia="zh-CN"/>
              </w:rPr>
              <w:t>：</w:t>
            </w:r>
            <w:r>
              <w:rPr>
                <w:rFonts w:hint="default" w:ascii="Times New Roman" w:hAnsi="Times New Roman" w:cs="Times New Roman"/>
                <w:color w:val="auto"/>
                <w:kern w:val="0"/>
                <w:sz w:val="24"/>
                <w:szCs w:val="24"/>
                <w:highlight w:val="none"/>
                <w:lang w:val="en-US" w:eastAsia="zh-CN"/>
              </w:rPr>
              <w:t>开发区以生物工程、医药、基础化工、环保、机械等为主导产业。环评批复要求，位于东部产业板块的A地块调整为一类工业用地，不再作为化工片区，该地块内现有化工企业不得再扩大生产规模</w:t>
            </w:r>
            <w:r>
              <w:rPr>
                <w:rFonts w:hint="eastAsia" w:cs="Times New Roman"/>
                <w:color w:val="auto"/>
                <w:kern w:val="0"/>
                <w:sz w:val="24"/>
                <w:szCs w:val="24"/>
                <w:highlight w:val="none"/>
                <w:lang w:val="en-US" w:eastAsia="zh-CN"/>
              </w:rPr>
              <w:t>；</w:t>
            </w:r>
            <w:r>
              <w:rPr>
                <w:rFonts w:hint="default" w:ascii="Times New Roman" w:hAnsi="Times New Roman" w:cs="Times New Roman"/>
                <w:color w:val="auto"/>
                <w:kern w:val="0"/>
                <w:sz w:val="24"/>
                <w:szCs w:val="24"/>
                <w:highlight w:val="none"/>
                <w:lang w:val="en-US" w:eastAsia="zh-CN"/>
              </w:rPr>
              <w:t>位于北部滨江产业板块的B、C地块须按《常州市新港分区化工区综合整治及规划调整方案》提出的措施对现有化工企业进行整合，提升企业档次、节约土地资源，形成规模优势企业</w:t>
            </w:r>
            <w:r>
              <w:rPr>
                <w:rFonts w:hint="eastAsia" w:cs="Times New Roman"/>
                <w:color w:val="auto"/>
                <w:kern w:val="0"/>
                <w:sz w:val="24"/>
                <w:szCs w:val="24"/>
                <w:highlight w:val="none"/>
                <w:lang w:val="en-US" w:eastAsia="zh-CN"/>
              </w:rPr>
              <w:t>；</w:t>
            </w:r>
            <w:r>
              <w:rPr>
                <w:rFonts w:hint="default" w:ascii="Times New Roman" w:hAnsi="Times New Roman" w:cs="Times New Roman"/>
                <w:color w:val="auto"/>
                <w:kern w:val="0"/>
                <w:sz w:val="24"/>
                <w:szCs w:val="24"/>
                <w:highlight w:val="none"/>
                <w:lang w:val="en-US" w:eastAsia="zh-CN"/>
              </w:rPr>
              <w:t>B、C地块经整合腾出的土地及位于西部产业板块的D地块作为常州市化工行业整治用地，用于接纳常州市范围内实现产业升级后的化工企业搬迁入区</w:t>
            </w:r>
            <w:r>
              <w:rPr>
                <w:rFonts w:hint="eastAsia" w:cs="Times New Roman"/>
                <w:color w:val="auto"/>
                <w:kern w:val="0"/>
                <w:sz w:val="24"/>
                <w:szCs w:val="24"/>
                <w:highlight w:val="none"/>
                <w:lang w:val="en-US" w:eastAsia="zh-CN"/>
              </w:rPr>
              <w:t>；</w:t>
            </w:r>
            <w:r>
              <w:rPr>
                <w:rFonts w:hint="default" w:ascii="Times New Roman" w:hAnsi="Times New Roman" w:cs="Times New Roman"/>
                <w:color w:val="auto"/>
                <w:kern w:val="0"/>
                <w:sz w:val="24"/>
                <w:szCs w:val="24"/>
                <w:highlight w:val="none"/>
                <w:lang w:val="en-US" w:eastAsia="zh-CN"/>
              </w:rPr>
              <w:t>其它工业用地的主导产业为生物工程、环保、电子、医药</w:t>
            </w:r>
            <w:r>
              <w:rPr>
                <w:rFonts w:hint="eastAsia" w:ascii="Times New Roman" w:hAnsi="Times New Roman" w:cs="Times New Roman"/>
                <w:color w:val="auto"/>
                <w:kern w:val="0"/>
                <w:sz w:val="24"/>
                <w:szCs w:val="24"/>
                <w:highlight w:val="none"/>
                <w:lang w:val="en-US" w:eastAsia="zh-CN"/>
              </w:rPr>
              <w:t>（</w:t>
            </w:r>
            <w:r>
              <w:rPr>
                <w:rFonts w:hint="default" w:ascii="Times New Roman" w:hAnsi="Times New Roman" w:cs="Times New Roman"/>
                <w:color w:val="auto"/>
                <w:kern w:val="0"/>
                <w:sz w:val="24"/>
                <w:szCs w:val="24"/>
                <w:highlight w:val="none"/>
                <w:lang w:val="en-US" w:eastAsia="zh-CN"/>
              </w:rPr>
              <w:t>不含医药中间体</w:t>
            </w:r>
            <w:r>
              <w:rPr>
                <w:rFonts w:hint="eastAsia" w:ascii="Times New Roman" w:hAnsi="Times New Roman" w:cs="Times New Roman"/>
                <w:color w:val="auto"/>
                <w:kern w:val="0"/>
                <w:sz w:val="24"/>
                <w:szCs w:val="24"/>
                <w:highlight w:val="none"/>
                <w:lang w:val="en-US" w:eastAsia="zh-CN"/>
              </w:rPr>
              <w:t>）</w:t>
            </w:r>
            <w:r>
              <w:rPr>
                <w:rFonts w:hint="default" w:ascii="Times New Roman" w:hAnsi="Times New Roman" w:cs="Times New Roman"/>
                <w:color w:val="auto"/>
                <w:kern w:val="0"/>
                <w:sz w:val="24"/>
                <w:szCs w:val="24"/>
                <w:highlight w:val="none"/>
                <w:lang w:val="en-US" w:eastAsia="zh-CN"/>
              </w:rPr>
              <w:t>、纺织</w:t>
            </w:r>
            <w:r>
              <w:rPr>
                <w:rFonts w:hint="eastAsia" w:ascii="Times New Roman" w:hAnsi="Times New Roman" w:cs="Times New Roman"/>
                <w:color w:val="auto"/>
                <w:kern w:val="0"/>
                <w:sz w:val="24"/>
                <w:szCs w:val="24"/>
                <w:highlight w:val="none"/>
                <w:lang w:val="en-US" w:eastAsia="zh-CN"/>
              </w:rPr>
              <w:t>（</w:t>
            </w:r>
            <w:r>
              <w:rPr>
                <w:rFonts w:hint="default" w:ascii="Times New Roman" w:hAnsi="Times New Roman" w:cs="Times New Roman"/>
                <w:color w:val="auto"/>
                <w:kern w:val="0"/>
                <w:sz w:val="24"/>
                <w:szCs w:val="24"/>
                <w:highlight w:val="none"/>
                <w:lang w:val="en-US" w:eastAsia="zh-CN"/>
              </w:rPr>
              <w:t>不含印染</w:t>
            </w:r>
            <w:r>
              <w:rPr>
                <w:rFonts w:hint="eastAsia" w:ascii="Times New Roman" w:hAnsi="Times New Roman" w:cs="Times New Roman"/>
                <w:color w:val="auto"/>
                <w:kern w:val="0"/>
                <w:sz w:val="24"/>
                <w:szCs w:val="24"/>
                <w:highlight w:val="none"/>
                <w:lang w:val="en-US" w:eastAsia="zh-CN"/>
              </w:rPr>
              <w:t>）</w:t>
            </w:r>
            <w:r>
              <w:rPr>
                <w:rFonts w:hint="default" w:ascii="Times New Roman" w:hAnsi="Times New Roman" w:cs="Times New Roman"/>
                <w:color w:val="auto"/>
                <w:kern w:val="0"/>
                <w:sz w:val="24"/>
                <w:szCs w:val="24"/>
                <w:highlight w:val="none"/>
                <w:lang w:val="en-US" w:eastAsia="zh-CN"/>
              </w:rPr>
              <w:t>、机械</w:t>
            </w:r>
            <w:r>
              <w:rPr>
                <w:rFonts w:hint="eastAsia" w:ascii="Times New Roman" w:hAnsi="Times New Roman" w:cs="Times New Roman"/>
                <w:color w:val="auto"/>
                <w:kern w:val="0"/>
                <w:sz w:val="24"/>
                <w:szCs w:val="24"/>
                <w:highlight w:val="none"/>
                <w:lang w:val="en-US" w:eastAsia="zh-CN"/>
              </w:rPr>
              <w:t>（</w:t>
            </w:r>
            <w:r>
              <w:rPr>
                <w:rFonts w:hint="default" w:ascii="Times New Roman" w:hAnsi="Times New Roman" w:cs="Times New Roman"/>
                <w:color w:val="auto"/>
                <w:kern w:val="0"/>
                <w:sz w:val="24"/>
                <w:szCs w:val="24"/>
                <w:highlight w:val="none"/>
                <w:lang w:val="en-US" w:eastAsia="zh-CN"/>
              </w:rPr>
              <w:t>不含电镀</w:t>
            </w:r>
            <w:r>
              <w:rPr>
                <w:rFonts w:hint="eastAsia" w:ascii="Times New Roman" w:hAnsi="Times New Roman" w:cs="Times New Roman"/>
                <w:color w:val="auto"/>
                <w:kern w:val="0"/>
                <w:sz w:val="24"/>
                <w:szCs w:val="24"/>
                <w:highlight w:val="none"/>
                <w:lang w:val="en-US" w:eastAsia="zh-CN"/>
              </w:rPr>
              <w:t>）</w:t>
            </w:r>
            <w:r>
              <w:rPr>
                <w:rFonts w:hint="default" w:ascii="Times New Roman" w:hAnsi="Times New Roman" w:cs="Times New Roman"/>
                <w:color w:val="auto"/>
                <w:kern w:val="0"/>
                <w:sz w:val="24"/>
                <w:szCs w:val="24"/>
                <w:highlight w:val="none"/>
                <w:lang w:val="en-US" w:eastAsia="zh-CN"/>
              </w:rPr>
              <w:t>等无污染或轻污染的一、二类工业。</w:t>
            </w:r>
          </w:p>
          <w:p w14:paraId="16F4AE7D">
            <w:pPr>
              <w:autoSpaceDE w:val="0"/>
              <w:autoSpaceDN w:val="0"/>
              <w:adjustRightInd w:val="0"/>
              <w:spacing w:line="360" w:lineRule="auto"/>
              <w:ind w:firstLine="420"/>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w:t>
            </w:r>
            <w:r>
              <w:rPr>
                <w:rFonts w:hint="eastAsia" w:cs="Times New Roman"/>
                <w:color w:val="auto"/>
                <w:kern w:val="0"/>
                <w:sz w:val="24"/>
                <w:szCs w:val="24"/>
                <w:highlight w:val="none"/>
                <w:lang w:val="en-US" w:eastAsia="zh-CN"/>
              </w:rPr>
              <w:t>4</w:t>
            </w:r>
            <w:r>
              <w:rPr>
                <w:rFonts w:hint="default" w:ascii="Times New Roman" w:hAnsi="Times New Roman" w:cs="Times New Roman"/>
                <w:color w:val="auto"/>
                <w:kern w:val="0"/>
                <w:sz w:val="24"/>
                <w:szCs w:val="24"/>
                <w:highlight w:val="none"/>
                <w:lang w:val="en-US" w:eastAsia="zh-CN"/>
              </w:rPr>
              <w:t>）</w:t>
            </w:r>
            <w:r>
              <w:rPr>
                <w:rFonts w:hint="eastAsia" w:cs="Times New Roman"/>
                <w:color w:val="auto"/>
                <w:kern w:val="0"/>
                <w:sz w:val="24"/>
                <w:szCs w:val="24"/>
                <w:highlight w:val="none"/>
                <w:lang w:val="en-US" w:eastAsia="zh-CN"/>
              </w:rPr>
              <w:t>对园区建设环境管理要求和整改意见</w:t>
            </w:r>
          </w:p>
          <w:p w14:paraId="0F5BA691">
            <w:pPr>
              <w:autoSpaceDE w:val="0"/>
              <w:autoSpaceDN w:val="0"/>
              <w:adjustRightInd w:val="0"/>
              <w:spacing w:line="360" w:lineRule="auto"/>
              <w:ind w:firstLine="420"/>
              <w:rPr>
                <w:rFonts w:hint="default" w:ascii="Times New Roman" w:hAnsi="Times New Roman"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①</w:t>
            </w:r>
            <w:r>
              <w:rPr>
                <w:rFonts w:hint="default" w:ascii="Times New Roman" w:hAnsi="Times New Roman" w:cs="Times New Roman"/>
                <w:color w:val="auto"/>
                <w:kern w:val="0"/>
                <w:sz w:val="24"/>
                <w:szCs w:val="24"/>
                <w:highlight w:val="none"/>
                <w:lang w:val="en-US" w:eastAsia="zh-CN"/>
              </w:rPr>
              <w:t>完善产业布局</w:t>
            </w:r>
          </w:p>
          <w:p w14:paraId="626127C0">
            <w:pPr>
              <w:autoSpaceDE w:val="0"/>
              <w:autoSpaceDN w:val="0"/>
              <w:adjustRightInd w:val="0"/>
              <w:spacing w:line="360" w:lineRule="auto"/>
              <w:ind w:firstLine="420"/>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位于非化工集中区化工企业即时启动搬迁调整工作，于2014 年底前完成。不符合产业定位的电镀、印染企业，不得进行技改、扩建。上述企业过渡期污染物必须稳定达标排放。将338省道以北、常州电厂以南面积41.36 公顷土地调整为非化工用地，该地块内现有化工企业应予以调整。</w:t>
            </w:r>
          </w:p>
          <w:p w14:paraId="69EA3F40">
            <w:pPr>
              <w:autoSpaceDE w:val="0"/>
              <w:autoSpaceDN w:val="0"/>
              <w:adjustRightInd w:val="0"/>
              <w:spacing w:line="360" w:lineRule="auto"/>
              <w:ind w:firstLine="420"/>
              <w:rPr>
                <w:rFonts w:hint="eastAsia"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②</w:t>
            </w:r>
            <w:r>
              <w:rPr>
                <w:rFonts w:hint="default" w:ascii="Times New Roman" w:hAnsi="Times New Roman" w:cs="Times New Roman"/>
                <w:color w:val="auto"/>
                <w:kern w:val="0"/>
                <w:sz w:val="24"/>
                <w:szCs w:val="24"/>
                <w:highlight w:val="none"/>
                <w:lang w:val="en-US" w:eastAsia="zh-CN"/>
              </w:rPr>
              <w:t>加快环保基础设施建设</w:t>
            </w:r>
          </w:p>
          <w:p w14:paraId="1B4DC464">
            <w:pPr>
              <w:autoSpaceDE w:val="0"/>
              <w:autoSpaceDN w:val="0"/>
              <w:adjustRightInd w:val="0"/>
              <w:spacing w:line="360" w:lineRule="auto"/>
              <w:ind w:firstLine="420"/>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2013年底前完成排水管网建设，未接管企业废水接入污水处理厂集中处理。2014年底前完成供热管网建设，全面实现集中供热，现有各类燃煤设施必须立即拆除或采用天然气、轻柴油等清洁能源。</w:t>
            </w:r>
          </w:p>
          <w:p w14:paraId="59C35B49">
            <w:pPr>
              <w:autoSpaceDE w:val="0"/>
              <w:autoSpaceDN w:val="0"/>
              <w:adjustRightInd w:val="0"/>
              <w:spacing w:line="360" w:lineRule="auto"/>
              <w:ind w:firstLine="420"/>
              <w:rPr>
                <w:rFonts w:hint="default" w:ascii="Times New Roman" w:hAnsi="Times New Roman" w:cs="Times New Roman"/>
                <w:color w:val="0000FF"/>
                <w:kern w:val="0"/>
                <w:sz w:val="24"/>
                <w:szCs w:val="24"/>
                <w:highlight w:val="none"/>
                <w:lang w:val="en-US" w:eastAsia="zh-CN"/>
              </w:rPr>
            </w:pPr>
            <w:r>
              <w:rPr>
                <w:rFonts w:hint="eastAsia" w:cs="Times New Roman"/>
                <w:color w:val="auto"/>
                <w:kern w:val="0"/>
                <w:sz w:val="24"/>
                <w:szCs w:val="24"/>
                <w:highlight w:val="none"/>
                <w:lang w:val="en-US" w:eastAsia="zh-CN"/>
              </w:rPr>
              <w:t>③</w:t>
            </w:r>
            <w:r>
              <w:rPr>
                <w:rFonts w:hint="default" w:ascii="Times New Roman" w:hAnsi="Times New Roman" w:cs="Times New Roman"/>
                <w:color w:val="auto"/>
                <w:kern w:val="0"/>
                <w:sz w:val="24"/>
                <w:szCs w:val="24"/>
                <w:highlight w:val="none"/>
                <w:lang w:val="en-US" w:eastAsia="zh-CN"/>
              </w:rPr>
              <w:t xml:space="preserve">严格控制排放HCl、恶臭类特征污染物项目的引进、对现有企业提出管理要求及整改措施，提高清洁生产水平。2014年底前完成对11家重点污染源及特征污染物排放量较大的企业排查梳理以及污染防治工作，减轻对周边环境的影响。 </w:t>
            </w:r>
          </w:p>
          <w:p w14:paraId="692D366C">
            <w:pPr>
              <w:autoSpaceDE w:val="0"/>
              <w:autoSpaceDN w:val="0"/>
              <w:adjustRightInd w:val="0"/>
              <w:spacing w:line="360" w:lineRule="auto"/>
              <w:ind w:firstLine="420"/>
              <w:rPr>
                <w:rFonts w:hint="default" w:ascii="Times New Roman" w:hAnsi="Times New Roman" w:cs="Times New Roman"/>
                <w:b/>
                <w:color w:val="auto"/>
                <w:kern w:val="0"/>
                <w:sz w:val="24"/>
                <w:szCs w:val="24"/>
                <w:highlight w:val="none"/>
              </w:rPr>
            </w:pPr>
            <w:r>
              <w:rPr>
                <w:rFonts w:hint="default" w:ascii="Times New Roman" w:hAnsi="Times New Roman" w:cs="Times New Roman"/>
                <w:b/>
                <w:color w:val="auto"/>
                <w:kern w:val="0"/>
                <w:sz w:val="24"/>
                <w:szCs w:val="24"/>
                <w:highlight w:val="none"/>
              </w:rPr>
              <w:t>对照分析：本项目</w:t>
            </w:r>
            <w:r>
              <w:rPr>
                <w:rFonts w:hint="default" w:ascii="Times New Roman" w:hAnsi="Times New Roman" w:cs="Times New Roman"/>
                <w:b/>
                <w:bCs w:val="0"/>
                <w:color w:val="auto"/>
                <w:kern w:val="0"/>
                <w:sz w:val="24"/>
                <w:szCs w:val="24"/>
                <w:highlight w:val="none"/>
              </w:rPr>
              <w:t>主要</w:t>
            </w:r>
            <w:r>
              <w:rPr>
                <w:rFonts w:hint="eastAsia" w:cs="Times New Roman"/>
                <w:b/>
                <w:bCs w:val="0"/>
                <w:color w:val="auto"/>
                <w:kern w:val="0"/>
                <w:sz w:val="24"/>
                <w:szCs w:val="24"/>
                <w:highlight w:val="none"/>
                <w:lang w:eastAsia="zh-CN"/>
              </w:rPr>
              <w:t>从事高端医用设备的生产</w:t>
            </w:r>
            <w:r>
              <w:rPr>
                <w:rFonts w:hint="default" w:ascii="Times New Roman" w:hAnsi="Times New Roman" w:cs="Times New Roman"/>
                <w:b/>
                <w:bCs w:val="0"/>
                <w:color w:val="auto"/>
                <w:kern w:val="0"/>
                <w:sz w:val="24"/>
                <w:szCs w:val="24"/>
                <w:highlight w:val="none"/>
              </w:rPr>
              <w:t>，</w:t>
            </w:r>
            <w:r>
              <w:rPr>
                <w:rFonts w:hint="eastAsia" w:cs="Times New Roman"/>
                <w:b/>
                <w:bCs w:val="0"/>
                <w:color w:val="auto"/>
                <w:sz w:val="24"/>
                <w:szCs w:val="24"/>
                <w:highlight w:val="none"/>
                <w:lang w:eastAsia="zh-CN"/>
              </w:rPr>
              <w:t>不涉及HCl、恶臭类特征污染物产生及排放</w:t>
            </w:r>
            <w:r>
              <w:rPr>
                <w:rFonts w:hint="eastAsia" w:cs="Times New Roman"/>
                <w:b/>
                <w:color w:val="auto"/>
                <w:kern w:val="0"/>
                <w:sz w:val="24"/>
                <w:szCs w:val="24"/>
                <w:highlight w:val="none"/>
                <w:lang w:eastAsia="zh-CN"/>
              </w:rPr>
              <w:t>；</w:t>
            </w:r>
            <w:r>
              <w:rPr>
                <w:rFonts w:hint="default" w:ascii="Times New Roman" w:hAnsi="Times New Roman" w:cs="Times New Roman"/>
                <w:b/>
                <w:color w:val="auto"/>
                <w:kern w:val="0"/>
                <w:sz w:val="24"/>
                <w:szCs w:val="24"/>
                <w:highlight w:val="none"/>
              </w:rPr>
              <w:t>不属于</w:t>
            </w:r>
            <w:r>
              <w:rPr>
                <w:rFonts w:hint="eastAsia" w:ascii="Times New Roman" w:hAnsi="Times New Roman" w:cs="Times New Roman"/>
                <w:b/>
                <w:color w:val="auto"/>
                <w:kern w:val="0"/>
                <w:sz w:val="24"/>
                <w:szCs w:val="24"/>
                <w:highlight w:val="none"/>
                <w:lang w:eastAsia="zh-CN"/>
              </w:rPr>
              <w:t>园区</w:t>
            </w:r>
            <w:r>
              <w:rPr>
                <w:rFonts w:hint="default" w:ascii="Times New Roman" w:hAnsi="Times New Roman" w:cs="Times New Roman"/>
                <w:b/>
                <w:color w:val="auto"/>
                <w:kern w:val="0"/>
                <w:sz w:val="24"/>
                <w:szCs w:val="24"/>
                <w:highlight w:val="none"/>
              </w:rPr>
              <w:t>限制</w:t>
            </w:r>
            <w:r>
              <w:rPr>
                <w:rFonts w:hint="eastAsia" w:ascii="Times New Roman" w:hAnsi="Times New Roman" w:cs="Times New Roman"/>
                <w:b/>
                <w:color w:val="auto"/>
                <w:kern w:val="0"/>
                <w:sz w:val="24"/>
                <w:szCs w:val="24"/>
                <w:highlight w:val="none"/>
                <w:lang w:eastAsia="zh-CN"/>
              </w:rPr>
              <w:t>及禁止引进的</w:t>
            </w:r>
            <w:r>
              <w:rPr>
                <w:rFonts w:hint="default" w:ascii="Times New Roman" w:hAnsi="Times New Roman" w:cs="Times New Roman"/>
                <w:b/>
                <w:color w:val="auto"/>
                <w:kern w:val="0"/>
                <w:sz w:val="24"/>
                <w:szCs w:val="24"/>
                <w:highlight w:val="none"/>
              </w:rPr>
              <w:t>项目</w:t>
            </w:r>
            <w:r>
              <w:rPr>
                <w:rFonts w:hint="eastAsia" w:cs="Times New Roman"/>
                <w:b/>
                <w:color w:val="auto"/>
                <w:kern w:val="0"/>
                <w:sz w:val="24"/>
                <w:szCs w:val="24"/>
                <w:highlight w:val="none"/>
                <w:lang w:eastAsia="zh-CN"/>
              </w:rPr>
              <w:t>；</w:t>
            </w:r>
            <w:r>
              <w:rPr>
                <w:rFonts w:hint="default" w:ascii="Times New Roman" w:hAnsi="Times New Roman" w:cs="Times New Roman"/>
                <w:b/>
                <w:color w:val="auto"/>
                <w:kern w:val="0"/>
                <w:sz w:val="24"/>
                <w:szCs w:val="24"/>
                <w:highlight w:val="none"/>
              </w:rPr>
              <w:t>不涉及剧毒、放射性物质的生产与储运，不涉及医药中间体和化学合成工艺产品生产，生产工艺过程不排放</w:t>
            </w:r>
            <w:r>
              <w:rPr>
                <w:rFonts w:hint="eastAsia" w:cs="Times New Roman"/>
                <w:b/>
                <w:color w:val="auto"/>
                <w:kern w:val="0"/>
                <w:sz w:val="24"/>
                <w:szCs w:val="24"/>
                <w:highlight w:val="none"/>
                <w:lang w:eastAsia="zh-CN"/>
              </w:rPr>
              <w:t>“</w:t>
            </w:r>
            <w:r>
              <w:rPr>
                <w:rFonts w:hint="default" w:ascii="Times New Roman" w:hAnsi="Times New Roman" w:cs="Times New Roman"/>
                <w:b/>
                <w:color w:val="auto"/>
                <w:kern w:val="0"/>
                <w:sz w:val="24"/>
                <w:szCs w:val="24"/>
                <w:highlight w:val="none"/>
              </w:rPr>
              <w:t>三致</w:t>
            </w:r>
            <w:r>
              <w:rPr>
                <w:rFonts w:hint="eastAsia" w:cs="Times New Roman"/>
                <w:b/>
                <w:color w:val="auto"/>
                <w:kern w:val="0"/>
                <w:sz w:val="24"/>
                <w:szCs w:val="24"/>
                <w:highlight w:val="none"/>
                <w:lang w:eastAsia="zh-CN"/>
              </w:rPr>
              <w:t>”</w:t>
            </w:r>
            <w:r>
              <w:rPr>
                <w:rFonts w:hint="default" w:ascii="Times New Roman" w:hAnsi="Times New Roman" w:cs="Times New Roman"/>
                <w:b/>
                <w:color w:val="auto"/>
                <w:kern w:val="0"/>
                <w:sz w:val="24"/>
                <w:szCs w:val="24"/>
                <w:highlight w:val="none"/>
              </w:rPr>
              <w:t>物质、恶臭气体、持久性污染物及重金属，可在园区内实施本项目。因此，本项目符合《江苏常州滨江经济开发区规划环境影响跟踪评价报告书》及</w:t>
            </w:r>
            <w:r>
              <w:rPr>
                <w:rFonts w:hint="default" w:ascii="Times New Roman" w:hAnsi="Times New Roman" w:cs="Times New Roman"/>
                <w:b/>
                <w:color w:val="auto"/>
                <w:kern w:val="0"/>
                <w:sz w:val="24"/>
                <w:szCs w:val="24"/>
                <w:highlight w:val="none"/>
                <w:lang w:eastAsia="zh-CN"/>
              </w:rPr>
              <w:t>审核</w:t>
            </w:r>
            <w:r>
              <w:rPr>
                <w:rFonts w:hint="default" w:ascii="Times New Roman" w:hAnsi="Times New Roman" w:cs="Times New Roman"/>
                <w:b/>
                <w:color w:val="auto"/>
                <w:kern w:val="0"/>
                <w:sz w:val="24"/>
                <w:szCs w:val="24"/>
                <w:highlight w:val="none"/>
              </w:rPr>
              <w:t>意见要求。</w:t>
            </w:r>
          </w:p>
          <w:p w14:paraId="1D8CD2EC">
            <w:pPr>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5</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sz w:val="24"/>
                <w:szCs w:val="24"/>
                <w:highlight w:val="none"/>
              </w:rPr>
              <w:t>环保基础设施建设及运行情况</w:t>
            </w:r>
          </w:p>
          <w:p w14:paraId="389077C0">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①污水工程</w:t>
            </w:r>
          </w:p>
          <w:p w14:paraId="79CF0A65">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开发区采用雨污分流排水体制。工业废水需经预处理达标后方可纳入城市污水管网。开发区目前主要有常州市江边污水处理厂和常州新区江边污水处理厂。</w:t>
            </w:r>
          </w:p>
          <w:p w14:paraId="094871EA">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常州市江边污水处理厂厂址位于黄海路以北、338省道以南、藻港河以西、长江路以东的区域。常州市江边污水厂为常州市服务，服务区域500km</w:t>
            </w:r>
            <w:r>
              <w:rPr>
                <w:rFonts w:hint="default" w:ascii="Times New Roman" w:hAnsi="Times New Roman" w:cs="Times New Roman"/>
                <w:color w:val="auto"/>
                <w:kern w:val="0"/>
                <w:sz w:val="24"/>
                <w:szCs w:val="24"/>
                <w:highlight w:val="none"/>
                <w:vertAlign w:val="superscript"/>
                <w:lang w:val="en-US" w:eastAsia="zh-CN"/>
              </w:rPr>
              <w:t>2</w:t>
            </w:r>
            <w:r>
              <w:rPr>
                <w:rFonts w:hint="default" w:ascii="Times New Roman" w:hAnsi="Times New Roman" w:cs="Times New Roman"/>
                <w:color w:val="auto"/>
                <w:kern w:val="0"/>
                <w:sz w:val="24"/>
                <w:szCs w:val="24"/>
                <w:highlight w:val="none"/>
                <w:lang w:val="en-US" w:eastAsia="zh-CN"/>
              </w:rPr>
              <w:t>。收集系统服务范围为中心城区，其北为长江、东与江阴、戚墅堰接壤、西与丹阳交界、南到新运河，包含中心组团、高新组团、城西组团、城东组团、新港组团、新龙组团及孟河、奔牛等周边片区。其中新港组团主要服务范围为省道338以南区域。根据规划，常州市江边污水处理厂远期处理规模将达到30万m</w:t>
            </w:r>
            <w:r>
              <w:rPr>
                <w:rFonts w:hint="default" w:ascii="Times New Roman" w:hAnsi="Times New Roman" w:cs="Times New Roman"/>
                <w:color w:val="auto"/>
                <w:kern w:val="0"/>
                <w:sz w:val="24"/>
                <w:szCs w:val="24"/>
                <w:highlight w:val="none"/>
                <w:vertAlign w:val="superscript"/>
                <w:lang w:val="en-US" w:eastAsia="zh-CN"/>
              </w:rPr>
              <w:t>3</w:t>
            </w:r>
            <w:r>
              <w:rPr>
                <w:rFonts w:hint="default" w:ascii="Times New Roman" w:hAnsi="Times New Roman" w:cs="Times New Roman"/>
                <w:color w:val="auto"/>
                <w:kern w:val="0"/>
                <w:sz w:val="24"/>
                <w:szCs w:val="24"/>
                <w:highlight w:val="none"/>
                <w:lang w:val="en-US" w:eastAsia="zh-CN"/>
              </w:rPr>
              <w:t>/d，远期处理规模将达到50万m</w:t>
            </w:r>
            <w:r>
              <w:rPr>
                <w:rFonts w:hint="default" w:ascii="Times New Roman" w:hAnsi="Times New Roman" w:cs="Times New Roman"/>
                <w:color w:val="auto"/>
                <w:kern w:val="0"/>
                <w:sz w:val="24"/>
                <w:szCs w:val="24"/>
                <w:highlight w:val="none"/>
                <w:vertAlign w:val="superscript"/>
                <w:lang w:val="en-US" w:eastAsia="zh-CN"/>
              </w:rPr>
              <w:t>3</w:t>
            </w:r>
            <w:r>
              <w:rPr>
                <w:rFonts w:hint="default" w:ascii="Times New Roman" w:hAnsi="Times New Roman" w:cs="Times New Roman"/>
                <w:color w:val="auto"/>
                <w:kern w:val="0"/>
                <w:sz w:val="24"/>
                <w:szCs w:val="24"/>
                <w:highlight w:val="none"/>
                <w:lang w:val="en-US" w:eastAsia="zh-CN"/>
              </w:rPr>
              <w:t xml:space="preserve">/d。 </w:t>
            </w:r>
          </w:p>
          <w:p w14:paraId="4ED20A65">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 xml:space="preserve">②雨水排除及防洪排涝 </w:t>
            </w:r>
          </w:p>
          <w:p w14:paraId="05AFD785">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开发区雨水采用分散就近排放的原则，高地自排，低地机排。长江防洪设计标准为100年一遇。规划增建小龙港、桃花港水利枢纽两座,省庄河设节制闸。</w:t>
            </w:r>
          </w:p>
          <w:p w14:paraId="74A70D2E">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 xml:space="preserve">③燃气 </w:t>
            </w:r>
          </w:p>
          <w:p w14:paraId="658551DF">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开发区内以天然气为主气源，为居民、公建用气、工业供气。管道气化率近期80％，远期95％。</w:t>
            </w:r>
          </w:p>
          <w:p w14:paraId="2FA29745">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 xml:space="preserve">④集中供热 </w:t>
            </w:r>
          </w:p>
          <w:p w14:paraId="4F3935E6">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 xml:space="preserve">开发区规划热源以新港热电厂和长江热电厂为主，另外还有百丈热能厂，近期以工业为主，兼顾公建，远期考虑部分住宅小区的中央空调及热水供热。 </w:t>
            </w:r>
          </w:p>
          <w:p w14:paraId="3C220742">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 xml:space="preserve">新港热电厂近期225t/h </w:t>
            </w:r>
            <w:r>
              <w:rPr>
                <w:rFonts w:hint="eastAsia" w:ascii="Times New Roman" w:hAnsi="Times New Roman" w:cs="Times New Roman"/>
                <w:color w:val="auto"/>
                <w:kern w:val="0"/>
                <w:sz w:val="24"/>
                <w:szCs w:val="24"/>
                <w:highlight w:val="none"/>
                <w:lang w:val="en-US" w:eastAsia="zh-CN"/>
              </w:rPr>
              <w:t>（</w:t>
            </w:r>
            <w:r>
              <w:rPr>
                <w:rFonts w:hint="default" w:ascii="Times New Roman" w:hAnsi="Times New Roman" w:cs="Times New Roman"/>
                <w:color w:val="auto"/>
                <w:kern w:val="0"/>
                <w:sz w:val="24"/>
                <w:szCs w:val="24"/>
                <w:highlight w:val="none"/>
                <w:lang w:val="en-US" w:eastAsia="zh-CN"/>
              </w:rPr>
              <w:t xml:space="preserve">3台75t/h循环流化床锅炉），远期新港热电厂拟扩建1台300t/h锅炉。 </w:t>
            </w:r>
          </w:p>
          <w:p w14:paraId="70A698FE">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长江热电厂近期3台75t/h 循环流化床</w:t>
            </w:r>
            <w:r>
              <w:rPr>
                <w:rFonts w:hint="eastAsia" w:ascii="Times New Roman" w:hAnsi="Times New Roman" w:cs="Times New Roman"/>
                <w:color w:val="auto"/>
                <w:kern w:val="0"/>
                <w:sz w:val="24"/>
                <w:szCs w:val="24"/>
                <w:highlight w:val="none"/>
                <w:lang w:val="en-US" w:eastAsia="zh-CN"/>
              </w:rPr>
              <w:t>（</w:t>
            </w:r>
            <w:r>
              <w:rPr>
                <w:rFonts w:hint="default" w:ascii="Times New Roman" w:hAnsi="Times New Roman" w:cs="Times New Roman"/>
                <w:color w:val="auto"/>
                <w:kern w:val="0"/>
                <w:sz w:val="24"/>
                <w:szCs w:val="24"/>
                <w:highlight w:val="none"/>
                <w:lang w:val="en-US" w:eastAsia="zh-CN"/>
              </w:rPr>
              <w:t>CFB</w:t>
            </w:r>
            <w:r>
              <w:rPr>
                <w:rFonts w:hint="eastAsia" w:ascii="Times New Roman" w:hAnsi="Times New Roman" w:cs="Times New Roman"/>
                <w:color w:val="auto"/>
                <w:kern w:val="0"/>
                <w:sz w:val="24"/>
                <w:szCs w:val="24"/>
                <w:highlight w:val="none"/>
                <w:lang w:val="en-US" w:eastAsia="zh-CN"/>
              </w:rPr>
              <w:t>）</w:t>
            </w:r>
            <w:r>
              <w:rPr>
                <w:rFonts w:hint="default" w:ascii="Times New Roman" w:hAnsi="Times New Roman" w:cs="Times New Roman"/>
                <w:color w:val="auto"/>
                <w:kern w:val="0"/>
                <w:sz w:val="24"/>
                <w:szCs w:val="24"/>
                <w:highlight w:val="none"/>
                <w:lang w:val="en-US" w:eastAsia="zh-CN"/>
              </w:rPr>
              <w:t xml:space="preserve">锅炉, 远期长江热电厂拟扩建1台130t/h锅炉。 </w:t>
            </w:r>
          </w:p>
          <w:p w14:paraId="1D2E0B1E">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百丈热能厂3台10t/h和1台20t/h燃煤蒸气锅炉。</w:t>
            </w:r>
          </w:p>
          <w:p w14:paraId="1E8820C1">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 xml:space="preserve">⑤固废处理处置 </w:t>
            </w:r>
          </w:p>
          <w:p w14:paraId="602E01E1">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开发区危险固体废物由企业根据实际情况委托由资质单位安全处置，生活垃圾送常州市夹山垃圾填埋场处理。</w:t>
            </w:r>
          </w:p>
          <w:p w14:paraId="45287219">
            <w:pPr>
              <w:autoSpaceDE w:val="0"/>
              <w:autoSpaceDN w:val="0"/>
              <w:adjustRightInd w:val="0"/>
              <w:snapToGrid w:val="0"/>
              <w:spacing w:line="360" w:lineRule="auto"/>
              <w:ind w:firstLine="482" w:firstLineChars="200"/>
              <w:rPr>
                <w:rFonts w:hint="default" w:ascii="Times New Roman" w:hAnsi="Times New Roman" w:cs="Times New Roman"/>
                <w:b/>
                <w:bCs w:val="0"/>
                <w:color w:val="auto"/>
                <w:kern w:val="0"/>
                <w:sz w:val="24"/>
                <w:szCs w:val="24"/>
                <w:highlight w:val="none"/>
              </w:rPr>
            </w:pPr>
            <w:r>
              <w:rPr>
                <w:rFonts w:hint="default" w:ascii="Times New Roman" w:hAnsi="Times New Roman" w:cs="Times New Roman"/>
                <w:b/>
                <w:bCs w:val="0"/>
                <w:color w:val="auto"/>
                <w:kern w:val="0"/>
                <w:sz w:val="24"/>
                <w:szCs w:val="24"/>
                <w:highlight w:val="none"/>
              </w:rPr>
              <w:t>综上所述，项目所在区域给水、排水、供电、道路等基础设施完善，具备污染集中控制条件。</w:t>
            </w:r>
          </w:p>
          <w:p w14:paraId="6A1FCF88">
            <w:pPr>
              <w:autoSpaceDE w:val="0"/>
              <w:autoSpaceDN w:val="0"/>
              <w:adjustRightInd w:val="0"/>
              <w:snapToGrid w:val="0"/>
              <w:spacing w:line="360" w:lineRule="auto"/>
              <w:ind w:firstLine="480" w:firstLineChars="200"/>
              <w:rPr>
                <w:rFonts w:hint="default" w:ascii="Times New Roman" w:hAnsi="Times New Roman" w:cs="Times New Roman"/>
                <w:b w:val="0"/>
                <w:bCs/>
                <w:color w:val="auto"/>
                <w:kern w:val="0"/>
                <w:sz w:val="24"/>
                <w:szCs w:val="24"/>
                <w:highlight w:val="none"/>
              </w:rPr>
            </w:pPr>
            <w:r>
              <w:rPr>
                <w:rFonts w:hint="default" w:ascii="Times New Roman" w:hAnsi="Times New Roman" w:cs="Times New Roman"/>
                <w:b w:val="0"/>
                <w:bCs/>
                <w:color w:val="auto"/>
                <w:kern w:val="0"/>
                <w:sz w:val="24"/>
                <w:szCs w:val="24"/>
                <w:highlight w:val="none"/>
                <w:lang w:eastAsia="zh-CN"/>
              </w:rPr>
              <w:t>（</w:t>
            </w:r>
            <w:r>
              <w:rPr>
                <w:rFonts w:hint="eastAsia" w:ascii="Times New Roman" w:hAnsi="Times New Roman" w:cs="Times New Roman"/>
                <w:b w:val="0"/>
                <w:bCs/>
                <w:color w:val="auto"/>
                <w:kern w:val="0"/>
                <w:sz w:val="24"/>
                <w:szCs w:val="24"/>
                <w:highlight w:val="none"/>
                <w:lang w:val="en-US" w:eastAsia="zh-CN"/>
              </w:rPr>
              <w:t>6</w:t>
            </w:r>
            <w:r>
              <w:rPr>
                <w:rFonts w:hint="default" w:ascii="Times New Roman" w:hAnsi="Times New Roman" w:cs="Times New Roman"/>
                <w:b w:val="0"/>
                <w:bCs/>
                <w:color w:val="auto"/>
                <w:kern w:val="0"/>
                <w:sz w:val="24"/>
                <w:szCs w:val="24"/>
                <w:highlight w:val="none"/>
                <w:lang w:eastAsia="zh-CN"/>
              </w:rPr>
              <w:t>）</w:t>
            </w:r>
            <w:r>
              <w:rPr>
                <w:rFonts w:hint="default" w:ascii="Times New Roman" w:hAnsi="Times New Roman" w:cs="Times New Roman"/>
                <w:b w:val="0"/>
                <w:bCs/>
                <w:color w:val="auto"/>
                <w:kern w:val="0"/>
                <w:sz w:val="24"/>
                <w:szCs w:val="24"/>
                <w:highlight w:val="none"/>
              </w:rPr>
              <w:t>用地规划相符性</w:t>
            </w:r>
          </w:p>
          <w:p w14:paraId="284638AB">
            <w:pPr>
              <w:autoSpaceDE w:val="0"/>
              <w:autoSpaceDN w:val="0"/>
              <w:adjustRightInd w:val="0"/>
              <w:snapToGrid w:val="0"/>
              <w:spacing w:line="360" w:lineRule="auto"/>
              <w:ind w:firstLine="480" w:firstLineChars="200"/>
              <w:rPr>
                <w:rFonts w:hint="default" w:ascii="Times New Roman" w:hAnsi="Times New Roman" w:cs="Times New Roman"/>
                <w:b w:val="0"/>
                <w:bCs/>
                <w:color w:val="auto"/>
                <w:kern w:val="0"/>
                <w:sz w:val="24"/>
                <w:szCs w:val="24"/>
                <w:highlight w:val="none"/>
              </w:rPr>
            </w:pPr>
            <w:r>
              <w:rPr>
                <w:rFonts w:hint="default" w:ascii="Times New Roman" w:hAnsi="Times New Roman" w:cs="Times New Roman"/>
                <w:b w:val="0"/>
                <w:bCs/>
                <w:color w:val="auto"/>
                <w:kern w:val="0"/>
                <w:sz w:val="24"/>
                <w:szCs w:val="24"/>
                <w:highlight w:val="none"/>
              </w:rPr>
              <w:t>本项目位于江苏省</w:t>
            </w:r>
            <w:r>
              <w:rPr>
                <w:rFonts w:hint="eastAsia" w:cs="Times New Roman"/>
                <w:b w:val="0"/>
                <w:bCs/>
                <w:color w:val="auto"/>
                <w:kern w:val="0"/>
                <w:sz w:val="24"/>
                <w:szCs w:val="24"/>
                <w:highlight w:val="none"/>
                <w:lang w:eastAsia="zh-CN"/>
              </w:rPr>
              <w:t>常州市新北区滨江经济开发区赣江路318号</w:t>
            </w:r>
            <w:r>
              <w:rPr>
                <w:rFonts w:hint="default" w:ascii="Times New Roman" w:hAnsi="Times New Roman" w:cs="Times New Roman"/>
                <w:b w:val="0"/>
                <w:bCs/>
                <w:color w:val="auto"/>
                <w:kern w:val="0"/>
                <w:sz w:val="24"/>
                <w:szCs w:val="24"/>
                <w:highlight w:val="none"/>
              </w:rPr>
              <w:t>，根据</w:t>
            </w:r>
            <w:r>
              <w:rPr>
                <w:rFonts w:hint="default" w:ascii="Times New Roman" w:hAnsi="Times New Roman" w:cs="Times New Roman"/>
                <w:b w:val="0"/>
                <w:bCs/>
                <w:color w:val="auto"/>
                <w:kern w:val="0"/>
                <w:sz w:val="24"/>
                <w:szCs w:val="24"/>
                <w:highlight w:val="none"/>
                <w:lang w:eastAsia="zh-CN"/>
              </w:rPr>
              <w:t>《</w:t>
            </w:r>
            <w:r>
              <w:rPr>
                <w:rFonts w:hint="default" w:ascii="Times New Roman" w:hAnsi="Times New Roman" w:cs="Times New Roman"/>
                <w:b w:val="0"/>
                <w:bCs/>
                <w:color w:val="auto"/>
                <w:kern w:val="0"/>
                <w:sz w:val="24"/>
                <w:szCs w:val="24"/>
                <w:highlight w:val="none"/>
              </w:rPr>
              <w:t>常州滨江经济开发区用地规划图》，项目所在地已规划为工业用地（见附图</w:t>
            </w:r>
            <w:r>
              <w:rPr>
                <w:rFonts w:hint="eastAsia" w:ascii="Times New Roman" w:hAnsi="Times New Roman" w:cs="Times New Roman"/>
                <w:b w:val="0"/>
                <w:bCs/>
                <w:color w:val="auto"/>
                <w:kern w:val="0"/>
                <w:sz w:val="24"/>
                <w:szCs w:val="24"/>
                <w:highlight w:val="none"/>
                <w:lang w:val="en-US" w:eastAsia="zh-CN"/>
              </w:rPr>
              <w:t>5</w:t>
            </w:r>
            <w:r>
              <w:rPr>
                <w:rFonts w:hint="default" w:ascii="Times New Roman" w:hAnsi="Times New Roman" w:cs="Times New Roman"/>
                <w:b w:val="0"/>
                <w:bCs/>
                <w:color w:val="auto"/>
                <w:kern w:val="0"/>
                <w:sz w:val="24"/>
                <w:szCs w:val="24"/>
                <w:highlight w:val="none"/>
              </w:rPr>
              <w:t>）；根据</w:t>
            </w:r>
            <w:r>
              <w:rPr>
                <w:rFonts w:hint="eastAsia" w:cs="Times New Roman"/>
                <w:b w:val="0"/>
                <w:bCs/>
                <w:color w:val="auto"/>
                <w:kern w:val="0"/>
                <w:sz w:val="24"/>
                <w:szCs w:val="24"/>
                <w:highlight w:val="none"/>
                <w:lang w:val="en-US" w:eastAsia="zh-CN"/>
              </w:rPr>
              <w:t>企业</w:t>
            </w:r>
            <w:r>
              <w:rPr>
                <w:rFonts w:hint="default" w:ascii="Times New Roman" w:hAnsi="Times New Roman" w:cs="Times New Roman"/>
                <w:b w:val="0"/>
                <w:bCs/>
                <w:color w:val="auto"/>
                <w:kern w:val="0"/>
                <w:sz w:val="24"/>
                <w:szCs w:val="24"/>
                <w:highlight w:val="none"/>
              </w:rPr>
              <w:t>提供的出租方《不动产权证》（苏（20</w:t>
            </w:r>
            <w:r>
              <w:rPr>
                <w:rFonts w:hint="default" w:ascii="Times New Roman" w:hAnsi="Times New Roman" w:cs="Times New Roman"/>
                <w:b w:val="0"/>
                <w:bCs/>
                <w:color w:val="auto"/>
                <w:kern w:val="0"/>
                <w:sz w:val="24"/>
                <w:szCs w:val="24"/>
                <w:highlight w:val="none"/>
                <w:lang w:val="en-US" w:eastAsia="zh-CN"/>
              </w:rPr>
              <w:t>2</w:t>
            </w:r>
            <w:r>
              <w:rPr>
                <w:rFonts w:hint="eastAsia" w:cs="Times New Roman"/>
                <w:b w:val="0"/>
                <w:bCs/>
                <w:color w:val="auto"/>
                <w:kern w:val="0"/>
                <w:sz w:val="24"/>
                <w:szCs w:val="24"/>
                <w:highlight w:val="none"/>
                <w:lang w:val="en-US" w:eastAsia="zh-CN"/>
              </w:rPr>
              <w:t>5</w:t>
            </w:r>
            <w:r>
              <w:rPr>
                <w:rFonts w:hint="default" w:ascii="Times New Roman" w:hAnsi="Times New Roman" w:cs="Times New Roman"/>
                <w:b w:val="0"/>
                <w:bCs/>
                <w:color w:val="auto"/>
                <w:kern w:val="0"/>
                <w:sz w:val="24"/>
                <w:szCs w:val="24"/>
                <w:highlight w:val="none"/>
              </w:rPr>
              <w:t>）常州市不动产权第</w:t>
            </w:r>
            <w:r>
              <w:rPr>
                <w:rFonts w:hint="eastAsia" w:cs="Times New Roman"/>
                <w:b w:val="0"/>
                <w:bCs/>
                <w:color w:val="auto"/>
                <w:kern w:val="0"/>
                <w:sz w:val="24"/>
                <w:szCs w:val="24"/>
                <w:highlight w:val="none"/>
                <w:lang w:val="en-US" w:eastAsia="zh-CN"/>
              </w:rPr>
              <w:t>0033742</w:t>
            </w:r>
            <w:r>
              <w:rPr>
                <w:rFonts w:hint="default" w:ascii="Times New Roman" w:hAnsi="Times New Roman" w:cs="Times New Roman"/>
                <w:b w:val="0"/>
                <w:bCs/>
                <w:color w:val="auto"/>
                <w:kern w:val="0"/>
                <w:sz w:val="24"/>
                <w:szCs w:val="24"/>
                <w:highlight w:val="none"/>
              </w:rPr>
              <w:t>号，见附件5），明确用途为工业用地</w:t>
            </w:r>
            <w:r>
              <w:rPr>
                <w:rFonts w:hint="eastAsia" w:cs="Times New Roman"/>
                <w:b w:val="0"/>
                <w:bCs/>
                <w:color w:val="auto"/>
                <w:kern w:val="0"/>
                <w:sz w:val="24"/>
                <w:szCs w:val="24"/>
                <w:highlight w:val="none"/>
                <w:lang w:val="en-US" w:eastAsia="zh-CN"/>
              </w:rPr>
              <w:t>/生产</w:t>
            </w:r>
            <w:r>
              <w:rPr>
                <w:rFonts w:hint="default" w:ascii="Times New Roman" w:hAnsi="Times New Roman" w:cs="Times New Roman"/>
                <w:b w:val="0"/>
                <w:bCs/>
                <w:color w:val="auto"/>
                <w:kern w:val="0"/>
                <w:sz w:val="24"/>
                <w:szCs w:val="24"/>
                <w:highlight w:val="none"/>
              </w:rPr>
              <w:t>，因此本项目与园区用地规划相符。</w:t>
            </w:r>
          </w:p>
          <w:p w14:paraId="0F6FAFE1">
            <w:pPr>
              <w:autoSpaceDE w:val="0"/>
              <w:autoSpaceDN w:val="0"/>
              <w:adjustRightInd w:val="0"/>
              <w:snapToGrid w:val="0"/>
              <w:spacing w:line="360" w:lineRule="auto"/>
              <w:ind w:firstLine="482" w:firstLineChars="200"/>
              <w:rPr>
                <w:rFonts w:hint="default" w:ascii="Times New Roman" w:hAnsi="Times New Roman" w:cs="Times New Roman"/>
                <w:b/>
                <w:bCs w:val="0"/>
                <w:color w:val="auto"/>
                <w:kern w:val="0"/>
                <w:sz w:val="24"/>
                <w:szCs w:val="24"/>
                <w:highlight w:val="none"/>
              </w:rPr>
            </w:pPr>
            <w:r>
              <w:rPr>
                <w:rFonts w:hint="default" w:ascii="Times New Roman" w:hAnsi="Times New Roman" w:cs="Times New Roman"/>
                <w:b/>
                <w:bCs w:val="0"/>
                <w:color w:val="auto"/>
                <w:kern w:val="0"/>
                <w:sz w:val="24"/>
                <w:szCs w:val="24"/>
                <w:highlight w:val="none"/>
              </w:rPr>
              <w:t>综上所述，本项目符合产业规划、用地规划及环保规划等相关规划要求，与区域规划相容。</w:t>
            </w:r>
          </w:p>
          <w:p w14:paraId="1C127041">
            <w:pPr>
              <w:autoSpaceDE w:val="0"/>
              <w:autoSpaceDN w:val="0"/>
              <w:adjustRightInd w:val="0"/>
              <w:spacing w:line="360" w:lineRule="auto"/>
              <w:ind w:firstLine="420"/>
              <w:rPr>
                <w:rFonts w:hint="eastAsia" w:cs="Times New Roman"/>
                <w:b/>
                <w:bCs/>
                <w:color w:val="auto"/>
                <w:kern w:val="0"/>
                <w:sz w:val="24"/>
                <w:szCs w:val="24"/>
                <w:highlight w:val="none"/>
                <w:lang w:val="en-US" w:eastAsia="zh-CN"/>
              </w:rPr>
            </w:pPr>
            <w:r>
              <w:rPr>
                <w:rFonts w:hint="eastAsia" w:cs="Times New Roman"/>
                <w:b/>
                <w:bCs/>
                <w:color w:val="auto"/>
                <w:kern w:val="0"/>
                <w:sz w:val="24"/>
                <w:szCs w:val="24"/>
                <w:highlight w:val="none"/>
                <w:lang w:val="en-US" w:eastAsia="zh-CN"/>
              </w:rPr>
              <w:t>2.2、</w:t>
            </w:r>
            <w:r>
              <w:rPr>
                <w:rFonts w:hint="default" w:ascii="Times New Roman" w:hAnsi="Times New Roman" w:cs="Times New Roman"/>
                <w:b/>
                <w:bCs/>
                <w:color w:val="auto"/>
                <w:kern w:val="0"/>
                <w:sz w:val="24"/>
                <w:szCs w:val="24"/>
                <w:highlight w:val="none"/>
                <w:lang w:val="en-US" w:eastAsia="zh-CN"/>
              </w:rPr>
              <w:t>《江苏常州滨江经济开发区（不含新材料产业园）发展规划环境影响报告书（征求意见稿）》</w:t>
            </w:r>
          </w:p>
          <w:p w14:paraId="4A6BCCA5">
            <w:pPr>
              <w:autoSpaceDE w:val="0"/>
              <w:autoSpaceDN w:val="0"/>
              <w:adjustRightInd w:val="0"/>
              <w:spacing w:line="360" w:lineRule="auto"/>
              <w:ind w:firstLine="480" w:firstLineChars="200"/>
              <w:rPr>
                <w:rFonts w:hint="default" w:cs="Times New Roman"/>
                <w:color w:val="auto"/>
                <w:kern w:val="0"/>
                <w:sz w:val="24"/>
                <w:szCs w:val="24"/>
                <w:highlight w:val="none"/>
                <w:lang w:eastAsia="zh-CN"/>
              </w:rPr>
            </w:pPr>
            <w:r>
              <w:rPr>
                <w:rFonts w:hint="default" w:cs="Times New Roman"/>
                <w:color w:val="auto"/>
                <w:kern w:val="0"/>
                <w:sz w:val="24"/>
                <w:szCs w:val="24"/>
                <w:highlight w:val="none"/>
                <w:lang w:eastAsia="zh-CN"/>
              </w:rPr>
              <w:t>《江苏常州滨江经济开发区（不含新材料产业园）发展规划环境影响报告书》，目前该环境影响报告书已形成征求意见稿。</w:t>
            </w:r>
            <w:r>
              <w:rPr>
                <w:rFonts w:hint="eastAsia" w:cs="Times New Roman"/>
                <w:color w:val="auto"/>
                <w:kern w:val="0"/>
                <w:sz w:val="24"/>
                <w:szCs w:val="24"/>
                <w:highlight w:val="none"/>
                <w:lang w:eastAsia="zh-CN"/>
              </w:rPr>
              <w:t>该报告书明确</w:t>
            </w:r>
            <w:r>
              <w:rPr>
                <w:rFonts w:hint="default" w:cs="Times New Roman"/>
                <w:color w:val="auto"/>
                <w:kern w:val="0"/>
                <w:sz w:val="24"/>
                <w:szCs w:val="24"/>
                <w:highlight w:val="none"/>
                <w:lang w:eastAsia="zh-CN"/>
              </w:rPr>
              <w:t>滨开区规划设置三个园区，分别为智能制造产业园、港口物流产业园和未来智慧创新产业园。</w:t>
            </w:r>
            <w:r>
              <w:rPr>
                <w:rFonts w:hint="eastAsia" w:cs="Times New Roman"/>
                <w:color w:val="auto"/>
                <w:kern w:val="0"/>
                <w:sz w:val="24"/>
                <w:szCs w:val="24"/>
                <w:highlight w:val="none"/>
                <w:lang w:eastAsia="zh-CN"/>
              </w:rPr>
              <w:t>其中</w:t>
            </w:r>
            <w:r>
              <w:rPr>
                <w:rFonts w:hint="default" w:cs="Times New Roman"/>
                <w:color w:val="auto"/>
                <w:kern w:val="0"/>
                <w:sz w:val="24"/>
                <w:szCs w:val="24"/>
                <w:highlight w:val="none"/>
                <w:lang w:eastAsia="zh-CN"/>
              </w:rPr>
              <w:t>未来智慧创新产业园规划范围：东至澡港河，西至德胜河，北至港区中路，南至创业西路，园区规划范围面积为19.7平方公里。</w:t>
            </w:r>
          </w:p>
          <w:p w14:paraId="5C4DCB32">
            <w:pPr>
              <w:autoSpaceDE w:val="0"/>
              <w:autoSpaceDN w:val="0"/>
              <w:adjustRightInd w:val="0"/>
              <w:spacing w:line="360" w:lineRule="auto"/>
              <w:ind w:firstLine="480" w:firstLineChars="200"/>
              <w:rPr>
                <w:rFonts w:hint="default" w:cs="Times New Roman"/>
                <w:color w:val="auto"/>
                <w:kern w:val="0"/>
                <w:sz w:val="24"/>
                <w:szCs w:val="24"/>
                <w:highlight w:val="none"/>
                <w:lang w:eastAsia="zh-CN"/>
              </w:rPr>
            </w:pPr>
            <w:r>
              <w:rPr>
                <w:rFonts w:hint="default" w:cs="Times New Roman"/>
                <w:color w:val="auto"/>
                <w:kern w:val="0"/>
                <w:sz w:val="24"/>
                <w:szCs w:val="24"/>
                <w:highlight w:val="none"/>
                <w:lang w:eastAsia="zh-CN"/>
              </w:rPr>
              <w:t>产业定位：重点发展非晶态金属、新型铝合金、形状记忆合金、耐高温耐腐蚀合金、特种焊材等为代表的高端金属新材料及新型功能合金产业；以碳纤及复合材料、玻纤及复合材料、纺织纤维为代表的高性能纤维及复合材料及其下游产业，兼顾发展高端机械、电子等产业；积极引导企业广泛设立研发机构，提升企业自主创新能力。</w:t>
            </w:r>
          </w:p>
          <w:p w14:paraId="052BD84D">
            <w:pPr>
              <w:autoSpaceDE w:val="0"/>
              <w:autoSpaceDN w:val="0"/>
              <w:adjustRightInd w:val="0"/>
              <w:spacing w:line="360" w:lineRule="auto"/>
              <w:ind w:firstLine="420"/>
              <w:rPr>
                <w:rFonts w:hint="default" w:ascii="Times New Roman" w:hAnsi="Times New Roman" w:cs="Times New Roman"/>
                <w:b/>
                <w:bCs w:val="0"/>
                <w:color w:val="auto"/>
                <w:kern w:val="0"/>
                <w:sz w:val="24"/>
                <w:szCs w:val="24"/>
                <w:highlight w:val="none"/>
              </w:rPr>
            </w:pPr>
            <w:r>
              <w:rPr>
                <w:rFonts w:hint="eastAsia" w:cs="Times New Roman"/>
                <w:b/>
                <w:bCs/>
                <w:color w:val="auto"/>
                <w:kern w:val="0"/>
                <w:sz w:val="24"/>
                <w:szCs w:val="24"/>
                <w:highlight w:val="none"/>
                <w:lang w:eastAsia="zh-CN"/>
              </w:rPr>
              <w:t>对照分析：</w:t>
            </w:r>
            <w:r>
              <w:rPr>
                <w:rFonts w:hint="default" w:ascii="Times New Roman" w:hAnsi="Times New Roman" w:cs="Times New Roman"/>
                <w:b/>
                <w:bCs w:val="0"/>
                <w:color w:val="auto"/>
                <w:kern w:val="0"/>
                <w:sz w:val="24"/>
                <w:szCs w:val="24"/>
                <w:highlight w:val="none"/>
              </w:rPr>
              <w:t>项目</w:t>
            </w:r>
            <w:r>
              <w:rPr>
                <w:rFonts w:hint="eastAsia" w:cs="Times New Roman"/>
                <w:b/>
                <w:color w:val="auto"/>
                <w:kern w:val="0"/>
                <w:sz w:val="24"/>
                <w:szCs w:val="24"/>
                <w:highlight w:val="none"/>
                <w:lang w:eastAsia="zh-CN"/>
              </w:rPr>
              <w:t>所在地</w:t>
            </w:r>
            <w:r>
              <w:rPr>
                <w:rFonts w:hint="default" w:ascii="Times New Roman" w:hAnsi="Times New Roman" w:cs="Times New Roman"/>
                <w:b/>
                <w:bCs w:val="0"/>
                <w:color w:val="auto"/>
                <w:kern w:val="0"/>
                <w:sz w:val="24"/>
                <w:szCs w:val="24"/>
                <w:highlight w:val="none"/>
              </w:rPr>
              <w:t>属于</w:t>
            </w:r>
            <w:r>
              <w:rPr>
                <w:rFonts w:hint="eastAsia" w:cs="Times New Roman"/>
                <w:b/>
                <w:bCs w:val="0"/>
                <w:color w:val="auto"/>
                <w:kern w:val="0"/>
                <w:sz w:val="24"/>
                <w:szCs w:val="24"/>
                <w:highlight w:val="none"/>
                <w:lang w:eastAsia="zh-CN"/>
              </w:rPr>
              <w:t>“</w:t>
            </w:r>
            <w:r>
              <w:rPr>
                <w:rFonts w:hint="default" w:ascii="Times New Roman" w:hAnsi="Times New Roman" w:cs="Times New Roman"/>
                <w:b/>
                <w:bCs w:val="0"/>
                <w:color w:val="auto"/>
                <w:kern w:val="0"/>
                <w:sz w:val="24"/>
                <w:szCs w:val="24"/>
                <w:highlight w:val="none"/>
              </w:rPr>
              <w:t>未来智慧创新产业园</w:t>
            </w:r>
            <w:r>
              <w:rPr>
                <w:rFonts w:hint="eastAsia" w:cs="Times New Roman"/>
                <w:b/>
                <w:bCs w:val="0"/>
                <w:color w:val="auto"/>
                <w:kern w:val="0"/>
                <w:sz w:val="24"/>
                <w:szCs w:val="24"/>
                <w:highlight w:val="none"/>
                <w:lang w:eastAsia="zh-CN"/>
              </w:rPr>
              <w:t>”产业园区内</w:t>
            </w:r>
            <w:r>
              <w:rPr>
                <w:rFonts w:hint="default" w:ascii="Times New Roman" w:hAnsi="Times New Roman" w:cs="Times New Roman"/>
                <w:b/>
                <w:bCs w:val="0"/>
                <w:color w:val="auto"/>
                <w:kern w:val="0"/>
                <w:sz w:val="24"/>
                <w:szCs w:val="24"/>
                <w:highlight w:val="none"/>
              </w:rPr>
              <w:t>，主要</w:t>
            </w:r>
            <w:r>
              <w:rPr>
                <w:rFonts w:hint="eastAsia" w:cs="Times New Roman"/>
                <w:b/>
                <w:bCs w:val="0"/>
                <w:color w:val="auto"/>
                <w:kern w:val="0"/>
                <w:sz w:val="24"/>
                <w:szCs w:val="24"/>
                <w:highlight w:val="none"/>
                <w:lang w:eastAsia="zh-CN"/>
              </w:rPr>
              <w:t>从事高端医用设备的生产，该产品主要用于‌医疗、临床检验等研究领域，属于</w:t>
            </w:r>
            <w:r>
              <w:rPr>
                <w:rFonts w:hint="default" w:ascii="Times New Roman" w:hAnsi="Times New Roman" w:cs="Times New Roman"/>
                <w:b/>
                <w:bCs w:val="0"/>
                <w:color w:val="auto"/>
                <w:kern w:val="0"/>
                <w:sz w:val="24"/>
                <w:szCs w:val="24"/>
                <w:highlight w:val="none"/>
                <w:lang w:eastAsia="zh-CN"/>
              </w:rPr>
              <w:t>是</w:t>
            </w:r>
            <w:r>
              <w:rPr>
                <w:rFonts w:hint="eastAsia" w:cs="Times New Roman"/>
                <w:b/>
                <w:bCs w:val="0"/>
                <w:color w:val="auto"/>
                <w:kern w:val="0"/>
                <w:sz w:val="24"/>
                <w:szCs w:val="24"/>
                <w:highlight w:val="none"/>
                <w:lang w:eastAsia="zh-CN"/>
              </w:rPr>
              <w:t>园区</w:t>
            </w:r>
            <w:r>
              <w:rPr>
                <w:rFonts w:hint="default" w:ascii="Times New Roman" w:hAnsi="Times New Roman" w:cs="Times New Roman"/>
                <w:b/>
                <w:bCs w:val="0"/>
                <w:color w:val="auto"/>
                <w:kern w:val="0"/>
                <w:sz w:val="24"/>
                <w:szCs w:val="24"/>
                <w:highlight w:val="none"/>
                <w:lang w:eastAsia="zh-CN"/>
              </w:rPr>
              <w:t>内</w:t>
            </w:r>
            <w:r>
              <w:rPr>
                <w:rFonts w:hint="eastAsia" w:cs="Times New Roman"/>
                <w:b/>
                <w:bCs w:val="0"/>
                <w:color w:val="auto"/>
                <w:kern w:val="0"/>
                <w:sz w:val="24"/>
                <w:szCs w:val="24"/>
                <w:highlight w:val="none"/>
                <w:lang w:eastAsia="zh-CN"/>
              </w:rPr>
              <w:t>兼顾发展的高端机械</w:t>
            </w:r>
            <w:r>
              <w:rPr>
                <w:rFonts w:hint="default" w:ascii="Times New Roman" w:hAnsi="Times New Roman" w:cs="Times New Roman"/>
                <w:b/>
                <w:bCs w:val="0"/>
                <w:color w:val="auto"/>
                <w:kern w:val="0"/>
                <w:sz w:val="24"/>
                <w:szCs w:val="24"/>
                <w:highlight w:val="none"/>
                <w:lang w:eastAsia="zh-CN"/>
              </w:rPr>
              <w:t>产业</w:t>
            </w:r>
            <w:r>
              <w:rPr>
                <w:rFonts w:hint="eastAsia" w:cs="Times New Roman"/>
                <w:b/>
                <w:bCs w:val="0"/>
                <w:color w:val="auto"/>
                <w:kern w:val="0"/>
                <w:sz w:val="24"/>
                <w:szCs w:val="24"/>
                <w:highlight w:val="none"/>
                <w:lang w:eastAsia="zh-CN"/>
              </w:rPr>
              <w:t>的配套产业</w:t>
            </w:r>
            <w:r>
              <w:rPr>
                <w:rFonts w:hint="default" w:ascii="Times New Roman" w:hAnsi="Times New Roman" w:cs="Times New Roman"/>
                <w:b/>
                <w:bCs w:val="0"/>
                <w:color w:val="auto"/>
                <w:kern w:val="0"/>
                <w:sz w:val="24"/>
                <w:szCs w:val="24"/>
                <w:highlight w:val="none"/>
                <w:lang w:eastAsia="zh-CN"/>
              </w:rPr>
              <w:t>，</w:t>
            </w:r>
            <w:r>
              <w:rPr>
                <w:rFonts w:hint="default" w:ascii="Times New Roman" w:hAnsi="Times New Roman" w:cs="Times New Roman"/>
                <w:b/>
                <w:bCs w:val="0"/>
                <w:color w:val="auto"/>
                <w:kern w:val="0"/>
                <w:sz w:val="24"/>
                <w:szCs w:val="24"/>
                <w:highlight w:val="none"/>
              </w:rPr>
              <w:t>与园区</w:t>
            </w:r>
            <w:r>
              <w:rPr>
                <w:rFonts w:hint="eastAsia" w:cs="Times New Roman"/>
                <w:b/>
                <w:bCs w:val="0"/>
                <w:color w:val="auto"/>
                <w:kern w:val="0"/>
                <w:sz w:val="24"/>
                <w:szCs w:val="24"/>
                <w:highlight w:val="none"/>
                <w:lang w:eastAsia="zh-CN"/>
              </w:rPr>
              <w:t>产业定位</w:t>
            </w:r>
            <w:r>
              <w:rPr>
                <w:rFonts w:hint="default" w:ascii="Times New Roman" w:hAnsi="Times New Roman" w:cs="Times New Roman"/>
                <w:b/>
                <w:bCs w:val="0"/>
                <w:color w:val="auto"/>
                <w:kern w:val="0"/>
                <w:sz w:val="24"/>
                <w:szCs w:val="24"/>
                <w:highlight w:val="none"/>
              </w:rPr>
              <w:t>相符。</w:t>
            </w:r>
          </w:p>
          <w:p w14:paraId="3B0EADEB">
            <w:pPr>
              <w:autoSpaceDE w:val="0"/>
              <w:autoSpaceDN w:val="0"/>
              <w:adjustRightInd w:val="0"/>
              <w:spacing w:line="360" w:lineRule="auto"/>
              <w:ind w:firstLine="482" w:firstLineChars="200"/>
              <w:rPr>
                <w:rFonts w:hint="default" w:ascii="Times New Roman" w:hAnsi="Times New Roman" w:cs="Times New Roman"/>
                <w:b/>
                <w:color w:val="auto"/>
                <w:kern w:val="0"/>
                <w:sz w:val="24"/>
                <w:szCs w:val="24"/>
                <w:highlight w:val="none"/>
              </w:rPr>
            </w:pPr>
            <w:r>
              <w:rPr>
                <w:rFonts w:hint="default" w:ascii="Times New Roman" w:hAnsi="Times New Roman" w:cs="Times New Roman"/>
                <w:b/>
                <w:color w:val="auto"/>
                <w:kern w:val="0"/>
                <w:sz w:val="24"/>
                <w:szCs w:val="24"/>
                <w:highlight w:val="none"/>
              </w:rPr>
              <w:t>综上所述，本项目与</w:t>
            </w:r>
            <w:r>
              <w:rPr>
                <w:rFonts w:hint="default" w:ascii="Times New Roman" w:hAnsi="Times New Roman" w:cs="Times New Roman"/>
                <w:b/>
                <w:bCs/>
                <w:color w:val="auto"/>
                <w:kern w:val="0"/>
                <w:sz w:val="24"/>
                <w:szCs w:val="24"/>
                <w:highlight w:val="none"/>
                <w:lang w:val="en-US" w:eastAsia="zh-CN"/>
              </w:rPr>
              <w:t>《江苏常州滨江经济开发区（不含新材料产业园）发展规划环境影响报告书（征求意见稿）》</w:t>
            </w:r>
            <w:r>
              <w:rPr>
                <w:rFonts w:hint="default" w:ascii="Times New Roman" w:hAnsi="Times New Roman" w:cs="Times New Roman"/>
                <w:b/>
                <w:color w:val="auto"/>
                <w:kern w:val="0"/>
                <w:sz w:val="24"/>
                <w:szCs w:val="24"/>
                <w:highlight w:val="none"/>
              </w:rPr>
              <w:t>相符。</w:t>
            </w:r>
          </w:p>
          <w:p w14:paraId="02E3232B">
            <w:pPr>
              <w:autoSpaceDE w:val="0"/>
              <w:autoSpaceDN w:val="0"/>
              <w:adjustRightInd w:val="0"/>
              <w:snapToGrid w:val="0"/>
              <w:spacing w:line="360" w:lineRule="auto"/>
              <w:ind w:firstLine="482" w:firstLineChars="200"/>
              <w:rPr>
                <w:rFonts w:hint="eastAsia" w:cs="Times New Roman"/>
                <w:b/>
                <w:bCs w:val="0"/>
                <w:color w:val="auto"/>
                <w:kern w:val="0"/>
                <w:sz w:val="24"/>
                <w:szCs w:val="24"/>
                <w:highlight w:val="none"/>
                <w:lang w:val="en-US" w:eastAsia="zh-CN"/>
              </w:rPr>
            </w:pPr>
            <w:r>
              <w:rPr>
                <w:rFonts w:hint="eastAsia" w:cs="Times New Roman"/>
                <w:b/>
                <w:bCs w:val="0"/>
                <w:color w:val="auto"/>
                <w:kern w:val="0"/>
                <w:sz w:val="24"/>
                <w:szCs w:val="24"/>
                <w:highlight w:val="none"/>
                <w:lang w:val="en-US" w:eastAsia="zh-CN"/>
              </w:rPr>
              <w:t>3、与《常州市“三区三线”划定成果》和《常州市国土空间总体规划（2021-2035年）》、《常州市新北区国土空间规划（2020-2035 年）-征求意见稿》相符性分析</w:t>
            </w:r>
          </w:p>
          <w:p w14:paraId="694D63C4">
            <w:pPr>
              <w:autoSpaceDE w:val="0"/>
              <w:autoSpaceDN w:val="0"/>
              <w:adjustRightInd w:val="0"/>
              <w:snapToGrid w:val="0"/>
              <w:spacing w:line="360" w:lineRule="auto"/>
              <w:ind w:firstLine="480" w:firstLineChars="200"/>
              <w:rPr>
                <w:rFonts w:hint="eastAsia" w:cs="Times New Roman"/>
                <w:b/>
                <w:bCs w:val="0"/>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（1）《常州市“三区三线”划定成果》和《常州市国土空间总体规划（2021-2035年）》</w:t>
            </w:r>
          </w:p>
          <w:p w14:paraId="6D63BB61">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根据《常州市“三区三线”划定成果》，“三区三线”：根据城镇空间、农业空间、生态空间三种类型的空间，分别对应划定的城镇开发边界、永久基本农田保护红线、生态保护红线三条控制线。</w:t>
            </w:r>
          </w:p>
          <w:p w14:paraId="4FD1EAEB">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永久基本农田：常州市永久基本农田保护任务为114.9600万亩，市域划定永久基本农田112.9589万亩，占市域面积的17.22%。</w:t>
            </w:r>
          </w:p>
          <w:p w14:paraId="7018765F">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生态保护红线：市域划定生态保护红线346.10平方公里，占市域面积的7.92%。</w:t>
            </w:r>
          </w:p>
          <w:p w14:paraId="266E5E95">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城镇开发边界：市域划定城镇开发边界925.05平方公里，占市域面积的21.16%。其中，城镇集中建设区911.38平方公里，城镇弹性发展区13.67平方公里。</w:t>
            </w:r>
          </w:p>
          <w:p w14:paraId="18BABF2E">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根据《常州市国土空间总体规划》（2021-2035年），到2035年，常州市耕地保有量不低于126.08万亩，其中永久基本农田保护面积不低于114.96万亩；生态保护红线面积不低于346.10平方千米；城镇开发边界面积控制在925.06平方千米以内；单位国内生产总值建设用地使用面积下降不少于40%；用水总量不超过上级下达指标，其中2025年不超过31.0亿立方米。明确自然灾害风险重点防控区域，划定洪涝、地震等风险控制线以及绿地系统线、水体保护线、历史文化保护线和基础设施建设控制线，落实战略性矿产资源等安全保障空间。</w:t>
            </w:r>
          </w:p>
          <w:p w14:paraId="5CFD93A4">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（2）《常州市新北区国土空间规划（2020-2035 年）-征求意见稿》</w:t>
            </w:r>
          </w:p>
          <w:p w14:paraId="57DA66B0">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（一）规划范围</w:t>
            </w:r>
          </w:p>
          <w:p w14:paraId="4A9BE57D">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规划范围为常州市新北区行政管辖范围，下辖5镇5街道1个省级开发区，总面积 508.91 平方公里。</w:t>
            </w:r>
          </w:p>
          <w:p w14:paraId="221B1C98">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（二）目标定位</w:t>
            </w:r>
          </w:p>
          <w:p w14:paraId="07F01181">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长三角一体化战略支点先行区城市新中心：生态文明下的长江 经济带绿色发展示范区、区域一体化下的长三角中轴主枢纽、高质量发展下的创新智造品质新城</w:t>
            </w:r>
          </w:p>
          <w:p w14:paraId="35096632">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（三）发展策略</w:t>
            </w:r>
          </w:p>
          <w:p w14:paraId="58767B8D">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交通枢纽战略、智造高地战略、城乡共荣战略、生态示范战略</w:t>
            </w:r>
          </w:p>
          <w:p w14:paraId="716D6DA3">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（四）城乡统筹优化产城空间布局</w:t>
            </w:r>
          </w:p>
          <w:p w14:paraId="330128FD">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坚持区域协同、城乡统筹， 以常州高铁新城建设带动产城空间 布局优化，精心塑造城市特色风貌，彰显江南特色田园水乡魅力， 全面提升新型城镇化水平，构建“一核四心四板块、一带三轴多节点”空间结构。</w:t>
            </w:r>
          </w:p>
          <w:p w14:paraId="0E7C6ED6">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一核：常州高铁新城</w:t>
            </w:r>
          </w:p>
          <w:p w14:paraId="2AF84E90">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四心：空港、孟河城区、滨江、 4 个服务中心</w:t>
            </w:r>
          </w:p>
          <w:p w14:paraId="2DB2969B">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四板块：高新、滨江、空港 3 个产城融合板块和 1 个都市生态文旅板块</w:t>
            </w:r>
          </w:p>
          <w:p w14:paraId="513A0834">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一带：沿江绿色发展示范带</w:t>
            </w:r>
          </w:p>
          <w:p w14:paraId="43CA7E2D">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三轴：长江路通江路城市功能发展轴、黄河路城市产业创新发展轴、S239 西部城镇发展轴</w:t>
            </w:r>
          </w:p>
          <w:p w14:paraId="6DAF278B">
            <w:pPr>
              <w:autoSpaceDE w:val="0"/>
              <w:autoSpaceDN w:val="0"/>
              <w:adjustRightInd w:val="0"/>
              <w:snapToGrid w:val="0"/>
              <w:spacing w:line="360" w:lineRule="auto"/>
              <w:ind w:firstLine="480" w:firstLineChars="200"/>
              <w:rPr>
                <w:rFonts w:hint="eastAsia" w:cs="Times New Roman"/>
                <w:b w:val="0"/>
                <w:bCs/>
                <w:color w:val="auto"/>
                <w:kern w:val="0"/>
                <w:sz w:val="24"/>
                <w:szCs w:val="24"/>
                <w:highlight w:val="none"/>
                <w:lang w:val="en-US" w:eastAsia="zh-CN"/>
              </w:rPr>
            </w:pPr>
            <w:r>
              <w:rPr>
                <w:rFonts w:hint="eastAsia" w:cs="Times New Roman"/>
                <w:b w:val="0"/>
                <w:bCs/>
                <w:color w:val="auto"/>
                <w:kern w:val="0"/>
                <w:sz w:val="24"/>
                <w:szCs w:val="24"/>
                <w:highlight w:val="none"/>
                <w:lang w:val="en-US" w:eastAsia="zh-CN"/>
              </w:rPr>
              <w:t>多节点：薛家、龙虎塘、新华、奔牛汤庄、西夏墅等多个节点</w:t>
            </w:r>
          </w:p>
          <w:p w14:paraId="743AFC9E">
            <w:pPr>
              <w:autoSpaceDE w:val="0"/>
              <w:autoSpaceDN w:val="0"/>
              <w:adjustRightInd w:val="0"/>
              <w:snapToGrid w:val="0"/>
              <w:spacing w:line="360" w:lineRule="auto"/>
              <w:ind w:firstLine="482" w:firstLineChars="200"/>
              <w:rPr>
                <w:rFonts w:hint="eastAsia" w:cs="Times New Roman"/>
                <w:b/>
                <w:bCs w:val="0"/>
                <w:color w:val="auto"/>
                <w:kern w:val="0"/>
                <w:sz w:val="24"/>
                <w:szCs w:val="24"/>
                <w:highlight w:val="none"/>
                <w:lang w:val="en-US" w:eastAsia="zh-CN"/>
              </w:rPr>
            </w:pPr>
            <w:r>
              <w:rPr>
                <w:rFonts w:hint="eastAsia" w:cs="Times New Roman"/>
                <w:b/>
                <w:bCs w:val="0"/>
                <w:color w:val="auto"/>
                <w:kern w:val="0"/>
                <w:sz w:val="24"/>
                <w:szCs w:val="24"/>
                <w:highlight w:val="none"/>
                <w:lang w:val="en-US" w:eastAsia="zh-CN"/>
              </w:rPr>
              <w:t>对照分析：根据《市域国土空间控制线规划图》（见附图10），本项目位于市域城镇空间内的中心城区（新北），属于城镇开发边界，不在生态保护红线区、永久基本农田保护区内，故本项目的建设符合常州市国土空间规划“三区三线”要求。</w:t>
            </w:r>
          </w:p>
          <w:p w14:paraId="74565045">
            <w:pPr>
              <w:tabs>
                <w:tab w:val="left" w:pos="7462"/>
              </w:tabs>
              <w:snapToGrid w:val="0"/>
              <w:spacing w:line="360" w:lineRule="auto"/>
              <w:ind w:firstLine="482" w:firstLineChars="200"/>
              <w:rPr>
                <w:rFonts w:hint="default" w:cs="Times New Roman"/>
                <w:b/>
                <w:bCs/>
                <w:color w:val="FF0000"/>
                <w:sz w:val="24"/>
                <w:szCs w:val="24"/>
                <w:lang w:val="en-US" w:eastAsia="zh-CN"/>
              </w:rPr>
            </w:pPr>
          </w:p>
          <w:p w14:paraId="11F542A2">
            <w:pPr>
              <w:tabs>
                <w:tab w:val="left" w:pos="7462"/>
              </w:tabs>
              <w:snapToGrid w:val="0"/>
              <w:spacing w:line="360" w:lineRule="auto"/>
              <w:ind w:firstLine="482" w:firstLineChars="200"/>
              <w:rPr>
                <w:rFonts w:hint="default" w:cs="Times New Roman"/>
                <w:b/>
                <w:bCs/>
                <w:color w:val="FF0000"/>
                <w:sz w:val="24"/>
                <w:szCs w:val="24"/>
                <w:lang w:val="en-US" w:eastAsia="zh-CN"/>
              </w:rPr>
            </w:pPr>
          </w:p>
          <w:p w14:paraId="4E80695B">
            <w:pPr>
              <w:tabs>
                <w:tab w:val="left" w:pos="7462"/>
              </w:tabs>
              <w:snapToGrid w:val="0"/>
              <w:spacing w:line="360" w:lineRule="auto"/>
              <w:ind w:firstLine="482" w:firstLineChars="200"/>
              <w:rPr>
                <w:rFonts w:hint="default" w:cs="Times New Roman"/>
                <w:b/>
                <w:bCs/>
                <w:color w:val="FF0000"/>
                <w:sz w:val="24"/>
                <w:szCs w:val="24"/>
                <w:lang w:val="en-US" w:eastAsia="zh-CN"/>
              </w:rPr>
            </w:pPr>
          </w:p>
          <w:p w14:paraId="4A1A4BC9">
            <w:pPr>
              <w:tabs>
                <w:tab w:val="left" w:pos="7462"/>
              </w:tabs>
              <w:snapToGrid w:val="0"/>
              <w:spacing w:line="360" w:lineRule="auto"/>
              <w:ind w:firstLine="482" w:firstLineChars="200"/>
              <w:rPr>
                <w:rFonts w:hint="default" w:cs="Times New Roman"/>
                <w:b/>
                <w:bCs/>
                <w:color w:val="FF0000"/>
                <w:sz w:val="24"/>
                <w:szCs w:val="24"/>
                <w:lang w:val="en-US" w:eastAsia="zh-CN"/>
              </w:rPr>
            </w:pPr>
          </w:p>
          <w:p w14:paraId="0DF9374E">
            <w:pPr>
              <w:tabs>
                <w:tab w:val="left" w:pos="7462"/>
              </w:tabs>
              <w:snapToGrid w:val="0"/>
              <w:spacing w:line="360" w:lineRule="auto"/>
              <w:ind w:firstLine="482" w:firstLineChars="200"/>
              <w:rPr>
                <w:rFonts w:hint="default" w:cs="Times New Roman"/>
                <w:b/>
                <w:bCs/>
                <w:color w:val="FF0000"/>
                <w:sz w:val="24"/>
                <w:szCs w:val="24"/>
                <w:lang w:val="en-US" w:eastAsia="zh-CN"/>
              </w:rPr>
            </w:pPr>
          </w:p>
          <w:p w14:paraId="37E95A95">
            <w:pPr>
              <w:tabs>
                <w:tab w:val="left" w:pos="7462"/>
              </w:tabs>
              <w:snapToGrid w:val="0"/>
              <w:spacing w:line="360" w:lineRule="auto"/>
              <w:ind w:firstLine="482" w:firstLineChars="200"/>
              <w:rPr>
                <w:rFonts w:hint="default" w:cs="Times New Roman"/>
                <w:b/>
                <w:bCs/>
                <w:color w:val="FF0000"/>
                <w:sz w:val="24"/>
                <w:szCs w:val="24"/>
                <w:lang w:val="en-US" w:eastAsia="zh-CN"/>
              </w:rPr>
            </w:pPr>
          </w:p>
          <w:p w14:paraId="44532F23">
            <w:pPr>
              <w:tabs>
                <w:tab w:val="left" w:pos="7462"/>
              </w:tabs>
              <w:snapToGrid w:val="0"/>
              <w:spacing w:line="360" w:lineRule="auto"/>
              <w:ind w:firstLine="482" w:firstLineChars="200"/>
              <w:rPr>
                <w:rFonts w:hint="default" w:cs="Times New Roman"/>
                <w:b/>
                <w:bCs/>
                <w:color w:val="FF0000"/>
                <w:sz w:val="24"/>
                <w:szCs w:val="24"/>
                <w:lang w:val="en-US" w:eastAsia="zh-CN"/>
              </w:rPr>
            </w:pPr>
          </w:p>
          <w:p w14:paraId="06D64F8A">
            <w:pPr>
              <w:tabs>
                <w:tab w:val="left" w:pos="7462"/>
              </w:tabs>
              <w:snapToGrid w:val="0"/>
              <w:spacing w:line="360" w:lineRule="auto"/>
              <w:ind w:firstLine="482" w:firstLineChars="200"/>
              <w:rPr>
                <w:rFonts w:hint="default" w:cs="Times New Roman"/>
                <w:b/>
                <w:bCs/>
                <w:color w:val="FF0000"/>
                <w:sz w:val="24"/>
                <w:szCs w:val="24"/>
                <w:lang w:val="en-US" w:eastAsia="zh-CN"/>
              </w:rPr>
            </w:pPr>
          </w:p>
          <w:p w14:paraId="4ED672EF">
            <w:pPr>
              <w:tabs>
                <w:tab w:val="left" w:pos="7462"/>
              </w:tabs>
              <w:snapToGrid w:val="0"/>
              <w:spacing w:line="360" w:lineRule="auto"/>
              <w:ind w:firstLine="482" w:firstLineChars="200"/>
              <w:rPr>
                <w:rFonts w:hint="default" w:cs="Times New Roman"/>
                <w:b/>
                <w:bCs/>
                <w:color w:val="FF0000"/>
                <w:sz w:val="24"/>
                <w:szCs w:val="24"/>
                <w:lang w:val="en-US" w:eastAsia="zh-CN"/>
              </w:rPr>
            </w:pPr>
          </w:p>
          <w:p w14:paraId="00F8741D">
            <w:pPr>
              <w:tabs>
                <w:tab w:val="left" w:pos="7462"/>
              </w:tabs>
              <w:snapToGrid w:val="0"/>
              <w:spacing w:line="360" w:lineRule="auto"/>
              <w:ind w:firstLine="482" w:firstLineChars="200"/>
              <w:rPr>
                <w:rFonts w:hint="default" w:cs="Times New Roman"/>
                <w:b/>
                <w:bCs/>
                <w:color w:val="FF0000"/>
                <w:sz w:val="24"/>
                <w:szCs w:val="24"/>
                <w:lang w:val="en-US" w:eastAsia="zh-CN"/>
              </w:rPr>
            </w:pPr>
          </w:p>
          <w:p w14:paraId="048B654E">
            <w:pPr>
              <w:tabs>
                <w:tab w:val="left" w:pos="7462"/>
              </w:tabs>
              <w:snapToGrid w:val="0"/>
              <w:spacing w:line="360" w:lineRule="auto"/>
              <w:ind w:firstLine="482" w:firstLineChars="200"/>
              <w:rPr>
                <w:rFonts w:hint="default" w:cs="Times New Roman"/>
                <w:b/>
                <w:bCs/>
                <w:color w:val="FF0000"/>
                <w:sz w:val="24"/>
                <w:szCs w:val="24"/>
                <w:lang w:val="en-US" w:eastAsia="zh-CN"/>
              </w:rPr>
            </w:pPr>
          </w:p>
          <w:p w14:paraId="1FED56D6">
            <w:pPr>
              <w:tabs>
                <w:tab w:val="left" w:pos="7462"/>
              </w:tabs>
              <w:snapToGrid w:val="0"/>
              <w:spacing w:line="360" w:lineRule="auto"/>
              <w:ind w:firstLine="482" w:firstLineChars="200"/>
              <w:rPr>
                <w:rFonts w:hint="default" w:cs="Times New Roman"/>
                <w:b/>
                <w:bCs/>
                <w:color w:val="FF0000"/>
                <w:sz w:val="24"/>
                <w:szCs w:val="24"/>
                <w:lang w:val="en-US" w:eastAsia="zh-CN"/>
              </w:rPr>
            </w:pPr>
          </w:p>
          <w:p w14:paraId="49C2B793">
            <w:pPr>
              <w:tabs>
                <w:tab w:val="left" w:pos="7462"/>
              </w:tabs>
              <w:snapToGrid w:val="0"/>
              <w:spacing w:line="360" w:lineRule="auto"/>
              <w:ind w:firstLine="482" w:firstLineChars="200"/>
              <w:rPr>
                <w:rFonts w:hint="default" w:cs="Times New Roman"/>
                <w:b/>
                <w:bCs/>
                <w:color w:val="FF0000"/>
                <w:sz w:val="24"/>
                <w:szCs w:val="24"/>
                <w:lang w:val="en-US" w:eastAsia="zh-CN"/>
              </w:rPr>
            </w:pPr>
          </w:p>
          <w:p w14:paraId="3316DF22">
            <w:pPr>
              <w:tabs>
                <w:tab w:val="left" w:pos="7462"/>
              </w:tabs>
              <w:snapToGrid w:val="0"/>
              <w:spacing w:line="360" w:lineRule="auto"/>
              <w:ind w:firstLine="482" w:firstLineChars="200"/>
              <w:rPr>
                <w:rFonts w:hint="default" w:cs="Times New Roman"/>
                <w:b/>
                <w:bCs/>
                <w:color w:val="FF0000"/>
                <w:sz w:val="24"/>
                <w:szCs w:val="24"/>
                <w:lang w:val="en-US" w:eastAsia="zh-CN"/>
              </w:rPr>
            </w:pPr>
          </w:p>
          <w:p w14:paraId="4F6F13AB">
            <w:pPr>
              <w:tabs>
                <w:tab w:val="left" w:pos="7462"/>
              </w:tabs>
              <w:snapToGrid w:val="0"/>
              <w:spacing w:line="360" w:lineRule="auto"/>
              <w:ind w:firstLine="482" w:firstLineChars="200"/>
              <w:rPr>
                <w:rFonts w:hint="default" w:cs="Times New Roman"/>
                <w:b/>
                <w:bCs/>
                <w:color w:val="FF0000"/>
                <w:sz w:val="24"/>
                <w:szCs w:val="24"/>
                <w:lang w:val="en-US" w:eastAsia="zh-CN"/>
              </w:rPr>
            </w:pPr>
          </w:p>
          <w:p w14:paraId="7D3BC5E6">
            <w:pPr>
              <w:tabs>
                <w:tab w:val="left" w:pos="7462"/>
              </w:tabs>
              <w:snapToGrid w:val="0"/>
              <w:spacing w:line="360" w:lineRule="auto"/>
              <w:ind w:firstLine="482" w:firstLineChars="200"/>
              <w:rPr>
                <w:rFonts w:hint="default" w:cs="Times New Roman"/>
                <w:b/>
                <w:bCs/>
                <w:color w:val="FF0000"/>
                <w:sz w:val="24"/>
                <w:szCs w:val="24"/>
                <w:lang w:val="en-US" w:eastAsia="zh-CN"/>
              </w:rPr>
            </w:pPr>
          </w:p>
          <w:p w14:paraId="5546D216">
            <w:pPr>
              <w:tabs>
                <w:tab w:val="left" w:pos="7462"/>
              </w:tabs>
              <w:snapToGrid w:val="0"/>
              <w:spacing w:line="360" w:lineRule="auto"/>
              <w:ind w:firstLine="482" w:firstLineChars="200"/>
              <w:rPr>
                <w:rFonts w:hint="default" w:cs="Times New Roman"/>
                <w:b/>
                <w:bCs/>
                <w:color w:val="FF0000"/>
                <w:sz w:val="24"/>
                <w:szCs w:val="24"/>
                <w:lang w:val="en-US" w:eastAsia="zh-CN"/>
              </w:rPr>
            </w:pPr>
          </w:p>
          <w:p w14:paraId="6213ABCC">
            <w:pPr>
              <w:tabs>
                <w:tab w:val="left" w:pos="7462"/>
              </w:tabs>
              <w:snapToGrid w:val="0"/>
              <w:spacing w:line="360" w:lineRule="auto"/>
              <w:ind w:firstLine="482" w:firstLineChars="200"/>
              <w:rPr>
                <w:rFonts w:hint="default" w:cs="Times New Roman"/>
                <w:b/>
                <w:bCs/>
                <w:color w:val="FF0000"/>
                <w:sz w:val="24"/>
                <w:szCs w:val="24"/>
                <w:lang w:val="en-US" w:eastAsia="zh-CN"/>
              </w:rPr>
            </w:pPr>
          </w:p>
          <w:p w14:paraId="70F8524B">
            <w:pPr>
              <w:tabs>
                <w:tab w:val="left" w:pos="7462"/>
              </w:tabs>
              <w:snapToGrid w:val="0"/>
              <w:spacing w:line="360" w:lineRule="auto"/>
              <w:ind w:firstLine="482" w:firstLineChars="200"/>
              <w:rPr>
                <w:rFonts w:hint="default" w:cs="Times New Roman"/>
                <w:b/>
                <w:bCs/>
                <w:color w:val="FF0000"/>
                <w:sz w:val="24"/>
                <w:szCs w:val="24"/>
                <w:lang w:val="en-US" w:eastAsia="zh-CN"/>
              </w:rPr>
            </w:pPr>
          </w:p>
          <w:p w14:paraId="779021B5">
            <w:pPr>
              <w:tabs>
                <w:tab w:val="left" w:pos="7462"/>
              </w:tabs>
              <w:snapToGrid w:val="0"/>
              <w:spacing w:line="360" w:lineRule="auto"/>
              <w:ind w:firstLine="482" w:firstLineChars="200"/>
              <w:rPr>
                <w:rFonts w:hint="default" w:cs="Times New Roman"/>
                <w:b/>
                <w:bCs/>
                <w:color w:val="FF0000"/>
                <w:sz w:val="24"/>
                <w:szCs w:val="24"/>
                <w:lang w:val="en-US" w:eastAsia="zh-CN"/>
              </w:rPr>
            </w:pPr>
          </w:p>
          <w:p w14:paraId="0EA868C3">
            <w:pPr>
              <w:tabs>
                <w:tab w:val="left" w:pos="7462"/>
              </w:tabs>
              <w:snapToGrid w:val="0"/>
              <w:spacing w:line="360" w:lineRule="auto"/>
              <w:ind w:firstLine="482" w:firstLineChars="200"/>
              <w:rPr>
                <w:rFonts w:hint="default" w:cs="Times New Roman"/>
                <w:b/>
                <w:bCs/>
                <w:color w:val="FF0000"/>
                <w:sz w:val="24"/>
                <w:szCs w:val="24"/>
                <w:lang w:val="en-US" w:eastAsia="zh-CN"/>
              </w:rPr>
            </w:pPr>
          </w:p>
        </w:tc>
      </w:tr>
      <w:tr w14:paraId="34F4B4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7" w:hRule="atLeast"/>
          <w:jc w:val="center"/>
        </w:trPr>
        <w:tc>
          <w:tcPr>
            <w:tcW w:w="1070" w:type="dxa"/>
            <w:vAlign w:val="center"/>
          </w:tcPr>
          <w:p w14:paraId="0D8B327B">
            <w:pPr>
              <w:pStyle w:val="2"/>
              <w:ind w:left="0" w:leftChars="0" w:firstLine="0" w:firstLineChars="0"/>
              <w:jc w:val="center"/>
              <w:rPr>
                <w:color w:val="FF0000"/>
              </w:rPr>
            </w:pPr>
            <w:r>
              <w:rPr>
                <w:rFonts w:hint="eastAsia" w:ascii="宋体" w:hAnsi="宋体" w:eastAsia="宋体" w:cs="宋体"/>
                <w:b/>
                <w:bCs/>
                <w:color w:val="auto"/>
                <w:kern w:val="0"/>
                <w:sz w:val="24"/>
                <w:szCs w:val="24"/>
                <w:lang w:val="en-US" w:eastAsia="zh-CN" w:bidi="ar-SA"/>
              </w:rPr>
              <w:t>其他符合性分析</w:t>
            </w:r>
          </w:p>
        </w:tc>
        <w:tc>
          <w:tcPr>
            <w:tcW w:w="7800" w:type="dxa"/>
            <w:gridSpan w:val="3"/>
            <w:vAlign w:val="top"/>
          </w:tcPr>
          <w:p w14:paraId="00742AD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eastAsiaTheme="minorEastAsia"/>
                <w:b/>
                <w:bCs/>
                <w:color w:val="auto"/>
                <w:sz w:val="24"/>
                <w:szCs w:val="24"/>
              </w:rPr>
            </w:pPr>
            <w:r>
              <w:rPr>
                <w:rFonts w:hint="eastAsia" w:eastAsiaTheme="minorEastAsia"/>
                <w:b/>
                <w:bCs/>
                <w:color w:val="auto"/>
                <w:sz w:val="24"/>
                <w:szCs w:val="24"/>
                <w:lang w:val="en-US" w:eastAsia="zh-CN"/>
              </w:rPr>
              <w:t>1</w:t>
            </w:r>
            <w:r>
              <w:rPr>
                <w:rFonts w:hint="eastAsia" w:eastAsiaTheme="minorEastAsia"/>
                <w:b/>
                <w:bCs/>
                <w:color w:val="auto"/>
                <w:sz w:val="24"/>
                <w:szCs w:val="24"/>
              </w:rPr>
              <w:t>、与“生态环境分区管控管理暂行规定”相符性分析</w:t>
            </w:r>
          </w:p>
          <w:p w14:paraId="58F4C39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imes New Roman" w:hAnsi="Times New Roman" w:cs="Times New Roman" w:eastAsiaTheme="minorEastAsia"/>
                <w:color w:val="auto"/>
                <w:sz w:val="24"/>
                <w:szCs w:val="24"/>
                <w:lang w:eastAsia="zh-CN"/>
              </w:rPr>
            </w:pPr>
            <w:r>
              <w:rPr>
                <w:rFonts w:hint="eastAsia" w:eastAsiaTheme="minorEastAsia"/>
                <w:color w:val="auto"/>
                <w:sz w:val="24"/>
                <w:szCs w:val="24"/>
              </w:rPr>
              <w:t>根据《关于印发&lt;生态环境分区管控管理暂行规定&gt;的通知》</w:t>
            </w:r>
            <w:r>
              <w:rPr>
                <w:rFonts w:hint="eastAsia" w:eastAsiaTheme="minorEastAsia"/>
                <w:color w:val="auto"/>
                <w:sz w:val="24"/>
                <w:szCs w:val="24"/>
                <w:lang w:eastAsia="zh-CN"/>
              </w:rPr>
              <w:t>（</w:t>
            </w:r>
            <w:r>
              <w:rPr>
                <w:rFonts w:hint="eastAsia" w:eastAsiaTheme="minorEastAsia"/>
                <w:color w:val="auto"/>
                <w:sz w:val="24"/>
                <w:szCs w:val="24"/>
              </w:rPr>
              <w:t>环环评</w:t>
            </w:r>
            <w:r>
              <w:rPr>
                <w:rFonts w:hint="eastAsia" w:eastAsiaTheme="minorEastAsia"/>
                <w:color w:val="auto"/>
                <w:sz w:val="24"/>
                <w:szCs w:val="24"/>
                <w:lang w:eastAsia="zh-CN"/>
              </w:rPr>
              <w:t>（</w:t>
            </w:r>
            <w:r>
              <w:rPr>
                <w:rFonts w:hint="eastAsia" w:eastAsiaTheme="minorEastAsia"/>
                <w:color w:val="auto"/>
                <w:sz w:val="24"/>
                <w:szCs w:val="24"/>
              </w:rPr>
              <w:t>2024</w:t>
            </w:r>
            <w:r>
              <w:rPr>
                <w:rFonts w:hint="eastAsia" w:eastAsiaTheme="minorEastAsia"/>
                <w:color w:val="auto"/>
                <w:sz w:val="24"/>
                <w:szCs w:val="24"/>
                <w:lang w:eastAsia="zh-CN"/>
              </w:rPr>
              <w:t>）</w:t>
            </w:r>
            <w:r>
              <w:rPr>
                <w:rFonts w:hint="eastAsia" w:eastAsiaTheme="minorEastAsia"/>
                <w:color w:val="auto"/>
                <w:sz w:val="24"/>
                <w:szCs w:val="24"/>
              </w:rPr>
              <w:t>号</w:t>
            </w:r>
            <w:r>
              <w:rPr>
                <w:rFonts w:hint="eastAsia" w:eastAsiaTheme="minorEastAsia"/>
                <w:color w:val="auto"/>
                <w:sz w:val="24"/>
                <w:szCs w:val="24"/>
                <w:lang w:eastAsia="zh-CN"/>
              </w:rPr>
              <w:t>）：</w:t>
            </w:r>
            <w:r>
              <w:rPr>
                <w:rFonts w:hint="eastAsia" w:eastAsiaTheme="minorEastAsia"/>
                <w:color w:val="auto"/>
                <w:sz w:val="24"/>
                <w:szCs w:val="24"/>
              </w:rPr>
              <w:t>“第十五条·充分发挥生态环境分区</w:t>
            </w:r>
            <w:r>
              <w:rPr>
                <w:rFonts w:hint="eastAsia" w:eastAsiaTheme="minorEastAsia"/>
                <w:color w:val="auto"/>
                <w:sz w:val="24"/>
                <w:szCs w:val="24"/>
                <w:lang w:val="en-US" w:eastAsia="zh-CN"/>
              </w:rPr>
              <w:t>管</w:t>
            </w:r>
            <w:r>
              <w:rPr>
                <w:rFonts w:hint="eastAsia" w:eastAsiaTheme="minorEastAsia"/>
                <w:color w:val="auto"/>
                <w:sz w:val="24"/>
                <w:szCs w:val="24"/>
              </w:rPr>
              <w:t>控在生态环境源头预防体系中的基础性作用。</w:t>
            </w:r>
            <w:r>
              <w:rPr>
                <w:rFonts w:hint="eastAsia" w:eastAsiaTheme="minorEastAsia"/>
                <w:color w:val="auto"/>
                <w:sz w:val="24"/>
                <w:szCs w:val="24"/>
                <w:lang w:eastAsia="zh-CN"/>
              </w:rPr>
              <w:t>（</w:t>
            </w:r>
            <w:r>
              <w:rPr>
                <w:rFonts w:hint="eastAsia" w:eastAsiaTheme="minorEastAsia"/>
                <w:color w:val="auto"/>
                <w:sz w:val="24"/>
                <w:szCs w:val="24"/>
              </w:rPr>
              <w:t>二</w:t>
            </w:r>
            <w:r>
              <w:rPr>
                <w:rFonts w:hint="eastAsia" w:eastAsiaTheme="minorEastAsia"/>
                <w:color w:val="auto"/>
                <w:sz w:val="24"/>
                <w:szCs w:val="24"/>
                <w:lang w:eastAsia="zh-CN"/>
              </w:rPr>
              <w:t>）</w:t>
            </w:r>
            <w:r>
              <w:rPr>
                <w:rFonts w:hint="eastAsia" w:eastAsiaTheme="minorEastAsia"/>
                <w:color w:val="auto"/>
                <w:sz w:val="24"/>
                <w:szCs w:val="24"/>
              </w:rPr>
              <w:t>建设项目开展环评工作初期，应分析与生态环境分</w:t>
            </w:r>
            <w:r>
              <w:rPr>
                <w:rFonts w:hint="eastAsia" w:ascii="Times New Roman" w:hAnsi="Times New Roman" w:cs="Times New Roman" w:eastAsiaTheme="minorEastAsia"/>
                <w:color w:val="auto"/>
                <w:sz w:val="24"/>
                <w:szCs w:val="24"/>
              </w:rPr>
              <w:t>区管控要求的符合性，不满足要求的，应进一步论证其生态环境可行性，优化调整项目建设内容或重新选址。建设项目环评审批部门开展审批时，应点审查项目选址选线、生态影响、污染物排放、风险防范等与生态环境分区管控方案的符合性。</w:t>
            </w:r>
            <w:r>
              <w:rPr>
                <w:rFonts w:hint="eastAsia" w:ascii="Times New Roman" w:hAnsi="Times New Roman" w:cs="Times New Roman" w:eastAsiaTheme="minorEastAsia"/>
                <w:color w:val="auto"/>
                <w:sz w:val="24"/>
                <w:szCs w:val="24"/>
                <w:lang w:eastAsia="zh-CN"/>
              </w:rPr>
              <w:t>”</w:t>
            </w:r>
          </w:p>
          <w:p w14:paraId="3C5BC319">
            <w:pPr>
              <w:autoSpaceDE w:val="0"/>
              <w:autoSpaceDN w:val="0"/>
              <w:adjustRightInd w:val="0"/>
              <w:snapToGrid w:val="0"/>
              <w:spacing w:line="360" w:lineRule="auto"/>
              <w:ind w:firstLine="480" w:firstLineChars="200"/>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eastAsia="zh-CN"/>
              </w:rPr>
              <w:t>①</w:t>
            </w:r>
            <w:r>
              <w:rPr>
                <w:rFonts w:hint="default" w:ascii="Times New Roman" w:hAnsi="Times New Roman" w:cs="Times New Roman" w:eastAsiaTheme="minorEastAsia"/>
                <w:color w:val="auto"/>
                <w:kern w:val="0"/>
                <w:sz w:val="24"/>
                <w:szCs w:val="24"/>
                <w:highlight w:val="none"/>
              </w:rPr>
              <w:t>与《江苏省2023年度生态环境分区管控动态更新成果公告》相符性分析</w:t>
            </w:r>
          </w:p>
          <w:p w14:paraId="34F22271">
            <w:pPr>
              <w:spacing w:line="360" w:lineRule="auto"/>
              <w:jc w:val="center"/>
              <w:rPr>
                <w:rFonts w:hint="default" w:eastAsiaTheme="minorEastAsia"/>
                <w:b/>
                <w:bCs/>
                <w:color w:val="auto"/>
                <w:sz w:val="24"/>
              </w:rPr>
            </w:pPr>
            <w:r>
              <w:rPr>
                <w:rFonts w:hint="default" w:eastAsiaTheme="minorEastAsia"/>
                <w:b/>
                <w:bCs/>
                <w:color w:val="auto"/>
                <w:sz w:val="24"/>
              </w:rPr>
              <w:t>表1-</w:t>
            </w:r>
            <w:r>
              <w:rPr>
                <w:rFonts w:hint="eastAsia" w:eastAsiaTheme="minorEastAsia"/>
                <w:b/>
                <w:bCs/>
                <w:color w:val="auto"/>
                <w:sz w:val="24"/>
                <w:lang w:val="en-US" w:eastAsia="zh-CN"/>
              </w:rPr>
              <w:t>2</w:t>
            </w:r>
            <w:r>
              <w:rPr>
                <w:rFonts w:hint="default" w:eastAsiaTheme="minorEastAsia"/>
                <w:b/>
                <w:bCs/>
                <w:color w:val="auto"/>
                <w:sz w:val="24"/>
              </w:rPr>
              <w:t>与《江苏省2023年度生态环境分区管控动态更新成果公告》相符性对照分析</w:t>
            </w:r>
          </w:p>
          <w:tbl>
            <w:tblPr>
              <w:tblStyle w:val="35"/>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45" w:type="dxa"/>
                <w:bottom w:w="0" w:type="dxa"/>
                <w:right w:w="45" w:type="dxa"/>
              </w:tblCellMar>
            </w:tblPr>
            <w:tblGrid>
              <w:gridCol w:w="968"/>
              <w:gridCol w:w="4656"/>
              <w:gridCol w:w="1358"/>
              <w:gridCol w:w="569"/>
            </w:tblGrid>
            <w:tr w14:paraId="7F547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0" w:hRule="atLeast"/>
              </w:trPr>
              <w:tc>
                <w:tcPr>
                  <w:tcW w:w="640" w:type="pct"/>
                  <w:vAlign w:val="center"/>
                </w:tcPr>
                <w:p w14:paraId="1631327D">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管控类别</w:t>
                  </w:r>
                </w:p>
              </w:tc>
              <w:tc>
                <w:tcPr>
                  <w:tcW w:w="3083" w:type="pct"/>
                  <w:vAlign w:val="center"/>
                </w:tcPr>
                <w:p w14:paraId="0874FC7F">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重点管控要求</w:t>
                  </w:r>
                </w:p>
              </w:tc>
              <w:tc>
                <w:tcPr>
                  <w:tcW w:w="899" w:type="pct"/>
                  <w:vAlign w:val="center"/>
                </w:tcPr>
                <w:p w14:paraId="3BE91495">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eastAsiaTheme="minorEastAsia"/>
                      <w:b/>
                      <w:bCs/>
                      <w:color w:val="auto"/>
                      <w:kern w:val="0"/>
                      <w:sz w:val="21"/>
                      <w:szCs w:val="21"/>
                      <w:highlight w:val="none"/>
                    </w:rPr>
                  </w:pPr>
                  <w:r>
                    <w:rPr>
                      <w:rFonts w:hint="default" w:ascii="Times New Roman" w:hAnsi="Times New Roman" w:cs="Times New Roman" w:eastAsiaTheme="minorEastAsia"/>
                      <w:b/>
                      <w:bCs/>
                      <w:color w:val="auto"/>
                      <w:kern w:val="0"/>
                      <w:sz w:val="21"/>
                      <w:szCs w:val="21"/>
                      <w:highlight w:val="none"/>
                    </w:rPr>
                    <w:t>对照分析</w:t>
                  </w:r>
                </w:p>
              </w:tc>
              <w:tc>
                <w:tcPr>
                  <w:tcW w:w="376" w:type="pct"/>
                  <w:vAlign w:val="center"/>
                </w:tcPr>
                <w:p w14:paraId="303C9701">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是否相符</w:t>
                  </w:r>
                </w:p>
              </w:tc>
            </w:tr>
            <w:tr w14:paraId="4FF51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0" w:hRule="atLeast"/>
              </w:trPr>
              <w:tc>
                <w:tcPr>
                  <w:tcW w:w="4623" w:type="pct"/>
                  <w:gridSpan w:val="3"/>
                  <w:vAlign w:val="center"/>
                </w:tcPr>
                <w:p w14:paraId="28466463">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一、长江流域</w:t>
                  </w:r>
                </w:p>
              </w:tc>
              <w:tc>
                <w:tcPr>
                  <w:tcW w:w="376" w:type="pct"/>
                  <w:vAlign w:val="center"/>
                </w:tcPr>
                <w:p w14:paraId="1B86914B">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14:paraId="0A311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0" w:hRule="atLeast"/>
              </w:trPr>
              <w:tc>
                <w:tcPr>
                  <w:tcW w:w="640" w:type="pct"/>
                  <w:vAlign w:val="center"/>
                </w:tcPr>
                <w:p w14:paraId="3BA6490C">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空间布局约束</w:t>
                  </w:r>
                </w:p>
              </w:tc>
              <w:tc>
                <w:tcPr>
                  <w:tcW w:w="3083" w:type="pct"/>
                  <w:vAlign w:val="center"/>
                </w:tcPr>
                <w:p w14:paraId="205FA8B6">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1.始终把长江生态修复放在首位，坚持共抓大保护，不搞大开发，引导长江流域产业转型升级和布局优化调整，实现科学发展、有序发展、高质量发展。</w:t>
                  </w:r>
                </w:p>
                <w:p w14:paraId="1CA26A4B">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加强生态空间保护，禁止在国家确定的生态保护红线和永久基本农田范围内，投资建设除国家重大战略资源勘查项目、生态保护修复和地质灾害治理项目、重大基础设施项目、军事国防项目以及农民基本生产生活等必要的民生项目以外的项目。</w:t>
                  </w:r>
                </w:p>
                <w:p w14:paraId="5F34253C">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3.禁止在沿江地区新建或扩建化学工业园区，禁止新建或扩建以大宗进口油气资源为原料的石油加工、石油化工、基础有机无机化工、煤化工项目；禁止在长江干流和主要支流岸线1公里范围内新建危化品码头。</w:t>
                  </w:r>
                </w:p>
                <w:p w14:paraId="4DC29831">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强化港口布局优化，禁止建设不符合国家港口布局规划和《江苏省沿江沿海港口布局规划（2015-2030年）》《江苏省内河港口布局规划（2017-2035年）》的码头项目，禁止建设纳入《长江干线过江通道布局规划》的过江干线通道项目。</w:t>
                  </w:r>
                </w:p>
                <w:p w14:paraId="33C77547">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5.禁止新建独立焦化项目。</w:t>
                  </w:r>
                </w:p>
              </w:tc>
              <w:tc>
                <w:tcPr>
                  <w:tcW w:w="899" w:type="pct"/>
                  <w:shd w:val="clear" w:color="auto" w:fill="auto"/>
                  <w:vAlign w:val="center"/>
                </w:tcPr>
                <w:p w14:paraId="61E1EF06">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项目所在区域属于长江流域内，选址不在生态保护红线和永久基本农田范围内，不属于禁止新建或扩建项目</w:t>
                  </w:r>
                  <w:r>
                    <w:rPr>
                      <w:rFonts w:hint="eastAsia" w:ascii="Times New Roman" w:hAnsi="Times New Roman" w:cs="Times New Roman"/>
                      <w:color w:val="auto"/>
                      <w:sz w:val="21"/>
                      <w:szCs w:val="21"/>
                      <w:highlight w:val="none"/>
                      <w:lang w:eastAsia="zh-CN"/>
                    </w:rPr>
                    <w:t>。</w:t>
                  </w:r>
                </w:p>
              </w:tc>
              <w:tc>
                <w:tcPr>
                  <w:tcW w:w="376" w:type="pct"/>
                  <w:vAlign w:val="center"/>
                </w:tcPr>
                <w:p w14:paraId="464BE1C8">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w:t>
                  </w:r>
                </w:p>
              </w:tc>
            </w:tr>
            <w:tr w14:paraId="1320D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0" w:hRule="atLeast"/>
              </w:trPr>
              <w:tc>
                <w:tcPr>
                  <w:tcW w:w="640" w:type="pct"/>
                  <w:vAlign w:val="center"/>
                </w:tcPr>
                <w:p w14:paraId="3D9476A5">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污染物排放管控</w:t>
                  </w:r>
                </w:p>
              </w:tc>
              <w:tc>
                <w:tcPr>
                  <w:tcW w:w="3083" w:type="pct"/>
                  <w:vAlign w:val="center"/>
                </w:tcPr>
                <w:p w14:paraId="0FCB0330">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1.根据《江苏省长江水污染防治条例》实施污染物总量控制。</w:t>
                  </w:r>
                </w:p>
                <w:p w14:paraId="44185279">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2.全面加强和规范长江入河排污口管理，有效管控入河污染物排放，形成权责清晰、监管到位、管理规范的长江入河排污口监管体系，加快改善长江水环境质量。</w:t>
                  </w:r>
                </w:p>
              </w:tc>
              <w:tc>
                <w:tcPr>
                  <w:tcW w:w="899" w:type="pct"/>
                  <w:shd w:val="clear" w:color="auto" w:fill="auto"/>
                  <w:vAlign w:val="center"/>
                </w:tcPr>
                <w:p w14:paraId="1553DE97">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本项目</w:t>
                  </w:r>
                  <w:r>
                    <w:rPr>
                      <w:rFonts w:hint="eastAsia" w:cs="Times New Roman"/>
                      <w:color w:val="auto"/>
                      <w:szCs w:val="21"/>
                      <w:highlight w:val="none"/>
                      <w:lang w:val="en-US" w:eastAsia="zh-CN"/>
                    </w:rPr>
                    <w:t>生活</w:t>
                  </w:r>
                  <w:r>
                    <w:rPr>
                      <w:rFonts w:hint="default" w:ascii="Times New Roman" w:hAnsi="Times New Roman" w:cs="Times New Roman"/>
                      <w:color w:val="auto"/>
                      <w:szCs w:val="21"/>
                      <w:highlight w:val="none"/>
                      <w:lang w:val="en-US" w:eastAsia="zh-CN"/>
                    </w:rPr>
                    <w:t>污水依托园区现有化粪池预处理后接管排入</w:t>
                  </w:r>
                  <w:r>
                    <w:rPr>
                      <w:rFonts w:hint="eastAsia" w:cs="Times New Roman"/>
                      <w:color w:val="auto"/>
                      <w:szCs w:val="21"/>
                      <w:highlight w:val="none"/>
                      <w:lang w:val="en-US" w:eastAsia="zh-CN"/>
                    </w:rPr>
                    <w:t>常州市江边污水处理厂</w:t>
                  </w:r>
                  <w:r>
                    <w:rPr>
                      <w:rFonts w:hint="default" w:ascii="Times New Roman" w:hAnsi="Times New Roman" w:cs="Times New Roman"/>
                      <w:color w:val="auto"/>
                      <w:szCs w:val="21"/>
                      <w:highlight w:val="none"/>
                      <w:lang w:val="en-US" w:eastAsia="zh-CN"/>
                    </w:rPr>
                    <w:t>集中处理</w:t>
                  </w:r>
                  <w:r>
                    <w:rPr>
                      <w:rFonts w:hint="eastAsia" w:cs="Times New Roman"/>
                      <w:color w:val="auto"/>
                      <w:szCs w:val="21"/>
                      <w:highlight w:val="none"/>
                      <w:lang w:val="en-US" w:eastAsia="zh-CN"/>
                    </w:rPr>
                    <w:t>，</w:t>
                  </w:r>
                  <w:r>
                    <w:rPr>
                      <w:rFonts w:hint="default" w:ascii="Times New Roman" w:hAnsi="Times New Roman" w:cs="Times New Roman"/>
                      <w:color w:val="auto"/>
                      <w:sz w:val="21"/>
                      <w:szCs w:val="21"/>
                      <w:highlight w:val="none"/>
                    </w:rPr>
                    <w:t>总量纳入污水处理厂总量范围内。</w:t>
                  </w:r>
                </w:p>
              </w:tc>
              <w:tc>
                <w:tcPr>
                  <w:tcW w:w="376" w:type="pct"/>
                  <w:vAlign w:val="center"/>
                </w:tcPr>
                <w:p w14:paraId="124EBD93">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w:t>
                  </w:r>
                </w:p>
              </w:tc>
            </w:tr>
            <w:tr w14:paraId="09720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0" w:hRule="atLeast"/>
              </w:trPr>
              <w:tc>
                <w:tcPr>
                  <w:tcW w:w="640" w:type="pct"/>
                  <w:vAlign w:val="center"/>
                </w:tcPr>
                <w:p w14:paraId="21DC904F">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环境风险防控</w:t>
                  </w:r>
                </w:p>
              </w:tc>
              <w:tc>
                <w:tcPr>
                  <w:tcW w:w="3083" w:type="pct"/>
                  <w:vAlign w:val="center"/>
                </w:tcPr>
                <w:p w14:paraId="3375EDDB">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1.防范沿江环境风险。深化沿江石化、化工、医药、纺织、印染、化纤、危化品和石油类仓储、涉重金属和危险废物处置等重点企业环境风险防控。</w:t>
                  </w:r>
                </w:p>
                <w:p w14:paraId="16EC27A9">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2.加强饮用水水源保护。优化水源保护区划定，推动饮用水水源地规范化建设。</w:t>
                  </w:r>
                </w:p>
              </w:tc>
              <w:tc>
                <w:tcPr>
                  <w:tcW w:w="899" w:type="pct"/>
                  <w:shd w:val="clear" w:color="auto" w:fill="auto"/>
                  <w:vAlign w:val="center"/>
                </w:tcPr>
                <w:p w14:paraId="0B8EDC94">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本项目非沿江重点企业，不涉及饮用水源保护。</w:t>
                  </w:r>
                </w:p>
              </w:tc>
              <w:tc>
                <w:tcPr>
                  <w:tcW w:w="376" w:type="pct"/>
                  <w:vAlign w:val="center"/>
                </w:tcPr>
                <w:p w14:paraId="057D3E3F">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14:paraId="3B43D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0" w:hRule="atLeast"/>
              </w:trPr>
              <w:tc>
                <w:tcPr>
                  <w:tcW w:w="640" w:type="pct"/>
                  <w:vAlign w:val="center"/>
                </w:tcPr>
                <w:p w14:paraId="72849112">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资源利用效率要求</w:t>
                  </w:r>
                </w:p>
              </w:tc>
              <w:tc>
                <w:tcPr>
                  <w:tcW w:w="3083" w:type="pct"/>
                  <w:vAlign w:val="center"/>
                </w:tcPr>
                <w:p w14:paraId="02249463">
                  <w:pPr>
                    <w:keepNext w:val="0"/>
                    <w:keepLines w:val="0"/>
                    <w:widowControl/>
                    <w:suppressLineNumbers w:val="0"/>
                    <w:adjustRightInd w:val="0"/>
                    <w:snapToGrid w:val="0"/>
                    <w:spacing w:before="0" w:beforeAutospacing="0" w:after="0" w:afterAutospacing="0" w:line="28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禁止在长江干支流岸线管控范围内新建、扩建化工园区和化工项目。禁止在长江干流岸线和重要支流岸线管控范围内新建、改建、扩建尾矿库，但是以提升安全、生态环境保护水平为目的的改建除外。</w:t>
                  </w:r>
                </w:p>
              </w:tc>
              <w:tc>
                <w:tcPr>
                  <w:tcW w:w="899" w:type="pct"/>
                  <w:shd w:val="clear" w:color="auto" w:fill="auto"/>
                  <w:vAlign w:val="center"/>
                </w:tcPr>
                <w:p w14:paraId="6272103D">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本项目主要</w:t>
                  </w:r>
                  <w:r>
                    <w:rPr>
                      <w:rFonts w:hint="eastAsia" w:cs="Times New Roman"/>
                      <w:color w:val="auto"/>
                      <w:sz w:val="21"/>
                      <w:szCs w:val="21"/>
                      <w:highlight w:val="none"/>
                      <w:lang w:val="en-US" w:eastAsia="zh-CN"/>
                    </w:rPr>
                    <w:t>从事高端医用设备的生产</w:t>
                  </w:r>
                  <w:r>
                    <w:rPr>
                      <w:rFonts w:hint="default" w:ascii="Times New Roman" w:hAnsi="Times New Roman" w:cs="Times New Roman"/>
                      <w:color w:val="auto"/>
                      <w:sz w:val="21"/>
                      <w:szCs w:val="21"/>
                      <w:highlight w:val="none"/>
                    </w:rPr>
                    <w:t>，不属于化工、尾矿库项目。</w:t>
                  </w:r>
                </w:p>
              </w:tc>
              <w:tc>
                <w:tcPr>
                  <w:tcW w:w="376" w:type="pct"/>
                  <w:vAlign w:val="center"/>
                </w:tcPr>
                <w:p w14:paraId="2C628C35">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14:paraId="7A4A0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0" w:hRule="atLeast"/>
              </w:trPr>
              <w:tc>
                <w:tcPr>
                  <w:tcW w:w="4623" w:type="pct"/>
                  <w:gridSpan w:val="3"/>
                  <w:vAlign w:val="center"/>
                </w:tcPr>
                <w:p w14:paraId="3B83C43F">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FF0000"/>
                      <w:sz w:val="21"/>
                      <w:szCs w:val="21"/>
                      <w:highlight w:val="none"/>
                    </w:rPr>
                  </w:pPr>
                  <w:r>
                    <w:rPr>
                      <w:rFonts w:hint="default" w:ascii="Times New Roman" w:hAnsi="Times New Roman" w:cs="Times New Roman"/>
                      <w:color w:val="auto"/>
                      <w:sz w:val="21"/>
                      <w:szCs w:val="21"/>
                      <w:highlight w:val="none"/>
                    </w:rPr>
                    <w:t>二、太湖流域</w:t>
                  </w:r>
                </w:p>
              </w:tc>
              <w:tc>
                <w:tcPr>
                  <w:tcW w:w="376" w:type="pct"/>
                  <w:vAlign w:val="center"/>
                </w:tcPr>
                <w:p w14:paraId="193ED1E3">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14:paraId="16469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0" w:hRule="atLeast"/>
              </w:trPr>
              <w:tc>
                <w:tcPr>
                  <w:tcW w:w="640" w:type="pct"/>
                  <w:vAlign w:val="center"/>
                </w:tcPr>
                <w:p w14:paraId="62CE411A">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空间布局约束</w:t>
                  </w:r>
                </w:p>
              </w:tc>
              <w:tc>
                <w:tcPr>
                  <w:tcW w:w="3083" w:type="pct"/>
                  <w:vAlign w:val="center"/>
                </w:tcPr>
                <w:p w14:paraId="481DB65E">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bCs/>
                      <w:color w:val="auto"/>
                      <w:sz w:val="21"/>
                      <w:szCs w:val="21"/>
                      <w:highlight w:val="none"/>
                    </w:rPr>
                    <w:t>1.太</w:t>
                  </w:r>
                  <w:r>
                    <w:rPr>
                      <w:rFonts w:hint="default" w:ascii="Times New Roman" w:hAnsi="Times New Roman" w:cs="Times New Roman"/>
                      <w:color w:val="auto"/>
                      <w:sz w:val="21"/>
                      <w:szCs w:val="21"/>
                      <w:highlight w:val="none"/>
                    </w:rPr>
                    <w:t>湖流域一级、二级、三级保护区，禁止新建、改建、扩建化学制浆造纸、制革、酿造、染料、印染、电镀以及其他排放含磷、氮等污染物的企业和项目，城镇污水集中处理等环境基础设施项目和《江苏省太湖水污染防治条例》第四十六条规定的情形除外。</w:t>
                  </w:r>
                </w:p>
                <w:p w14:paraId="3B05791A">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2.在太湖流域一级保护区内，禁止新建、扩建向水体排放污染物的建设项目，禁止新建、扩建畜禽养殖场，禁止新建、扩建高尔夫球场、水上游乐等开发项目以及设置水上餐饮经营设施。</w:t>
                  </w:r>
                </w:p>
                <w:p w14:paraId="20753C21">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rPr>
                    <w:t>3.在太湖流域二级保护区内，禁止新建、扩建化工、医药生产项目，禁止新建、扩建污水集中处理设施排污口以外的排污口。</w:t>
                  </w:r>
                </w:p>
              </w:tc>
              <w:tc>
                <w:tcPr>
                  <w:tcW w:w="899" w:type="pct"/>
                  <w:shd w:val="clear" w:color="auto" w:fill="auto"/>
                  <w:vAlign w:val="center"/>
                </w:tcPr>
                <w:p w14:paraId="18BE543A">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rPr>
                    <w:t>项目位于太湖流域三级保护区内，</w:t>
                  </w:r>
                  <w:r>
                    <w:rPr>
                      <w:rFonts w:hint="eastAsia" w:cs="Times New Roman"/>
                      <w:bCs/>
                      <w:color w:val="auto"/>
                      <w:sz w:val="21"/>
                      <w:szCs w:val="21"/>
                      <w:highlight w:val="none"/>
                      <w:lang w:eastAsia="zh-CN"/>
                    </w:rPr>
                    <w:t>主要从事高端医用设备的生产</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eastAsia="zh-CN"/>
                    </w:rPr>
                    <w:t>不属于禁止建设的项目</w:t>
                  </w:r>
                  <w:r>
                    <w:rPr>
                      <w:rFonts w:hint="default" w:ascii="Times New Roman" w:hAnsi="Times New Roman" w:cs="Times New Roman"/>
                      <w:bCs/>
                      <w:color w:val="auto"/>
                      <w:sz w:val="21"/>
                      <w:szCs w:val="21"/>
                      <w:highlight w:val="none"/>
                    </w:rPr>
                    <w:t>，不排放含氮、磷的生产废水</w:t>
                  </w:r>
                  <w:r>
                    <w:rPr>
                      <w:rFonts w:hint="default" w:ascii="Times New Roman" w:hAnsi="Times New Roman" w:cs="Times New Roman"/>
                      <w:color w:val="auto"/>
                      <w:sz w:val="21"/>
                      <w:szCs w:val="21"/>
                      <w:highlight w:val="none"/>
                    </w:rPr>
                    <w:t>。</w:t>
                  </w:r>
                </w:p>
              </w:tc>
              <w:tc>
                <w:tcPr>
                  <w:tcW w:w="376" w:type="pct"/>
                  <w:vAlign w:val="center"/>
                </w:tcPr>
                <w:p w14:paraId="18050B7F">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1"/>
                      <w:szCs w:val="21"/>
                      <w:highlight w:val="none"/>
                    </w:rPr>
                  </w:pPr>
                  <w:r>
                    <w:rPr>
                      <w:rFonts w:hint="default" w:ascii="Times New Roman" w:hAnsi="Times New Roman" w:cs="Times New Roman"/>
                      <w:color w:val="auto"/>
                      <w:sz w:val="21"/>
                      <w:szCs w:val="21"/>
                      <w:highlight w:val="none"/>
                    </w:rPr>
                    <w:t>是</w:t>
                  </w:r>
                </w:p>
              </w:tc>
            </w:tr>
            <w:tr w14:paraId="2F1F8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0" w:hRule="atLeast"/>
              </w:trPr>
              <w:tc>
                <w:tcPr>
                  <w:tcW w:w="640" w:type="pct"/>
                  <w:vAlign w:val="center"/>
                </w:tcPr>
                <w:p w14:paraId="515242B2">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污染物排放管控</w:t>
                  </w:r>
                </w:p>
              </w:tc>
              <w:tc>
                <w:tcPr>
                  <w:tcW w:w="3083" w:type="pct"/>
                  <w:vAlign w:val="center"/>
                </w:tcPr>
                <w:p w14:paraId="73D6346B">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城镇污水处理厂、纺织工业、化学工业、造纸工业、钢铁工业、电镀工业和食品工业的污水处理设施执行《太湖地区城镇污水处理厂及重点工业行业主要水污染物排放限值》。</w:t>
                  </w:r>
                </w:p>
              </w:tc>
              <w:tc>
                <w:tcPr>
                  <w:tcW w:w="899" w:type="pct"/>
                  <w:shd w:val="clear" w:color="auto" w:fill="auto"/>
                  <w:vAlign w:val="center"/>
                </w:tcPr>
                <w:p w14:paraId="73507493">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不涉及</w:t>
                  </w:r>
                </w:p>
              </w:tc>
              <w:tc>
                <w:tcPr>
                  <w:tcW w:w="376" w:type="pct"/>
                  <w:vAlign w:val="center"/>
                </w:tcPr>
                <w:p w14:paraId="57BDABAF">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14:paraId="2FF98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0" w:hRule="atLeast"/>
              </w:trPr>
              <w:tc>
                <w:tcPr>
                  <w:tcW w:w="640" w:type="pct"/>
                  <w:vAlign w:val="center"/>
                </w:tcPr>
                <w:p w14:paraId="2A2476A5">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环境风险防控</w:t>
                  </w:r>
                </w:p>
              </w:tc>
              <w:tc>
                <w:tcPr>
                  <w:tcW w:w="3083" w:type="pct"/>
                  <w:vAlign w:val="center"/>
                </w:tcPr>
                <w:p w14:paraId="457FEEC4">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1.运输剧毒物质、危险化学品的船舶不得进入太湖。</w:t>
                  </w:r>
                </w:p>
                <w:p w14:paraId="4E576C00">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2.禁止向太湖流域水体排放或者倾倒油漆、酸液、碱液、剧毒废渣废液、含放射性废渣废液、含病原体污水、工业废渣以及其他废弃物。</w:t>
                  </w:r>
                </w:p>
                <w:p w14:paraId="4B992338">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3.加强太湖流域生态环境风险应急管控，着力提高防控天湖蓝藻水华风险预警和应急处置能力。</w:t>
                  </w:r>
                </w:p>
              </w:tc>
              <w:tc>
                <w:tcPr>
                  <w:tcW w:w="899" w:type="pct"/>
                  <w:shd w:val="clear" w:color="auto" w:fill="auto"/>
                  <w:vAlign w:val="center"/>
                </w:tcPr>
                <w:p w14:paraId="10383FB5">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项目不涉及船舶运输，</w:t>
                  </w:r>
                  <w:r>
                    <w:rPr>
                      <w:rFonts w:hint="default" w:ascii="Times New Roman" w:hAnsi="Times New Roman" w:cs="Times New Roman"/>
                      <w:color w:val="auto"/>
                      <w:sz w:val="21"/>
                      <w:szCs w:val="21"/>
                      <w:highlight w:val="none"/>
                      <w:lang w:eastAsia="zh-CN"/>
                    </w:rPr>
                    <w:t>新增员工生活污水依托园区现有化粪池预处理后接管排入</w:t>
                  </w:r>
                  <w:r>
                    <w:rPr>
                      <w:rFonts w:hint="eastAsia" w:cs="Times New Roman"/>
                      <w:color w:val="auto"/>
                      <w:sz w:val="21"/>
                      <w:szCs w:val="21"/>
                      <w:highlight w:val="none"/>
                      <w:lang w:eastAsia="zh-CN"/>
                    </w:rPr>
                    <w:t>常州市江边污水处理厂</w:t>
                  </w:r>
                  <w:r>
                    <w:rPr>
                      <w:rFonts w:hint="default" w:ascii="Times New Roman" w:hAnsi="Times New Roman" w:cs="Times New Roman"/>
                      <w:color w:val="auto"/>
                      <w:sz w:val="21"/>
                      <w:szCs w:val="21"/>
                      <w:highlight w:val="none"/>
                    </w:rPr>
                    <w:t>集中处理</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各类固废均妥善安全处置。</w:t>
                  </w:r>
                </w:p>
              </w:tc>
              <w:tc>
                <w:tcPr>
                  <w:tcW w:w="376" w:type="pct"/>
                  <w:vAlign w:val="center"/>
                </w:tcPr>
                <w:p w14:paraId="462F86D3">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w:t>
                  </w:r>
                </w:p>
              </w:tc>
            </w:tr>
            <w:tr w14:paraId="4C244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0" w:hRule="atLeast"/>
              </w:trPr>
              <w:tc>
                <w:tcPr>
                  <w:tcW w:w="640" w:type="pct"/>
                  <w:vAlign w:val="center"/>
                </w:tcPr>
                <w:p w14:paraId="2A101687">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资源利用效率要求</w:t>
                  </w:r>
                </w:p>
              </w:tc>
              <w:tc>
                <w:tcPr>
                  <w:tcW w:w="3083" w:type="pct"/>
                  <w:vAlign w:val="center"/>
                </w:tcPr>
                <w:p w14:paraId="3199CA7A">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1．严格用水定额管理制度，推进取用水规范化管理，科学制定用水定额并动态调整，对超过用水定额标准的企业分类分步先期实施节水改造，鼓励重点用水企业、园区建立智慧用水管理系统。</w:t>
                  </w:r>
                </w:p>
                <w:p w14:paraId="7E81A470">
                  <w:pPr>
                    <w:keepNext w:val="0"/>
                    <w:keepLines w:val="0"/>
                    <w:widowControl/>
                    <w:suppressLineNumbers w:val="0"/>
                    <w:adjustRightInd w:val="0"/>
                    <w:snapToGrid w:val="0"/>
                    <w:spacing w:before="0" w:beforeAutospacing="0" w:after="0" w:afterAutospacing="0" w:line="260" w:lineRule="exact"/>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2．推进新孟河、新沟河、望虞河、走马塘等河道联合调度，科学调控太湖水位。</w:t>
                  </w:r>
                </w:p>
              </w:tc>
              <w:tc>
                <w:tcPr>
                  <w:tcW w:w="899" w:type="pct"/>
                  <w:shd w:val="clear" w:color="auto" w:fill="auto"/>
                  <w:vAlign w:val="center"/>
                </w:tcPr>
                <w:p w14:paraId="1524229D">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当地自来水厂能够满足本项目的新鲜水使用要求。</w:t>
                  </w:r>
                </w:p>
              </w:tc>
              <w:tc>
                <w:tcPr>
                  <w:tcW w:w="376" w:type="pct"/>
                  <w:vAlign w:val="center"/>
                </w:tcPr>
                <w:p w14:paraId="3B0F69C4">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w:t>
                  </w:r>
                </w:p>
              </w:tc>
            </w:tr>
          </w:tbl>
          <w:p w14:paraId="31794059">
            <w:pPr>
              <w:autoSpaceDE w:val="0"/>
              <w:autoSpaceDN w:val="0"/>
              <w:adjustRightInd w:val="0"/>
              <w:snapToGrid w:val="0"/>
              <w:spacing w:line="360" w:lineRule="auto"/>
              <w:ind w:firstLine="200" w:firstLineChars="200"/>
              <w:rPr>
                <w:rFonts w:hint="default" w:ascii="Times New Roman" w:hAnsi="Times New Roman" w:cs="Times New Roman" w:eastAsiaTheme="minorEastAsia"/>
                <w:color w:val="FF0000"/>
                <w:kern w:val="0"/>
                <w:sz w:val="10"/>
                <w:szCs w:val="10"/>
                <w:highlight w:val="none"/>
              </w:rPr>
            </w:pPr>
          </w:p>
          <w:p w14:paraId="78965FB3">
            <w:pPr>
              <w:autoSpaceDE w:val="0"/>
              <w:autoSpaceDN w:val="0"/>
              <w:adjustRightInd w:val="0"/>
              <w:snapToGrid w:val="0"/>
              <w:spacing w:line="360" w:lineRule="auto"/>
              <w:ind w:firstLine="480" w:firstLineChars="200"/>
              <w:rPr>
                <w:rFonts w:hint="default" w:ascii="Times New Roman" w:hAnsi="Times New Roman" w:cs="Times New Roman" w:eastAsiaTheme="minorEastAsia"/>
                <w:color w:val="FF0000"/>
                <w:kern w:val="0"/>
                <w:sz w:val="24"/>
                <w:szCs w:val="24"/>
                <w:highlight w:val="none"/>
                <w:lang w:val="en-US" w:eastAsia="zh-CN"/>
              </w:rPr>
            </w:pPr>
          </w:p>
          <w:p w14:paraId="4339C8F9">
            <w:pPr>
              <w:autoSpaceDE w:val="0"/>
              <w:autoSpaceDN w:val="0"/>
              <w:adjustRightInd w:val="0"/>
              <w:snapToGrid w:val="0"/>
              <w:spacing w:line="360" w:lineRule="auto"/>
              <w:ind w:firstLine="480" w:firstLineChars="200"/>
              <w:rPr>
                <w:rFonts w:hint="default" w:ascii="Times New Roman" w:hAnsi="Times New Roman" w:cs="Times New Roman" w:eastAsiaTheme="minorEastAsia"/>
                <w:color w:val="FF0000"/>
                <w:kern w:val="0"/>
                <w:sz w:val="24"/>
                <w:szCs w:val="24"/>
                <w:highlight w:val="none"/>
                <w:lang w:val="en-US" w:eastAsia="zh-CN"/>
              </w:rPr>
            </w:pPr>
          </w:p>
          <w:p w14:paraId="4872323D">
            <w:pPr>
              <w:autoSpaceDE w:val="0"/>
              <w:autoSpaceDN w:val="0"/>
              <w:adjustRightInd w:val="0"/>
              <w:snapToGrid w:val="0"/>
              <w:spacing w:line="360" w:lineRule="auto"/>
              <w:ind w:firstLine="480" w:firstLineChars="200"/>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②与《</w:t>
            </w:r>
            <w:r>
              <w:rPr>
                <w:rFonts w:hint="eastAsia" w:ascii="Times New Roman" w:hAnsi="Times New Roman" w:cs="Times New Roman" w:eastAsiaTheme="minorEastAsia"/>
                <w:color w:val="auto"/>
                <w:kern w:val="0"/>
                <w:sz w:val="24"/>
                <w:szCs w:val="24"/>
                <w:highlight w:val="none"/>
                <w:lang w:val="en-US" w:eastAsia="zh-CN"/>
              </w:rPr>
              <w:t>常州市</w:t>
            </w:r>
            <w:r>
              <w:rPr>
                <w:rFonts w:hint="default" w:ascii="Times New Roman" w:hAnsi="Times New Roman" w:cs="Times New Roman" w:eastAsiaTheme="minorEastAsia"/>
                <w:color w:val="auto"/>
                <w:kern w:val="0"/>
                <w:sz w:val="24"/>
                <w:szCs w:val="24"/>
                <w:highlight w:val="none"/>
                <w:lang w:val="en-US" w:eastAsia="zh-CN"/>
              </w:rPr>
              <w:t>生态环境分区管控动态更新成果</w:t>
            </w:r>
            <w:r>
              <w:rPr>
                <w:rFonts w:hint="eastAsia" w:ascii="Times New Roman" w:hAnsi="Times New Roman" w:cs="Times New Roman" w:eastAsiaTheme="minorEastAsia"/>
                <w:color w:val="auto"/>
                <w:kern w:val="0"/>
                <w:sz w:val="24"/>
                <w:szCs w:val="24"/>
                <w:highlight w:val="none"/>
                <w:lang w:val="en-US" w:eastAsia="zh-CN"/>
              </w:rPr>
              <w:t>（2023年版）</w:t>
            </w:r>
            <w:r>
              <w:rPr>
                <w:rFonts w:hint="default" w:ascii="Times New Roman" w:hAnsi="Times New Roman" w:cs="Times New Roman" w:eastAsiaTheme="minorEastAsia"/>
                <w:color w:val="auto"/>
                <w:kern w:val="0"/>
                <w:sz w:val="24"/>
                <w:szCs w:val="24"/>
                <w:highlight w:val="none"/>
                <w:lang w:val="en-US" w:eastAsia="zh-CN"/>
              </w:rPr>
              <w:t>公告》相符性分析</w:t>
            </w:r>
          </w:p>
          <w:p w14:paraId="7ACFAB75">
            <w:pPr>
              <w:adjustRightInd w:val="0"/>
              <w:snapToGrid w:val="0"/>
              <w:spacing w:line="360" w:lineRule="auto"/>
              <w:jc w:val="center"/>
              <w:rPr>
                <w:b/>
                <w:color w:val="auto"/>
                <w:sz w:val="24"/>
                <w:szCs w:val="24"/>
              </w:rPr>
            </w:pPr>
            <w:r>
              <w:rPr>
                <w:b/>
                <w:color w:val="auto"/>
                <w:sz w:val="24"/>
                <w:szCs w:val="24"/>
              </w:rPr>
              <w:t>表1-</w:t>
            </w:r>
            <w:r>
              <w:rPr>
                <w:rFonts w:hint="eastAsia"/>
                <w:b/>
                <w:color w:val="auto"/>
                <w:sz w:val="24"/>
                <w:szCs w:val="24"/>
                <w:lang w:val="en-US" w:eastAsia="zh-CN"/>
              </w:rPr>
              <w:t>3</w:t>
            </w:r>
            <w:r>
              <w:rPr>
                <w:rFonts w:hint="eastAsia"/>
                <w:b/>
                <w:color w:val="auto"/>
                <w:sz w:val="24"/>
                <w:szCs w:val="24"/>
              </w:rPr>
              <w:t>与</w:t>
            </w:r>
            <w:r>
              <w:rPr>
                <w:rFonts w:hint="default"/>
                <w:b/>
                <w:color w:val="auto"/>
                <w:sz w:val="24"/>
                <w:szCs w:val="24"/>
              </w:rPr>
              <w:t>《</w:t>
            </w:r>
            <w:r>
              <w:rPr>
                <w:rFonts w:hint="eastAsia"/>
                <w:b/>
                <w:color w:val="auto"/>
                <w:sz w:val="24"/>
                <w:szCs w:val="24"/>
                <w:lang w:val="en-US" w:eastAsia="zh-CN"/>
              </w:rPr>
              <w:t>常州市</w:t>
            </w:r>
            <w:r>
              <w:rPr>
                <w:rFonts w:hint="default"/>
                <w:b/>
                <w:color w:val="auto"/>
                <w:sz w:val="24"/>
                <w:szCs w:val="24"/>
              </w:rPr>
              <w:t>生态环境分区管控动态更新成果</w:t>
            </w:r>
            <w:r>
              <w:rPr>
                <w:rFonts w:hint="eastAsia"/>
                <w:b/>
                <w:color w:val="auto"/>
                <w:sz w:val="24"/>
                <w:szCs w:val="24"/>
                <w:lang w:eastAsia="zh-CN"/>
              </w:rPr>
              <w:t>（</w:t>
            </w:r>
            <w:r>
              <w:rPr>
                <w:rFonts w:hint="eastAsia"/>
                <w:b/>
                <w:color w:val="auto"/>
                <w:sz w:val="24"/>
                <w:szCs w:val="24"/>
                <w:lang w:val="en-US" w:eastAsia="zh-CN"/>
              </w:rPr>
              <w:t>2023年版</w:t>
            </w:r>
            <w:r>
              <w:rPr>
                <w:rFonts w:hint="eastAsia"/>
                <w:b/>
                <w:color w:val="auto"/>
                <w:sz w:val="24"/>
                <w:szCs w:val="24"/>
                <w:lang w:eastAsia="zh-CN"/>
              </w:rPr>
              <w:t>）</w:t>
            </w:r>
            <w:r>
              <w:rPr>
                <w:rFonts w:hint="default"/>
                <w:b/>
                <w:color w:val="auto"/>
                <w:sz w:val="24"/>
                <w:szCs w:val="24"/>
              </w:rPr>
              <w:t>公告》</w:t>
            </w:r>
            <w:r>
              <w:rPr>
                <w:rFonts w:hint="eastAsia"/>
                <w:b/>
                <w:color w:val="auto"/>
                <w:sz w:val="24"/>
                <w:szCs w:val="24"/>
              </w:rPr>
              <w:t>相符性分析</w:t>
            </w:r>
            <w:r>
              <w:rPr>
                <w:b/>
                <w:color w:val="auto"/>
                <w:sz w:val="24"/>
                <w:szCs w:val="24"/>
              </w:rPr>
              <w:t>一览表</w:t>
            </w:r>
          </w:p>
          <w:tbl>
            <w:tblPr>
              <w:tblStyle w:val="36"/>
              <w:tblW w:w="76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9"/>
              <w:gridCol w:w="688"/>
              <w:gridCol w:w="3890"/>
              <w:gridCol w:w="1836"/>
              <w:gridCol w:w="564"/>
            </w:tblGrid>
            <w:tr w14:paraId="7905F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31" w:type="pct"/>
                  <w:vAlign w:val="center"/>
                </w:tcPr>
                <w:p w14:paraId="379639B4">
                  <w:pPr>
                    <w:autoSpaceDE w:val="0"/>
                    <w:autoSpaceDN w:val="0"/>
                    <w:adjustRightInd w:val="0"/>
                    <w:snapToGrid w:val="0"/>
                    <w:jc w:val="center"/>
                    <w:rPr>
                      <w:b/>
                      <w:bCs/>
                      <w:color w:val="auto"/>
                      <w:kern w:val="0"/>
                      <w:szCs w:val="21"/>
                    </w:rPr>
                  </w:pPr>
                  <w:r>
                    <w:rPr>
                      <w:b/>
                      <w:bCs/>
                      <w:color w:val="auto"/>
                      <w:kern w:val="0"/>
                      <w:szCs w:val="21"/>
                    </w:rPr>
                    <w:t>环境管控单元名称</w:t>
                  </w:r>
                </w:p>
              </w:tc>
              <w:tc>
                <w:tcPr>
                  <w:tcW w:w="450" w:type="pct"/>
                  <w:vAlign w:val="center"/>
                </w:tcPr>
                <w:p w14:paraId="703EF3D5">
                  <w:pPr>
                    <w:autoSpaceDE w:val="0"/>
                    <w:autoSpaceDN w:val="0"/>
                    <w:adjustRightInd w:val="0"/>
                    <w:snapToGrid w:val="0"/>
                    <w:jc w:val="center"/>
                    <w:rPr>
                      <w:b/>
                      <w:bCs/>
                      <w:color w:val="auto"/>
                      <w:kern w:val="0"/>
                      <w:szCs w:val="21"/>
                    </w:rPr>
                  </w:pPr>
                  <w:r>
                    <w:rPr>
                      <w:b/>
                      <w:bCs/>
                      <w:color w:val="auto"/>
                      <w:kern w:val="0"/>
                      <w:szCs w:val="21"/>
                    </w:rPr>
                    <w:t>判断类型</w:t>
                  </w:r>
                </w:p>
              </w:tc>
              <w:tc>
                <w:tcPr>
                  <w:tcW w:w="2546" w:type="pct"/>
                  <w:vAlign w:val="center"/>
                </w:tcPr>
                <w:p w14:paraId="49B2887B">
                  <w:pPr>
                    <w:autoSpaceDE w:val="0"/>
                    <w:autoSpaceDN w:val="0"/>
                    <w:adjustRightInd w:val="0"/>
                    <w:snapToGrid w:val="0"/>
                    <w:jc w:val="center"/>
                    <w:rPr>
                      <w:rFonts w:hint="default" w:eastAsia="宋体"/>
                      <w:b/>
                      <w:bCs/>
                      <w:color w:val="auto"/>
                      <w:kern w:val="0"/>
                      <w:szCs w:val="21"/>
                      <w:lang w:val="en-US" w:eastAsia="zh-CN"/>
                    </w:rPr>
                  </w:pPr>
                  <w:r>
                    <w:rPr>
                      <w:rFonts w:hint="eastAsia"/>
                      <w:b/>
                      <w:bCs/>
                      <w:color w:val="auto"/>
                      <w:kern w:val="0"/>
                      <w:szCs w:val="21"/>
                      <w:lang w:val="en-US" w:eastAsia="zh-CN"/>
                    </w:rPr>
                    <w:t>生态环境准入清单</w:t>
                  </w:r>
                </w:p>
              </w:tc>
              <w:tc>
                <w:tcPr>
                  <w:tcW w:w="1202" w:type="pct"/>
                  <w:vAlign w:val="center"/>
                </w:tcPr>
                <w:p w14:paraId="47676221">
                  <w:pPr>
                    <w:autoSpaceDE w:val="0"/>
                    <w:autoSpaceDN w:val="0"/>
                    <w:adjustRightInd w:val="0"/>
                    <w:snapToGrid w:val="0"/>
                    <w:jc w:val="center"/>
                    <w:rPr>
                      <w:rFonts w:hint="default"/>
                      <w:b/>
                      <w:bCs/>
                      <w:color w:val="auto"/>
                      <w:kern w:val="0"/>
                      <w:szCs w:val="21"/>
                      <w:lang w:val="en-US" w:eastAsia="zh-CN"/>
                    </w:rPr>
                  </w:pPr>
                  <w:r>
                    <w:rPr>
                      <w:rFonts w:hint="eastAsia"/>
                      <w:b/>
                      <w:bCs/>
                      <w:color w:val="auto"/>
                      <w:kern w:val="0"/>
                      <w:szCs w:val="21"/>
                      <w:lang w:val="en-US" w:eastAsia="zh-CN"/>
                    </w:rPr>
                    <w:t>对照分析</w:t>
                  </w:r>
                </w:p>
              </w:tc>
              <w:tc>
                <w:tcPr>
                  <w:tcW w:w="369" w:type="pct"/>
                  <w:vAlign w:val="center"/>
                </w:tcPr>
                <w:p w14:paraId="1761036C">
                  <w:pPr>
                    <w:autoSpaceDE w:val="0"/>
                    <w:autoSpaceDN w:val="0"/>
                    <w:adjustRightInd w:val="0"/>
                    <w:snapToGrid w:val="0"/>
                    <w:jc w:val="center"/>
                    <w:rPr>
                      <w:b/>
                      <w:bCs/>
                      <w:color w:val="auto"/>
                      <w:kern w:val="0"/>
                      <w:szCs w:val="21"/>
                    </w:rPr>
                  </w:pPr>
                  <w:r>
                    <w:rPr>
                      <w:b/>
                      <w:bCs/>
                      <w:color w:val="auto"/>
                      <w:kern w:val="0"/>
                      <w:szCs w:val="21"/>
                    </w:rPr>
                    <w:t>是否满足</w:t>
                  </w:r>
                </w:p>
              </w:tc>
            </w:tr>
            <w:tr w14:paraId="47087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1" w:type="pct"/>
                  <w:vMerge w:val="restart"/>
                  <w:vAlign w:val="center"/>
                </w:tcPr>
                <w:p w14:paraId="1DE5EEAA">
                  <w:pPr>
                    <w:autoSpaceDE w:val="0"/>
                    <w:autoSpaceDN w:val="0"/>
                    <w:adjustRightInd w:val="0"/>
                    <w:snapToGrid w:val="0"/>
                    <w:jc w:val="center"/>
                    <w:rPr>
                      <w:rFonts w:hint="eastAsia" w:ascii="Times New Roman" w:hAnsi="Times New Roman" w:eastAsia="宋体" w:cs="Times New Roman"/>
                      <w:bCs/>
                      <w:color w:val="auto"/>
                      <w:szCs w:val="21"/>
                    </w:rPr>
                  </w:pPr>
                  <w:r>
                    <w:rPr>
                      <w:rFonts w:hint="default" w:ascii="Times New Roman" w:hAnsi="Times New Roman" w:cs="Times New Roman"/>
                      <w:color w:val="auto"/>
                      <w:kern w:val="0"/>
                      <w:sz w:val="21"/>
                      <w:szCs w:val="21"/>
                    </w:rPr>
                    <w:t>江苏常州滨江经济开发区</w:t>
                  </w:r>
                </w:p>
              </w:tc>
              <w:tc>
                <w:tcPr>
                  <w:tcW w:w="450" w:type="pct"/>
                  <w:shd w:val="clear" w:color="auto" w:fill="auto"/>
                  <w:vAlign w:val="center"/>
                </w:tcPr>
                <w:p w14:paraId="4B915698">
                  <w:pPr>
                    <w:autoSpaceDE w:val="0"/>
                    <w:autoSpaceDN w:val="0"/>
                    <w:adjustRightInd w:val="0"/>
                    <w:snapToGrid w:val="0"/>
                    <w:jc w:val="center"/>
                    <w:rPr>
                      <w:rFonts w:hint="eastAsia"/>
                      <w:color w:val="auto"/>
                      <w:kern w:val="0"/>
                      <w:szCs w:val="21"/>
                      <w:lang w:val="en-US" w:eastAsia="zh-CN"/>
                    </w:rPr>
                  </w:pPr>
                  <w:r>
                    <w:rPr>
                      <w:rFonts w:hint="default" w:ascii="Times New Roman" w:hAnsi="Times New Roman" w:cs="Times New Roman"/>
                      <w:color w:val="auto"/>
                      <w:kern w:val="0"/>
                      <w:szCs w:val="21"/>
                    </w:rPr>
                    <w:t>空间布局约束</w:t>
                  </w:r>
                </w:p>
              </w:tc>
              <w:tc>
                <w:tcPr>
                  <w:tcW w:w="2546" w:type="pct"/>
                  <w:shd w:val="clear" w:color="auto" w:fill="auto"/>
                  <w:vAlign w:val="center"/>
                </w:tcPr>
                <w:p w14:paraId="6406E488">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eastAsia="宋体" w:cs="Times New Roman"/>
                      <w:color w:val="auto"/>
                      <w:kern w:val="0"/>
                      <w:sz w:val="21"/>
                      <w:szCs w:val="21"/>
                    </w:rPr>
                    <w:t>（1）禁止引进的项目：工艺落后、设备陈旧及污染严重的项目，录安洲内不得建化工仓储项目。</w:t>
                  </w:r>
                </w:p>
                <w:p w14:paraId="78E036D2">
                  <w:pPr>
                    <w:autoSpaceDE w:val="0"/>
                    <w:autoSpaceDN w:val="0"/>
                    <w:adjustRightInd w:val="0"/>
                    <w:snapToGrid w:val="0"/>
                    <w:jc w:val="center"/>
                    <w:rPr>
                      <w:rFonts w:hint="eastAsia" w:eastAsia="宋体"/>
                      <w:color w:val="auto"/>
                      <w:kern w:val="0"/>
                      <w:szCs w:val="21"/>
                      <w:lang w:val="en-US" w:eastAsia="zh-CN"/>
                    </w:rPr>
                  </w:pPr>
                  <w:r>
                    <w:rPr>
                      <w:rFonts w:hint="default" w:ascii="Times New Roman" w:hAnsi="Times New Roman" w:cs="Times New Roman"/>
                      <w:color w:val="auto"/>
                      <w:kern w:val="0"/>
                      <w:sz w:val="21"/>
                      <w:szCs w:val="21"/>
                    </w:rPr>
                    <w:t>（2）限制引进的项目：废水含难降解的有机物、</w:t>
                  </w:r>
                  <w:r>
                    <w:rPr>
                      <w:rFonts w:hint="eastAsia" w:cs="Times New Roman"/>
                      <w:color w:val="auto"/>
                      <w:kern w:val="0"/>
                      <w:sz w:val="21"/>
                      <w:szCs w:val="21"/>
                      <w:lang w:eastAsia="zh-CN"/>
                    </w:rPr>
                    <w:t>“</w:t>
                  </w:r>
                  <w:r>
                    <w:rPr>
                      <w:rFonts w:hint="default" w:ascii="Times New Roman" w:hAnsi="Times New Roman" w:cs="Times New Roman"/>
                      <w:color w:val="auto"/>
                      <w:kern w:val="0"/>
                      <w:sz w:val="21"/>
                      <w:szCs w:val="21"/>
                    </w:rPr>
                    <w:t>三致</w:t>
                  </w:r>
                  <w:r>
                    <w:rPr>
                      <w:rFonts w:hint="eastAsia" w:cs="Times New Roman"/>
                      <w:color w:val="auto"/>
                      <w:kern w:val="0"/>
                      <w:sz w:val="21"/>
                      <w:szCs w:val="21"/>
                      <w:lang w:eastAsia="zh-CN"/>
                    </w:rPr>
                    <w:t>”</w:t>
                  </w:r>
                  <w:r>
                    <w:rPr>
                      <w:rFonts w:hint="default" w:ascii="Times New Roman" w:hAnsi="Times New Roman" w:cs="Times New Roman"/>
                      <w:color w:val="auto"/>
                      <w:kern w:val="0"/>
                      <w:sz w:val="21"/>
                      <w:szCs w:val="21"/>
                    </w:rPr>
                    <w:t>污染物、重金属等物质以及盐分含量高的项目；废水经预处理达不到本开发区污水处理厂接管标准的项目；高水耗、高物耗、高能耗的项目；工艺废气中含难处理的、有毒有害物质的项目；采用落后装卸工艺和装卸设备、无可靠的物料泄漏自动监控装置的液体化工品仓储项目；使用甲醛、丙烯腈等高毒、</w:t>
                  </w:r>
                  <w:r>
                    <w:rPr>
                      <w:rFonts w:hint="eastAsia" w:cs="Times New Roman"/>
                      <w:color w:val="auto"/>
                      <w:kern w:val="0"/>
                      <w:sz w:val="21"/>
                      <w:szCs w:val="21"/>
                      <w:lang w:eastAsia="zh-CN"/>
                    </w:rPr>
                    <w:t>“</w:t>
                  </w:r>
                  <w:r>
                    <w:rPr>
                      <w:rFonts w:hint="default" w:ascii="Times New Roman" w:hAnsi="Times New Roman" w:cs="Times New Roman"/>
                      <w:color w:val="auto"/>
                      <w:kern w:val="0"/>
                      <w:sz w:val="21"/>
                      <w:szCs w:val="21"/>
                    </w:rPr>
                    <w:t>三致</w:t>
                  </w:r>
                  <w:r>
                    <w:rPr>
                      <w:rFonts w:hint="eastAsia" w:cs="Times New Roman"/>
                      <w:color w:val="auto"/>
                      <w:kern w:val="0"/>
                      <w:sz w:val="21"/>
                      <w:szCs w:val="21"/>
                      <w:lang w:eastAsia="zh-CN"/>
                    </w:rPr>
                    <w:t>”</w:t>
                  </w:r>
                  <w:r>
                    <w:rPr>
                      <w:rFonts w:hint="default" w:ascii="Times New Roman" w:hAnsi="Times New Roman" w:cs="Times New Roman"/>
                      <w:color w:val="auto"/>
                      <w:kern w:val="0"/>
                      <w:sz w:val="21"/>
                      <w:szCs w:val="21"/>
                    </w:rPr>
                    <w:t>物质为主要生产原料，又无可靠有效的污染控制措施的项目；蒸汽用量大（单位用地面积蒸汽用量大于4t/h.ha）且又不能实行集中供热、需自建锅炉的项目；不符合国家相关产业政策、达不到规模经济的项目。</w:t>
                  </w:r>
                </w:p>
              </w:tc>
              <w:tc>
                <w:tcPr>
                  <w:tcW w:w="1202" w:type="pct"/>
                  <w:shd w:val="clear" w:color="auto" w:fill="auto"/>
                  <w:vAlign w:val="center"/>
                </w:tcPr>
                <w:p w14:paraId="40683E09">
                  <w:pPr>
                    <w:autoSpaceDE w:val="0"/>
                    <w:autoSpaceDN w:val="0"/>
                    <w:adjustRightInd w:val="0"/>
                    <w:snapToGrid w:val="0"/>
                    <w:jc w:val="center"/>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bCs/>
                      <w:color w:val="auto"/>
                      <w:szCs w:val="21"/>
                      <w:lang w:val="en-US" w:eastAsia="zh-CN"/>
                    </w:rPr>
                    <w:t>本项目</w:t>
                  </w:r>
                  <w:r>
                    <w:rPr>
                      <w:rFonts w:hint="eastAsia" w:ascii="Times New Roman" w:hAnsi="Times New Roman" w:eastAsia="宋体" w:cs="Times New Roman"/>
                      <w:bCs/>
                      <w:color w:val="auto"/>
                      <w:szCs w:val="21"/>
                      <w:lang w:val="en-US" w:eastAsia="zh-CN"/>
                    </w:rPr>
                    <w:t>位于</w:t>
                  </w:r>
                  <w:r>
                    <w:rPr>
                      <w:rFonts w:hint="default" w:ascii="Times New Roman" w:hAnsi="Times New Roman" w:eastAsia="宋体" w:cs="Times New Roman"/>
                      <w:bCs/>
                      <w:color w:val="auto"/>
                      <w:szCs w:val="21"/>
                    </w:rPr>
                    <w:t>江苏省</w:t>
                  </w:r>
                  <w:r>
                    <w:rPr>
                      <w:rFonts w:hint="eastAsia" w:ascii="Times New Roman" w:hAnsi="Times New Roman" w:eastAsia="宋体" w:cs="Times New Roman"/>
                      <w:bCs/>
                      <w:color w:val="auto"/>
                      <w:szCs w:val="21"/>
                      <w:lang w:eastAsia="zh-CN"/>
                    </w:rPr>
                    <w:t>常州市新北区滨江经济开发区赣江路318号</w:t>
                  </w:r>
                  <w:r>
                    <w:rPr>
                      <w:rFonts w:hint="default" w:ascii="Times New Roman" w:hAnsi="Times New Roman" w:eastAsia="宋体" w:cs="Times New Roman"/>
                      <w:bCs/>
                      <w:color w:val="auto"/>
                      <w:szCs w:val="21"/>
                      <w:lang w:eastAsia="zh-CN"/>
                    </w:rPr>
                    <w:t>，</w:t>
                  </w:r>
                  <w:r>
                    <w:rPr>
                      <w:rFonts w:hint="eastAsia" w:ascii="Times New Roman" w:hAnsi="Times New Roman" w:eastAsia="宋体" w:cs="Times New Roman"/>
                      <w:bCs/>
                      <w:color w:val="auto"/>
                      <w:szCs w:val="21"/>
                      <w:lang w:eastAsia="zh-CN"/>
                    </w:rPr>
                    <w:t>从事高端医用设备的生产</w:t>
                  </w:r>
                  <w:r>
                    <w:rPr>
                      <w:rFonts w:hint="default" w:ascii="Times New Roman" w:hAnsi="Times New Roman" w:eastAsia="宋体" w:cs="Times New Roman"/>
                      <w:bCs/>
                      <w:color w:val="auto"/>
                      <w:szCs w:val="21"/>
                      <w:lang w:val="en-US" w:eastAsia="zh-CN"/>
                    </w:rPr>
                    <w:t>，不属于</w:t>
                  </w:r>
                  <w:r>
                    <w:rPr>
                      <w:rFonts w:hint="default" w:ascii="Times New Roman" w:hAnsi="Times New Roman" w:eastAsia="宋体" w:cs="Times New Roman"/>
                      <w:bCs/>
                      <w:color w:val="auto"/>
                      <w:szCs w:val="21"/>
                    </w:rPr>
                    <w:t>工艺落后、设备陈旧及污染严重的项目</w:t>
                  </w:r>
                  <w:r>
                    <w:rPr>
                      <w:rFonts w:hint="default" w:ascii="Times New Roman" w:hAnsi="Times New Roman" w:eastAsia="宋体" w:cs="Times New Roman"/>
                      <w:bCs/>
                      <w:color w:val="auto"/>
                      <w:szCs w:val="21"/>
                      <w:lang w:eastAsia="zh-CN"/>
                    </w:rPr>
                    <w:t>，不在录安洲范围内，不属于</w:t>
                  </w:r>
                  <w:r>
                    <w:rPr>
                      <w:rFonts w:hint="eastAsia" w:ascii="Times New Roman" w:hAnsi="Times New Roman" w:eastAsia="宋体" w:cs="Times New Roman"/>
                      <w:bCs/>
                      <w:color w:val="auto"/>
                      <w:szCs w:val="21"/>
                      <w:lang w:val="en-US" w:eastAsia="zh-CN"/>
                    </w:rPr>
                    <w:t>禁止引进和</w:t>
                  </w:r>
                  <w:r>
                    <w:rPr>
                      <w:rFonts w:hint="default" w:ascii="Times New Roman" w:hAnsi="Times New Roman" w:eastAsia="宋体" w:cs="Times New Roman"/>
                      <w:bCs/>
                      <w:color w:val="auto"/>
                      <w:szCs w:val="21"/>
                      <w:lang w:eastAsia="zh-CN"/>
                    </w:rPr>
                    <w:t>限制引进的项目。</w:t>
                  </w:r>
                </w:p>
              </w:tc>
              <w:tc>
                <w:tcPr>
                  <w:tcW w:w="369" w:type="pct"/>
                  <w:vAlign w:val="center"/>
                </w:tcPr>
                <w:p w14:paraId="2FAD055F">
                  <w:pPr>
                    <w:autoSpaceDE w:val="0"/>
                    <w:autoSpaceDN w:val="0"/>
                    <w:adjustRightInd w:val="0"/>
                    <w:snapToGrid w:val="0"/>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是</w:t>
                  </w:r>
                </w:p>
              </w:tc>
            </w:tr>
            <w:tr w14:paraId="146F4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1" w:type="pct"/>
                  <w:vMerge w:val="continue"/>
                  <w:vAlign w:val="center"/>
                </w:tcPr>
                <w:p w14:paraId="203701DE">
                  <w:pPr>
                    <w:autoSpaceDE w:val="0"/>
                    <w:autoSpaceDN w:val="0"/>
                    <w:adjustRightInd w:val="0"/>
                    <w:snapToGrid w:val="0"/>
                    <w:jc w:val="center"/>
                    <w:rPr>
                      <w:rFonts w:hint="eastAsia" w:ascii="Times New Roman" w:hAnsi="Times New Roman" w:eastAsia="宋体" w:cs="Times New Roman"/>
                      <w:bCs/>
                      <w:color w:val="auto"/>
                      <w:szCs w:val="21"/>
                    </w:rPr>
                  </w:pPr>
                </w:p>
              </w:tc>
              <w:tc>
                <w:tcPr>
                  <w:tcW w:w="450" w:type="pct"/>
                  <w:shd w:val="clear" w:color="auto" w:fill="auto"/>
                  <w:vAlign w:val="center"/>
                </w:tcPr>
                <w:p w14:paraId="62543DB0">
                  <w:pPr>
                    <w:autoSpaceDE w:val="0"/>
                    <w:autoSpaceDN w:val="0"/>
                    <w:adjustRightInd w:val="0"/>
                    <w:snapToGrid w:val="0"/>
                    <w:jc w:val="center"/>
                    <w:rPr>
                      <w:rFonts w:hint="eastAsia" w:ascii="Times New Roman" w:hAnsi="Times New Roman" w:eastAsia="宋体" w:cs="Times New Roman"/>
                      <w:bCs/>
                      <w:color w:val="auto"/>
                      <w:szCs w:val="21"/>
                      <w:lang w:val="en-US" w:eastAsia="zh-CN"/>
                    </w:rPr>
                  </w:pPr>
                  <w:r>
                    <w:rPr>
                      <w:rFonts w:hint="default" w:ascii="Times New Roman" w:hAnsi="Times New Roman" w:cs="Times New Roman"/>
                      <w:color w:val="auto"/>
                      <w:kern w:val="0"/>
                      <w:szCs w:val="21"/>
                    </w:rPr>
                    <w:t>污染物排放管控</w:t>
                  </w:r>
                </w:p>
              </w:tc>
              <w:tc>
                <w:tcPr>
                  <w:tcW w:w="2546" w:type="pct"/>
                  <w:shd w:val="clear" w:color="auto" w:fill="auto"/>
                  <w:vAlign w:val="center"/>
                </w:tcPr>
                <w:p w14:paraId="3CBE369F">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（1）严格实施污染物总量控制制度，根据区域环境质量改善目标，采取有效措施减少主要污染物排放总量，确保区域环境质量持续改善。</w:t>
                  </w:r>
                </w:p>
                <w:p w14:paraId="2D222F4D">
                  <w:pPr>
                    <w:autoSpaceDE w:val="0"/>
                    <w:autoSpaceDN w:val="0"/>
                    <w:adjustRightInd w:val="0"/>
                    <w:snapToGrid w:val="0"/>
                    <w:jc w:val="center"/>
                    <w:rPr>
                      <w:rFonts w:hint="eastAsia" w:eastAsia="宋体"/>
                      <w:color w:val="auto"/>
                      <w:kern w:val="0"/>
                      <w:szCs w:val="21"/>
                      <w:lang w:val="en-US" w:eastAsia="zh-CN"/>
                    </w:rPr>
                  </w:pPr>
                  <w:r>
                    <w:rPr>
                      <w:rFonts w:hint="default" w:ascii="Times New Roman" w:hAnsi="Times New Roman" w:cs="Times New Roman"/>
                      <w:color w:val="auto"/>
                      <w:kern w:val="0"/>
                      <w:szCs w:val="21"/>
                    </w:rPr>
                    <w:t>（2）园区污染物排放总量不得突破环评报告及批复的总量。</w:t>
                  </w:r>
                </w:p>
              </w:tc>
              <w:tc>
                <w:tcPr>
                  <w:tcW w:w="1202" w:type="pct"/>
                  <w:shd w:val="clear" w:color="auto" w:fill="auto"/>
                  <w:vAlign w:val="center"/>
                </w:tcPr>
                <w:p w14:paraId="76864D02">
                  <w:pPr>
                    <w:autoSpaceDE w:val="0"/>
                    <w:autoSpaceDN w:val="0"/>
                    <w:adjustRightInd w:val="0"/>
                    <w:snapToGrid w:val="0"/>
                    <w:jc w:val="center"/>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color w:val="auto"/>
                      <w:kern w:val="0"/>
                      <w:szCs w:val="21"/>
                    </w:rPr>
                    <w:t>本项目</w:t>
                  </w:r>
                  <w:r>
                    <w:rPr>
                      <w:rFonts w:hint="eastAsia" w:ascii="Times New Roman" w:hAnsi="Times New Roman" w:eastAsia="宋体" w:cs="Times New Roman"/>
                      <w:color w:val="auto"/>
                      <w:kern w:val="0"/>
                      <w:szCs w:val="21"/>
                      <w:lang w:val="en-US" w:eastAsia="zh-CN"/>
                    </w:rPr>
                    <w:t>废气均经收集处理后排放</w:t>
                  </w:r>
                  <w:r>
                    <w:rPr>
                      <w:rFonts w:hint="eastAsia" w:cs="Times New Roman"/>
                      <w:color w:val="auto"/>
                      <w:kern w:val="0"/>
                      <w:szCs w:val="21"/>
                      <w:lang w:eastAsia="zh-CN"/>
                    </w:rPr>
                    <w:t>，</w:t>
                  </w:r>
                  <w:r>
                    <w:rPr>
                      <w:rFonts w:hint="default" w:ascii="Times New Roman" w:hAnsi="Times New Roman" w:cs="Times New Roman"/>
                      <w:color w:val="auto"/>
                      <w:sz w:val="21"/>
                      <w:szCs w:val="21"/>
                      <w:highlight w:val="none"/>
                      <w:lang w:eastAsia="zh-CN"/>
                    </w:rPr>
                    <w:t>新增员工生活污水依托园区现有化粪池预处理后接管排入</w:t>
                  </w:r>
                  <w:r>
                    <w:rPr>
                      <w:rFonts w:hint="eastAsia" w:cs="Times New Roman"/>
                      <w:color w:val="auto"/>
                      <w:sz w:val="21"/>
                      <w:szCs w:val="21"/>
                      <w:highlight w:val="none"/>
                      <w:lang w:eastAsia="zh-CN"/>
                    </w:rPr>
                    <w:t>常州市江边污水处理厂</w:t>
                  </w:r>
                  <w:r>
                    <w:rPr>
                      <w:rFonts w:hint="default" w:ascii="Times New Roman" w:hAnsi="Times New Roman" w:cs="Times New Roman"/>
                      <w:color w:val="auto"/>
                      <w:sz w:val="21"/>
                      <w:szCs w:val="21"/>
                      <w:highlight w:val="none"/>
                    </w:rPr>
                    <w:t>集中处理</w:t>
                  </w:r>
                  <w:r>
                    <w:rPr>
                      <w:rFonts w:hint="eastAsia" w:ascii="Times New Roman" w:hAnsi="Times New Roman" w:cs="Times New Roman"/>
                      <w:color w:val="auto"/>
                      <w:sz w:val="21"/>
                      <w:szCs w:val="21"/>
                      <w:highlight w:val="none"/>
                      <w:lang w:val="en-US" w:eastAsia="zh-CN"/>
                    </w:rPr>
                    <w:t>，</w:t>
                  </w:r>
                  <w:r>
                    <w:rPr>
                      <w:rFonts w:hint="eastAsia" w:cs="Times New Roman"/>
                      <w:color w:val="auto"/>
                      <w:kern w:val="0"/>
                      <w:szCs w:val="21"/>
                      <w:lang w:eastAsia="zh-CN"/>
                    </w:rPr>
                    <w:t>危废委托有资质单位处置</w:t>
                  </w:r>
                  <w:r>
                    <w:rPr>
                      <w:rFonts w:hint="default" w:ascii="Times New Roman" w:hAnsi="Times New Roman" w:eastAsia="宋体" w:cs="Times New Roman"/>
                      <w:color w:val="auto"/>
                      <w:kern w:val="0"/>
                      <w:szCs w:val="21"/>
                    </w:rPr>
                    <w:t>。园区污染物排放总量不会突破环评报告及批复的总量。</w:t>
                  </w:r>
                </w:p>
              </w:tc>
              <w:tc>
                <w:tcPr>
                  <w:tcW w:w="369" w:type="pct"/>
                  <w:vAlign w:val="center"/>
                </w:tcPr>
                <w:p w14:paraId="00B37A41">
                  <w:pPr>
                    <w:autoSpaceDE w:val="0"/>
                    <w:autoSpaceDN w:val="0"/>
                    <w:adjustRightInd w:val="0"/>
                    <w:snapToGrid w:val="0"/>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是</w:t>
                  </w:r>
                </w:p>
              </w:tc>
            </w:tr>
            <w:tr w14:paraId="368AD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1" w:type="pct"/>
                  <w:vMerge w:val="continue"/>
                  <w:vAlign w:val="center"/>
                </w:tcPr>
                <w:p w14:paraId="5F37C922">
                  <w:pPr>
                    <w:autoSpaceDE w:val="0"/>
                    <w:autoSpaceDN w:val="0"/>
                    <w:adjustRightInd w:val="0"/>
                    <w:snapToGrid w:val="0"/>
                    <w:jc w:val="both"/>
                    <w:rPr>
                      <w:rFonts w:hint="eastAsia" w:ascii="Times New Roman" w:hAnsi="Times New Roman" w:eastAsia="宋体" w:cs="Times New Roman"/>
                      <w:bCs/>
                      <w:color w:val="auto"/>
                      <w:szCs w:val="21"/>
                    </w:rPr>
                  </w:pPr>
                </w:p>
              </w:tc>
              <w:tc>
                <w:tcPr>
                  <w:tcW w:w="450" w:type="pct"/>
                  <w:shd w:val="clear" w:color="auto" w:fill="auto"/>
                  <w:vAlign w:val="center"/>
                </w:tcPr>
                <w:p w14:paraId="32063100">
                  <w:pPr>
                    <w:autoSpaceDE w:val="0"/>
                    <w:autoSpaceDN w:val="0"/>
                    <w:adjustRightInd w:val="0"/>
                    <w:snapToGrid w:val="0"/>
                    <w:jc w:val="center"/>
                    <w:rPr>
                      <w:rFonts w:hint="eastAsia" w:ascii="Times New Roman" w:hAnsi="Times New Roman" w:eastAsia="宋体" w:cs="Times New Roman"/>
                      <w:bCs/>
                      <w:color w:val="auto"/>
                      <w:szCs w:val="21"/>
                      <w:lang w:val="en-US" w:eastAsia="zh-CN"/>
                    </w:rPr>
                  </w:pPr>
                  <w:r>
                    <w:rPr>
                      <w:rFonts w:hint="default" w:ascii="Times New Roman" w:hAnsi="Times New Roman" w:cs="Times New Roman"/>
                      <w:color w:val="auto"/>
                      <w:kern w:val="0"/>
                      <w:szCs w:val="21"/>
                    </w:rPr>
                    <w:t>环境风险防控</w:t>
                  </w:r>
                </w:p>
              </w:tc>
              <w:tc>
                <w:tcPr>
                  <w:tcW w:w="2546" w:type="pct"/>
                  <w:shd w:val="clear" w:color="auto" w:fill="auto"/>
                  <w:vAlign w:val="center"/>
                </w:tcPr>
                <w:p w14:paraId="34B56F5D">
                  <w:pPr>
                    <w:autoSpaceDE w:val="0"/>
                    <w:autoSpaceDN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（1）园区建立环境应急体系，完善事故应急救援体系，加强应急物资装备储备，编制突发环境事件应急预案，定期开展演练。</w:t>
                  </w:r>
                </w:p>
                <w:p w14:paraId="1CB7F474">
                  <w:pPr>
                    <w:autoSpaceDE w:val="0"/>
                    <w:autoSpaceDN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（2）生产、使用、储存危险化学品或其他存在环境风险的企事业单位，应当制定风险防范措施，编制完善突发环境事件应急预案，防止发生环境污染事故。</w:t>
                  </w:r>
                </w:p>
                <w:p w14:paraId="77526204">
                  <w:pPr>
                    <w:autoSpaceDE w:val="0"/>
                    <w:autoSpaceDN w:val="0"/>
                    <w:adjustRightInd w:val="0"/>
                    <w:snapToGrid w:val="0"/>
                    <w:jc w:val="center"/>
                    <w:rPr>
                      <w:rFonts w:hint="eastAsia" w:eastAsia="宋体"/>
                      <w:color w:val="auto"/>
                      <w:kern w:val="0"/>
                      <w:szCs w:val="21"/>
                      <w:lang w:val="en-US" w:eastAsia="zh-CN"/>
                    </w:rPr>
                  </w:pPr>
                  <w:r>
                    <w:rPr>
                      <w:rFonts w:hint="default" w:ascii="Times New Roman" w:hAnsi="Times New Roman" w:cs="Times New Roman"/>
                      <w:color w:val="auto"/>
                      <w:kern w:val="0"/>
                      <w:sz w:val="21"/>
                      <w:szCs w:val="21"/>
                    </w:rPr>
                    <w:t>（3）加强环境影响跟踪监测，建立健全各环境要素监控体系，完善并落实园区日常环境监测与污染源监控计划。</w:t>
                  </w:r>
                </w:p>
              </w:tc>
              <w:tc>
                <w:tcPr>
                  <w:tcW w:w="1202" w:type="pct"/>
                  <w:shd w:val="clear" w:color="auto" w:fill="auto"/>
                  <w:vAlign w:val="center"/>
                </w:tcPr>
                <w:p w14:paraId="32A2B4EF">
                  <w:pPr>
                    <w:autoSpaceDE w:val="0"/>
                    <w:autoSpaceDN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bCs/>
                      <w:color w:val="auto"/>
                      <w:szCs w:val="21"/>
                      <w:lang w:val="en-US" w:eastAsia="zh-CN"/>
                    </w:rPr>
                    <w:t>本项目</w:t>
                  </w:r>
                  <w:r>
                    <w:rPr>
                      <w:rFonts w:hint="default" w:ascii="Times New Roman" w:hAnsi="Times New Roman" w:eastAsia="宋体" w:cs="Times New Roman"/>
                      <w:bCs/>
                      <w:color w:val="auto"/>
                      <w:szCs w:val="21"/>
                    </w:rPr>
                    <w:t>建设完成后，将及时按照《企业事业单位突发环境事件应急预案备案管理办法（试行）》（环发</w:t>
                  </w:r>
                  <w:r>
                    <w:rPr>
                      <w:rFonts w:hint="eastAsia" w:cs="Times New Roman"/>
                      <w:bCs/>
                      <w:color w:val="auto"/>
                      <w:szCs w:val="21"/>
                      <w:lang w:eastAsia="zh-CN"/>
                    </w:rPr>
                    <w:t>〔</w:t>
                  </w:r>
                  <w:r>
                    <w:rPr>
                      <w:rFonts w:hint="default" w:ascii="Times New Roman" w:hAnsi="Times New Roman" w:eastAsia="宋体" w:cs="Times New Roman"/>
                      <w:bCs/>
                      <w:color w:val="auto"/>
                      <w:szCs w:val="21"/>
                    </w:rPr>
                    <w:t>2015</w:t>
                  </w:r>
                  <w:r>
                    <w:rPr>
                      <w:rFonts w:hint="eastAsia" w:cs="Times New Roman"/>
                      <w:bCs/>
                      <w:color w:val="auto"/>
                      <w:szCs w:val="21"/>
                      <w:lang w:eastAsia="zh-CN"/>
                    </w:rPr>
                    <w:t>〕</w:t>
                  </w:r>
                  <w:r>
                    <w:rPr>
                      <w:rFonts w:hint="default" w:ascii="Times New Roman" w:hAnsi="Times New Roman" w:eastAsia="宋体" w:cs="Times New Roman"/>
                      <w:bCs/>
                      <w:color w:val="auto"/>
                      <w:szCs w:val="21"/>
                    </w:rPr>
                    <w:t>4号）要求，开展环境风险评估，编制应急预案</w:t>
                  </w:r>
                  <w:r>
                    <w:rPr>
                      <w:rFonts w:hint="default" w:ascii="Times New Roman" w:hAnsi="Times New Roman" w:eastAsia="宋体" w:cs="Times New Roman"/>
                      <w:bCs/>
                      <w:color w:val="auto"/>
                      <w:szCs w:val="21"/>
                      <w:lang w:val="en-US" w:eastAsia="zh-CN"/>
                    </w:rPr>
                    <w:t>，并送相关环保管理部门备案</w:t>
                  </w:r>
                  <w:r>
                    <w:rPr>
                      <w:rFonts w:hint="default" w:ascii="Times New Roman" w:hAnsi="Times New Roman" w:eastAsia="宋体" w:cs="Times New Roman"/>
                      <w:bCs/>
                      <w:color w:val="auto"/>
                      <w:szCs w:val="21"/>
                    </w:rPr>
                    <w:t>。</w:t>
                  </w:r>
                </w:p>
              </w:tc>
              <w:tc>
                <w:tcPr>
                  <w:tcW w:w="369" w:type="pct"/>
                  <w:vAlign w:val="center"/>
                </w:tcPr>
                <w:p w14:paraId="5B5092AC">
                  <w:pPr>
                    <w:autoSpaceDE w:val="0"/>
                    <w:autoSpaceDN w:val="0"/>
                    <w:adjustRightInd w:val="0"/>
                    <w:snapToGrid w:val="0"/>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是</w:t>
                  </w:r>
                </w:p>
              </w:tc>
            </w:tr>
            <w:tr w14:paraId="5BD68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431" w:type="pct"/>
                  <w:vMerge w:val="continue"/>
                  <w:vAlign w:val="center"/>
                </w:tcPr>
                <w:p w14:paraId="353263C9">
                  <w:pPr>
                    <w:autoSpaceDE w:val="0"/>
                    <w:autoSpaceDN w:val="0"/>
                    <w:adjustRightInd w:val="0"/>
                    <w:snapToGrid w:val="0"/>
                    <w:jc w:val="both"/>
                    <w:rPr>
                      <w:rFonts w:hint="eastAsia" w:ascii="Times New Roman" w:hAnsi="Times New Roman" w:eastAsia="宋体" w:cs="Times New Roman"/>
                      <w:bCs/>
                      <w:color w:val="auto"/>
                      <w:szCs w:val="21"/>
                    </w:rPr>
                  </w:pPr>
                </w:p>
              </w:tc>
              <w:tc>
                <w:tcPr>
                  <w:tcW w:w="450" w:type="pct"/>
                  <w:shd w:val="clear" w:color="auto" w:fill="auto"/>
                  <w:vAlign w:val="center"/>
                </w:tcPr>
                <w:p w14:paraId="4C5D67BD">
                  <w:pPr>
                    <w:autoSpaceDE w:val="0"/>
                    <w:autoSpaceDN w:val="0"/>
                    <w:adjustRightInd w:val="0"/>
                    <w:snapToGrid w:val="0"/>
                    <w:jc w:val="center"/>
                    <w:rPr>
                      <w:rFonts w:hint="eastAsia" w:ascii="Times New Roman" w:hAnsi="Times New Roman" w:eastAsia="宋体" w:cs="Times New Roman"/>
                      <w:bCs/>
                      <w:color w:val="auto"/>
                      <w:szCs w:val="21"/>
                      <w:lang w:val="en-US" w:eastAsia="zh-CN"/>
                    </w:rPr>
                  </w:pPr>
                  <w:r>
                    <w:rPr>
                      <w:rFonts w:hint="default" w:ascii="Times New Roman" w:hAnsi="Times New Roman" w:cs="Times New Roman"/>
                      <w:color w:val="auto"/>
                      <w:kern w:val="0"/>
                      <w:szCs w:val="21"/>
                    </w:rPr>
                    <w:t>资源开发效率要求</w:t>
                  </w:r>
                </w:p>
              </w:tc>
              <w:tc>
                <w:tcPr>
                  <w:tcW w:w="2546" w:type="pct"/>
                  <w:shd w:val="clear" w:color="auto" w:fill="auto"/>
                  <w:vAlign w:val="center"/>
                </w:tcPr>
                <w:p w14:paraId="15BBA17C">
                  <w:pPr>
                    <w:autoSpaceDE w:val="0"/>
                    <w:autoSpaceDN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（1）大力倡导使用清洁能源。</w:t>
                  </w:r>
                </w:p>
                <w:p w14:paraId="14509892">
                  <w:pPr>
                    <w:autoSpaceDE w:val="0"/>
                    <w:autoSpaceDN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（2）提升废水资源化技术，提高水资源回用率。</w:t>
                  </w:r>
                </w:p>
                <w:p w14:paraId="6EBC2F2E">
                  <w:pPr>
                    <w:autoSpaceDE w:val="0"/>
                    <w:autoSpaceDN w:val="0"/>
                    <w:adjustRightInd w:val="0"/>
                    <w:snapToGrid w:val="0"/>
                    <w:jc w:val="center"/>
                    <w:rPr>
                      <w:rFonts w:hint="eastAsia" w:eastAsia="宋体"/>
                      <w:color w:val="auto"/>
                      <w:kern w:val="0"/>
                      <w:szCs w:val="21"/>
                      <w:lang w:val="en-US" w:eastAsia="zh-CN"/>
                    </w:rPr>
                  </w:pPr>
                  <w:r>
                    <w:rPr>
                      <w:rFonts w:hint="default" w:ascii="Times New Roman" w:hAnsi="Times New Roman" w:cs="Times New Roman"/>
                      <w:color w:val="auto"/>
                      <w:kern w:val="0"/>
                      <w:sz w:val="21"/>
                      <w:szCs w:val="21"/>
                    </w:rPr>
                    <w:t>（3）禁止销售使用燃料为</w:t>
                  </w:r>
                  <w:r>
                    <w:rPr>
                      <w:rFonts w:hint="eastAsia" w:cs="Times New Roman"/>
                      <w:color w:val="auto"/>
                      <w:kern w:val="0"/>
                      <w:sz w:val="21"/>
                      <w:szCs w:val="21"/>
                      <w:lang w:eastAsia="zh-CN"/>
                    </w:rPr>
                    <w:t>“</w:t>
                  </w:r>
                  <w:r>
                    <w:rPr>
                      <w:rFonts w:hint="default" w:ascii="Times New Roman" w:hAnsi="Times New Roman" w:cs="Times New Roman"/>
                      <w:color w:val="auto"/>
                      <w:kern w:val="0"/>
                      <w:sz w:val="21"/>
                      <w:szCs w:val="21"/>
                    </w:rPr>
                    <w:t>III类</w:t>
                  </w:r>
                  <w:r>
                    <w:rPr>
                      <w:rFonts w:hint="eastAsia" w:cs="Times New Roman"/>
                      <w:color w:val="auto"/>
                      <w:kern w:val="0"/>
                      <w:sz w:val="21"/>
                      <w:szCs w:val="21"/>
                      <w:lang w:eastAsia="zh-CN"/>
                    </w:rPr>
                    <w:t>”</w:t>
                  </w:r>
                  <w:r>
                    <w:rPr>
                      <w:rFonts w:hint="default" w:ascii="Times New Roman" w:hAnsi="Times New Roman" w:cs="Times New Roman"/>
                      <w:color w:val="auto"/>
                      <w:kern w:val="0"/>
                      <w:sz w:val="21"/>
                      <w:szCs w:val="21"/>
                    </w:rPr>
                    <w:t>（严格），具体包括：1、煤炭及其制品（包括原煤、散煤、煤矸石、煤泥、煤粉、水煤浆、型煤、焦炭、兰炭等）；2、石油焦、油页岩、原油、重油、渣油、煤焦油；3、非专用锅炉或未配置高效除尘设施的专用锅炉燃用的生物质成型燃料；4、国家规定的其它高污染燃料。</w:t>
                  </w:r>
                </w:p>
              </w:tc>
              <w:tc>
                <w:tcPr>
                  <w:tcW w:w="1202" w:type="pct"/>
                  <w:shd w:val="clear" w:color="auto" w:fill="auto"/>
                  <w:vAlign w:val="center"/>
                </w:tcPr>
                <w:p w14:paraId="19A3DBE7">
                  <w:pPr>
                    <w:autoSpaceDE w:val="0"/>
                    <w:autoSpaceDN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bCs/>
                      <w:color w:val="auto"/>
                      <w:szCs w:val="21"/>
                    </w:rPr>
                    <w:t>本项目主要用</w:t>
                  </w:r>
                  <w:r>
                    <w:rPr>
                      <w:rFonts w:hint="eastAsia" w:cs="Times New Roman"/>
                      <w:bCs/>
                      <w:color w:val="auto"/>
                      <w:szCs w:val="21"/>
                      <w:lang w:val="en-US" w:eastAsia="zh-CN"/>
                    </w:rPr>
                    <w:t>水、</w:t>
                  </w:r>
                  <w:r>
                    <w:rPr>
                      <w:rFonts w:hint="default" w:ascii="Times New Roman" w:hAnsi="Times New Roman" w:eastAsia="宋体" w:cs="Times New Roman"/>
                      <w:bCs/>
                      <w:color w:val="auto"/>
                      <w:szCs w:val="21"/>
                    </w:rPr>
                    <w:t>电作为能源，在生产过程中不使用高污染燃料，满足资源利用效率要求。</w:t>
                  </w:r>
                </w:p>
              </w:tc>
              <w:tc>
                <w:tcPr>
                  <w:tcW w:w="369" w:type="pct"/>
                  <w:vAlign w:val="center"/>
                </w:tcPr>
                <w:p w14:paraId="14902C7B">
                  <w:pPr>
                    <w:autoSpaceDE w:val="0"/>
                    <w:autoSpaceDN w:val="0"/>
                    <w:adjustRightInd w:val="0"/>
                    <w:snapToGrid w:val="0"/>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是</w:t>
                  </w:r>
                </w:p>
              </w:tc>
            </w:tr>
          </w:tbl>
          <w:p w14:paraId="01D98B85">
            <w:pPr>
              <w:autoSpaceDE w:val="0"/>
              <w:autoSpaceDN w:val="0"/>
              <w:adjustRightInd w:val="0"/>
              <w:snapToGrid w:val="0"/>
              <w:ind w:firstLine="200" w:firstLineChars="200"/>
              <w:rPr>
                <w:color w:val="FF0000"/>
                <w:kern w:val="0"/>
                <w:sz w:val="10"/>
                <w:szCs w:val="10"/>
              </w:rPr>
            </w:pPr>
          </w:p>
          <w:p w14:paraId="73B88F13">
            <w:pPr>
              <w:widowControl/>
              <w:adjustRightInd w:val="0"/>
              <w:snapToGrid w:val="0"/>
              <w:spacing w:line="360" w:lineRule="auto"/>
              <w:ind w:firstLine="480" w:firstLineChars="200"/>
              <w:jc w:val="left"/>
              <w:rPr>
                <w:bCs/>
                <w:color w:val="auto"/>
                <w:sz w:val="24"/>
                <w:szCs w:val="24"/>
              </w:rPr>
            </w:pPr>
            <w:r>
              <w:rPr>
                <w:color w:val="auto"/>
                <w:kern w:val="0"/>
                <w:sz w:val="24"/>
                <w:szCs w:val="24"/>
              </w:rPr>
              <w:t>综上</w:t>
            </w:r>
            <w:r>
              <w:rPr>
                <w:rFonts w:hint="eastAsia"/>
                <w:color w:val="auto"/>
                <w:kern w:val="0"/>
                <w:sz w:val="24"/>
                <w:szCs w:val="24"/>
              </w:rPr>
              <w:t>所述</w:t>
            </w:r>
            <w:r>
              <w:rPr>
                <w:color w:val="auto"/>
                <w:kern w:val="0"/>
                <w:sz w:val="24"/>
                <w:szCs w:val="24"/>
              </w:rPr>
              <w:t>，</w:t>
            </w:r>
            <w:r>
              <w:rPr>
                <w:rFonts w:hint="eastAsia"/>
                <w:color w:val="auto"/>
                <w:kern w:val="0"/>
                <w:sz w:val="24"/>
                <w:szCs w:val="24"/>
              </w:rPr>
              <w:t>本项</w:t>
            </w:r>
            <w:r>
              <w:rPr>
                <w:rFonts w:hint="eastAsia"/>
                <w:b w:val="0"/>
                <w:bCs w:val="0"/>
                <w:color w:val="auto"/>
                <w:kern w:val="0"/>
                <w:sz w:val="24"/>
                <w:szCs w:val="24"/>
              </w:rPr>
              <w:t>目</w:t>
            </w:r>
            <w:r>
              <w:rPr>
                <w:b w:val="0"/>
                <w:bCs w:val="0"/>
                <w:color w:val="auto"/>
                <w:kern w:val="0"/>
                <w:sz w:val="24"/>
                <w:szCs w:val="24"/>
              </w:rPr>
              <w:t>与</w:t>
            </w:r>
            <w:r>
              <w:rPr>
                <w:rFonts w:hint="eastAsia" w:eastAsiaTheme="minorEastAsia"/>
                <w:b w:val="0"/>
                <w:bCs w:val="0"/>
                <w:color w:val="auto"/>
                <w:sz w:val="24"/>
                <w:szCs w:val="24"/>
              </w:rPr>
              <w:t>“生态环境分区管控管理暂行规定”</w:t>
            </w:r>
            <w:r>
              <w:rPr>
                <w:b w:val="0"/>
                <w:bCs w:val="0"/>
                <w:color w:val="auto"/>
                <w:kern w:val="0"/>
                <w:sz w:val="24"/>
                <w:szCs w:val="24"/>
              </w:rPr>
              <w:t>相</w:t>
            </w:r>
            <w:r>
              <w:rPr>
                <w:color w:val="auto"/>
                <w:kern w:val="0"/>
                <w:sz w:val="24"/>
                <w:szCs w:val="24"/>
              </w:rPr>
              <w:t>关要求相符。</w:t>
            </w:r>
          </w:p>
          <w:p w14:paraId="788D68F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Times New Roman" w:hAnsi="Times New Roman" w:cs="Times New Roman" w:eastAsiaTheme="minorEastAsia"/>
                <w:b/>
                <w:bCs/>
                <w:color w:val="auto"/>
                <w:sz w:val="24"/>
                <w:szCs w:val="24"/>
                <w:lang w:val="en-US" w:eastAsia="zh-CN"/>
              </w:rPr>
            </w:pPr>
            <w:r>
              <w:rPr>
                <w:rFonts w:hint="eastAsia" w:ascii="Times New Roman" w:hAnsi="Times New Roman" w:cs="Times New Roman" w:eastAsiaTheme="minorEastAsia"/>
                <w:b/>
                <w:bCs/>
                <w:color w:val="auto"/>
                <w:sz w:val="24"/>
                <w:szCs w:val="24"/>
                <w:lang w:val="en-US" w:eastAsia="zh-CN"/>
              </w:rPr>
              <w:t>2、与生态保护红线、生态空间管控区域相符性分析</w:t>
            </w:r>
          </w:p>
          <w:p w14:paraId="22301DA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rPr>
              <w:t>根据《省政府关于印发江苏省生态空间管控区域规划的通知》</w:t>
            </w:r>
            <w:r>
              <w:rPr>
                <w:rFonts w:hint="eastAsia"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rPr>
              <w:t>苏政发[2020]1号</w:t>
            </w:r>
            <w:r>
              <w:rPr>
                <w:rFonts w:hint="eastAsia"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rPr>
              <w:t>和《江苏省国家级生态保护红线规划》</w:t>
            </w:r>
            <w:r>
              <w:rPr>
                <w:rFonts w:hint="eastAsia"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rPr>
              <w:t>苏政发[2018]74号</w:t>
            </w:r>
            <w:r>
              <w:rPr>
                <w:rFonts w:hint="eastAsia"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rPr>
              <w:t>，项目所在地附近生态空间保护区域名称、生态功能、国家级生态保护红线范围和生态空间管控区域范围情况见下表1-</w:t>
            </w:r>
            <w:r>
              <w:rPr>
                <w:rFonts w:hint="eastAsia" w:ascii="Times New Roman" w:hAnsi="Times New Roman" w:cs="Times New Roman" w:eastAsiaTheme="minorEastAsia"/>
                <w:color w:val="auto"/>
                <w:sz w:val="24"/>
                <w:szCs w:val="24"/>
                <w:lang w:val="en-US" w:eastAsia="zh-CN"/>
              </w:rPr>
              <w:t>4</w:t>
            </w:r>
            <w:r>
              <w:rPr>
                <w:rFonts w:hint="eastAsia" w:ascii="Times New Roman" w:hAnsi="Times New Roman" w:cs="Times New Roman" w:eastAsiaTheme="minorEastAsia"/>
                <w:color w:val="auto"/>
                <w:sz w:val="24"/>
                <w:szCs w:val="24"/>
              </w:rPr>
              <w:t>。</w:t>
            </w:r>
          </w:p>
          <w:p w14:paraId="30C5DCB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imes New Roman" w:hAnsi="Times New Roman" w:cs="Times New Roman" w:eastAsiaTheme="minorEastAsia"/>
                <w:color w:val="FF0000"/>
                <w:sz w:val="24"/>
                <w:szCs w:val="24"/>
              </w:rPr>
            </w:pPr>
          </w:p>
          <w:p w14:paraId="2FBBB6F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imes New Roman" w:hAnsi="Times New Roman" w:cs="Times New Roman" w:eastAsiaTheme="minorEastAsia"/>
                <w:color w:val="FF0000"/>
                <w:sz w:val="24"/>
                <w:szCs w:val="24"/>
              </w:rPr>
            </w:pPr>
          </w:p>
          <w:p w14:paraId="304CE8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imes New Roman" w:hAnsi="Times New Roman" w:cs="Times New Roman" w:eastAsiaTheme="minorEastAsia"/>
                <w:color w:val="FF0000"/>
                <w:sz w:val="24"/>
                <w:szCs w:val="24"/>
              </w:rPr>
            </w:pPr>
          </w:p>
          <w:p w14:paraId="7D24D02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eastAsiaTheme="minorEastAsia"/>
                <w:color w:val="FF0000"/>
                <w:sz w:val="24"/>
                <w:szCs w:val="24"/>
              </w:rPr>
            </w:pPr>
          </w:p>
          <w:p w14:paraId="7FFBAAC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eastAsiaTheme="minorEastAsia"/>
                <w:color w:val="FF0000"/>
                <w:sz w:val="24"/>
                <w:szCs w:val="24"/>
              </w:rPr>
            </w:pPr>
          </w:p>
          <w:p w14:paraId="440157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eastAsiaTheme="minorEastAsia"/>
                <w:color w:val="FF0000"/>
                <w:sz w:val="24"/>
                <w:szCs w:val="24"/>
              </w:rPr>
            </w:pPr>
          </w:p>
          <w:p w14:paraId="2FC4787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eastAsiaTheme="minorEastAsia"/>
                <w:color w:val="FF0000"/>
                <w:sz w:val="24"/>
                <w:szCs w:val="24"/>
              </w:rPr>
            </w:pPr>
          </w:p>
          <w:p w14:paraId="50BA377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eastAsiaTheme="minorEastAsia"/>
                <w:color w:val="FF0000"/>
                <w:sz w:val="24"/>
                <w:szCs w:val="24"/>
              </w:rPr>
            </w:pPr>
          </w:p>
          <w:p w14:paraId="73DA5CE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eastAsiaTheme="minorEastAsia"/>
                <w:color w:val="FF0000"/>
                <w:sz w:val="24"/>
                <w:szCs w:val="24"/>
              </w:rPr>
            </w:pPr>
          </w:p>
          <w:p w14:paraId="74C64B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eastAsiaTheme="minorEastAsia"/>
                <w:color w:val="FF0000"/>
                <w:sz w:val="24"/>
                <w:szCs w:val="24"/>
              </w:rPr>
            </w:pPr>
          </w:p>
          <w:p w14:paraId="6178BA0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eastAsiaTheme="minorEastAsia"/>
                <w:color w:val="FF0000"/>
                <w:sz w:val="24"/>
                <w:szCs w:val="24"/>
              </w:rPr>
            </w:pPr>
          </w:p>
          <w:p w14:paraId="3448EE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eastAsiaTheme="minorEastAsia"/>
                <w:color w:val="FF0000"/>
                <w:sz w:val="24"/>
                <w:szCs w:val="24"/>
              </w:rPr>
            </w:pPr>
          </w:p>
          <w:p w14:paraId="2DC1E0A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eastAsiaTheme="minorEastAsia"/>
                <w:color w:val="FF0000"/>
                <w:sz w:val="24"/>
                <w:szCs w:val="24"/>
              </w:rPr>
            </w:pPr>
          </w:p>
          <w:p w14:paraId="4651D2A4">
            <w:pPr>
              <w:rPr>
                <w:rFonts w:hint="default"/>
                <w:color w:val="FF0000"/>
                <w:lang w:val="en-US" w:eastAsia="zh-CN"/>
              </w:rPr>
            </w:pPr>
          </w:p>
          <w:p w14:paraId="501639D2">
            <w:pPr>
              <w:rPr>
                <w:rFonts w:hint="default"/>
                <w:color w:val="FF0000"/>
                <w:lang w:val="en-US" w:eastAsia="zh-CN"/>
              </w:rPr>
            </w:pPr>
          </w:p>
        </w:tc>
      </w:tr>
    </w:tbl>
    <w:p w14:paraId="3443B960">
      <w:pPr>
        <w:rPr>
          <w:color w:val="FF0000"/>
        </w:rPr>
        <w:sectPr>
          <w:footerReference r:id="rId8" w:type="default"/>
          <w:pgSz w:w="11906" w:h="16838"/>
          <w:pgMar w:top="1440" w:right="1800" w:bottom="1713"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tbl>
      <w:tblPr>
        <w:tblStyle w:val="35"/>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3445"/>
      </w:tblGrid>
      <w:tr w14:paraId="6610A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43" w:hRule="atLeast"/>
          <w:jc w:val="center"/>
        </w:trPr>
        <w:tc>
          <w:tcPr>
            <w:tcW w:w="179" w:type="pct"/>
            <w:shd w:val="clear" w:color="auto" w:fill="auto"/>
            <w:vAlign w:val="center"/>
          </w:tcPr>
          <w:p w14:paraId="786E3829">
            <w:pPr>
              <w:adjustRightInd w:val="0"/>
              <w:snapToGrid w:val="0"/>
              <w:jc w:val="center"/>
              <w:rPr>
                <w:rFonts w:hint="default" w:ascii="Times New Roman" w:hAnsi="Times New Roman" w:cs="Times New Roman"/>
                <w:color w:val="FF0000"/>
                <w:kern w:val="0"/>
                <w:szCs w:val="21"/>
                <w:highlight w:val="none"/>
              </w:rPr>
            </w:pPr>
            <w:r>
              <w:rPr>
                <w:rFonts w:hint="default" w:ascii="宋体" w:hAnsi="宋体" w:eastAsia="宋体" w:cs="宋体"/>
                <w:b/>
                <w:bCs/>
                <w:color w:val="auto"/>
                <w:kern w:val="0"/>
                <w:sz w:val="24"/>
                <w:szCs w:val="24"/>
                <w:lang w:val="en-US" w:eastAsia="zh-CN" w:bidi="ar-SA"/>
              </w:rPr>
              <w:t>其他符合性分析</w:t>
            </w:r>
          </w:p>
        </w:tc>
        <w:tc>
          <w:tcPr>
            <w:tcW w:w="4820" w:type="pct"/>
          </w:tcPr>
          <w:p w14:paraId="7EFCB6B3">
            <w:pPr>
              <w:pStyle w:val="101"/>
              <w:keepNext w:val="0"/>
              <w:keepLines w:val="0"/>
              <w:pageBreakBefore w:val="0"/>
              <w:widowControl w:val="0"/>
              <w:kinsoku/>
              <w:wordWrap/>
              <w:overflowPunct/>
              <w:topLinePunct w:val="0"/>
              <w:autoSpaceDE/>
              <w:autoSpaceDN/>
              <w:bidi w:val="0"/>
              <w:adjustRightInd w:val="0"/>
              <w:snapToGrid w:val="0"/>
              <w:spacing w:line="360" w:lineRule="auto"/>
              <w:ind w:left="0" w:right="0" w:firstLine="474" w:firstLineChars="200"/>
              <w:jc w:val="center"/>
              <w:textAlignment w:val="auto"/>
              <w:rPr>
                <w:rFonts w:hint="eastAsia" w:ascii="Times New Roman" w:hAnsi="Times New Roman" w:cs="Times New Roman" w:eastAsiaTheme="minorEastAsia"/>
                <w:b/>
                <w:bCs/>
                <w:color w:val="auto"/>
                <w:spacing w:val="-2"/>
                <w:sz w:val="24"/>
                <w:szCs w:val="24"/>
              </w:rPr>
            </w:pPr>
            <w:r>
              <w:rPr>
                <w:rFonts w:hint="eastAsia" w:ascii="Times New Roman" w:hAnsi="Times New Roman" w:cs="Times New Roman" w:eastAsiaTheme="minorEastAsia"/>
                <w:b/>
                <w:bCs/>
                <w:color w:val="auto"/>
                <w:spacing w:val="-2"/>
                <w:sz w:val="24"/>
                <w:szCs w:val="24"/>
              </w:rPr>
              <w:t>表1-</w:t>
            </w:r>
            <w:r>
              <w:rPr>
                <w:rFonts w:hint="eastAsia" w:ascii="Times New Roman" w:hAnsi="Times New Roman" w:cs="Times New Roman" w:eastAsiaTheme="minorEastAsia"/>
                <w:b/>
                <w:bCs/>
                <w:color w:val="auto"/>
                <w:spacing w:val="-2"/>
                <w:sz w:val="24"/>
                <w:szCs w:val="24"/>
                <w:lang w:val="en-US" w:eastAsia="zh-CN"/>
              </w:rPr>
              <w:t>4</w:t>
            </w:r>
            <w:r>
              <w:rPr>
                <w:rFonts w:hint="eastAsia" w:ascii="Times New Roman" w:hAnsi="Times New Roman" w:cs="Times New Roman" w:eastAsiaTheme="minorEastAsia"/>
                <w:b/>
                <w:bCs/>
                <w:color w:val="auto"/>
                <w:spacing w:val="-2"/>
                <w:sz w:val="24"/>
                <w:szCs w:val="24"/>
              </w:rPr>
              <w:t>常州市生态空间保护区域名录一览表</w:t>
            </w:r>
          </w:p>
          <w:tbl>
            <w:tblPr>
              <w:tblStyle w:val="35"/>
              <w:tblW w:w="13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646"/>
              <w:gridCol w:w="1345"/>
              <w:gridCol w:w="808"/>
              <w:gridCol w:w="1510"/>
              <w:gridCol w:w="675"/>
              <w:gridCol w:w="2750"/>
              <w:gridCol w:w="2233"/>
              <w:gridCol w:w="1148"/>
              <w:gridCol w:w="1094"/>
              <w:gridCol w:w="1068"/>
            </w:tblGrid>
            <w:tr w14:paraId="2075A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261" w:hRule="atLeast"/>
                <w:jc w:val="center"/>
              </w:trPr>
              <w:tc>
                <w:tcPr>
                  <w:tcW w:w="646" w:type="dxa"/>
                  <w:vMerge w:val="restart"/>
                  <w:vAlign w:val="center"/>
                </w:tcPr>
                <w:p w14:paraId="6EEAADB3">
                  <w:pPr>
                    <w:pStyle w:val="53"/>
                    <w:jc w:val="center"/>
                    <w:rPr>
                      <w:rFonts w:eastAsiaTheme="minorEastAsia"/>
                      <w:b/>
                      <w:color w:val="auto"/>
                      <w:sz w:val="21"/>
                      <w:szCs w:val="21"/>
                    </w:rPr>
                  </w:pPr>
                  <w:r>
                    <w:rPr>
                      <w:rFonts w:eastAsiaTheme="minorEastAsia"/>
                      <w:b/>
                      <w:color w:val="auto"/>
                      <w:sz w:val="21"/>
                      <w:szCs w:val="21"/>
                    </w:rPr>
                    <w:t>序号</w:t>
                  </w:r>
                </w:p>
              </w:tc>
              <w:tc>
                <w:tcPr>
                  <w:tcW w:w="1345" w:type="dxa"/>
                  <w:vMerge w:val="restart"/>
                  <w:vAlign w:val="center"/>
                </w:tcPr>
                <w:p w14:paraId="52BBBB88">
                  <w:pPr>
                    <w:pStyle w:val="53"/>
                    <w:jc w:val="center"/>
                    <w:rPr>
                      <w:rFonts w:eastAsiaTheme="minorEastAsia"/>
                      <w:b/>
                      <w:color w:val="auto"/>
                      <w:sz w:val="21"/>
                      <w:szCs w:val="21"/>
                    </w:rPr>
                  </w:pPr>
                  <w:r>
                    <w:rPr>
                      <w:rFonts w:eastAsiaTheme="minorEastAsia"/>
                      <w:b/>
                      <w:color w:val="auto"/>
                      <w:sz w:val="21"/>
                      <w:szCs w:val="21"/>
                    </w:rPr>
                    <w:t>生态空间保护区域名称</w:t>
                  </w:r>
                </w:p>
              </w:tc>
              <w:tc>
                <w:tcPr>
                  <w:tcW w:w="808" w:type="dxa"/>
                  <w:vMerge w:val="restart"/>
                  <w:vAlign w:val="center"/>
                </w:tcPr>
                <w:p w14:paraId="0DB21B6A">
                  <w:pPr>
                    <w:pStyle w:val="53"/>
                    <w:jc w:val="center"/>
                    <w:rPr>
                      <w:rFonts w:eastAsiaTheme="minorEastAsia"/>
                      <w:b/>
                      <w:color w:val="auto"/>
                      <w:sz w:val="21"/>
                      <w:szCs w:val="21"/>
                    </w:rPr>
                  </w:pPr>
                  <w:r>
                    <w:rPr>
                      <w:rFonts w:eastAsiaTheme="minorEastAsia"/>
                      <w:b/>
                      <w:color w:val="auto"/>
                      <w:sz w:val="21"/>
                      <w:szCs w:val="21"/>
                    </w:rPr>
                    <w:t>县（市、区）</w:t>
                  </w:r>
                </w:p>
              </w:tc>
              <w:tc>
                <w:tcPr>
                  <w:tcW w:w="1510" w:type="dxa"/>
                  <w:vMerge w:val="restart"/>
                  <w:vAlign w:val="center"/>
                </w:tcPr>
                <w:p w14:paraId="2A31CFEF">
                  <w:pPr>
                    <w:pStyle w:val="53"/>
                    <w:jc w:val="center"/>
                    <w:rPr>
                      <w:rFonts w:eastAsiaTheme="minorEastAsia"/>
                      <w:b/>
                      <w:color w:val="auto"/>
                      <w:sz w:val="21"/>
                      <w:szCs w:val="21"/>
                    </w:rPr>
                  </w:pPr>
                  <w:r>
                    <w:rPr>
                      <w:rFonts w:eastAsiaTheme="minorEastAsia"/>
                      <w:b/>
                      <w:color w:val="auto"/>
                      <w:sz w:val="21"/>
                      <w:szCs w:val="21"/>
                    </w:rPr>
                    <w:t>与本项目方位、距离</w:t>
                  </w:r>
                </w:p>
              </w:tc>
              <w:tc>
                <w:tcPr>
                  <w:tcW w:w="675" w:type="dxa"/>
                  <w:vMerge w:val="restart"/>
                  <w:vAlign w:val="center"/>
                </w:tcPr>
                <w:p w14:paraId="1C705012">
                  <w:pPr>
                    <w:pStyle w:val="53"/>
                    <w:jc w:val="center"/>
                    <w:rPr>
                      <w:rFonts w:eastAsiaTheme="minorEastAsia"/>
                      <w:b/>
                      <w:color w:val="auto"/>
                      <w:sz w:val="21"/>
                      <w:szCs w:val="21"/>
                    </w:rPr>
                  </w:pPr>
                  <w:r>
                    <w:rPr>
                      <w:rFonts w:eastAsiaTheme="minorEastAsia"/>
                      <w:b/>
                      <w:color w:val="auto"/>
                      <w:sz w:val="21"/>
                      <w:szCs w:val="21"/>
                    </w:rPr>
                    <w:t>主导生态功能</w:t>
                  </w:r>
                </w:p>
              </w:tc>
              <w:tc>
                <w:tcPr>
                  <w:tcW w:w="4983" w:type="dxa"/>
                  <w:gridSpan w:val="2"/>
                  <w:vAlign w:val="center"/>
                </w:tcPr>
                <w:p w14:paraId="159C6EF6">
                  <w:pPr>
                    <w:pStyle w:val="53"/>
                    <w:jc w:val="center"/>
                    <w:rPr>
                      <w:rFonts w:eastAsiaTheme="minorEastAsia"/>
                      <w:b/>
                      <w:color w:val="auto"/>
                      <w:sz w:val="21"/>
                      <w:szCs w:val="21"/>
                    </w:rPr>
                  </w:pPr>
                  <w:r>
                    <w:rPr>
                      <w:rFonts w:eastAsiaTheme="minorEastAsia"/>
                      <w:b/>
                      <w:color w:val="auto"/>
                      <w:sz w:val="21"/>
                      <w:szCs w:val="21"/>
                    </w:rPr>
                    <w:t>范围</w:t>
                  </w:r>
                </w:p>
              </w:tc>
              <w:tc>
                <w:tcPr>
                  <w:tcW w:w="3310" w:type="dxa"/>
                  <w:gridSpan w:val="3"/>
                  <w:vAlign w:val="center"/>
                </w:tcPr>
                <w:p w14:paraId="3B169468">
                  <w:pPr>
                    <w:pStyle w:val="53"/>
                    <w:jc w:val="center"/>
                    <w:rPr>
                      <w:rFonts w:eastAsiaTheme="minorEastAsia"/>
                      <w:b/>
                      <w:color w:val="auto"/>
                      <w:sz w:val="21"/>
                      <w:szCs w:val="21"/>
                    </w:rPr>
                  </w:pPr>
                  <w:r>
                    <w:rPr>
                      <w:rFonts w:eastAsiaTheme="minorEastAsia"/>
                      <w:b/>
                      <w:color w:val="auto"/>
                      <w:sz w:val="21"/>
                      <w:szCs w:val="21"/>
                    </w:rPr>
                    <w:t>面积（平方公里）</w:t>
                  </w:r>
                </w:p>
              </w:tc>
            </w:tr>
            <w:tr w14:paraId="7E033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669" w:hRule="atLeast"/>
                <w:jc w:val="center"/>
              </w:trPr>
              <w:tc>
                <w:tcPr>
                  <w:tcW w:w="646" w:type="dxa"/>
                  <w:vMerge w:val="continue"/>
                  <w:tcBorders>
                    <w:bottom w:val="single" w:color="auto" w:sz="4" w:space="0"/>
                  </w:tcBorders>
                  <w:vAlign w:val="center"/>
                </w:tcPr>
                <w:p w14:paraId="5FBCC37A">
                  <w:pPr>
                    <w:pStyle w:val="53"/>
                    <w:jc w:val="center"/>
                    <w:rPr>
                      <w:rFonts w:eastAsiaTheme="minorEastAsia"/>
                      <w:b/>
                      <w:color w:val="auto"/>
                      <w:sz w:val="21"/>
                      <w:szCs w:val="21"/>
                    </w:rPr>
                  </w:pPr>
                </w:p>
              </w:tc>
              <w:tc>
                <w:tcPr>
                  <w:tcW w:w="1345" w:type="dxa"/>
                  <w:vMerge w:val="continue"/>
                  <w:tcBorders>
                    <w:bottom w:val="single" w:color="auto" w:sz="4" w:space="0"/>
                  </w:tcBorders>
                  <w:vAlign w:val="center"/>
                </w:tcPr>
                <w:p w14:paraId="6C7F2909">
                  <w:pPr>
                    <w:pStyle w:val="53"/>
                    <w:jc w:val="center"/>
                    <w:rPr>
                      <w:rFonts w:eastAsiaTheme="minorEastAsia"/>
                      <w:b/>
                      <w:color w:val="auto"/>
                      <w:sz w:val="21"/>
                      <w:szCs w:val="21"/>
                    </w:rPr>
                  </w:pPr>
                </w:p>
              </w:tc>
              <w:tc>
                <w:tcPr>
                  <w:tcW w:w="808" w:type="dxa"/>
                  <w:vMerge w:val="continue"/>
                  <w:tcBorders>
                    <w:bottom w:val="single" w:color="auto" w:sz="4" w:space="0"/>
                  </w:tcBorders>
                  <w:vAlign w:val="center"/>
                </w:tcPr>
                <w:p w14:paraId="5845F79A">
                  <w:pPr>
                    <w:pStyle w:val="53"/>
                    <w:jc w:val="center"/>
                    <w:rPr>
                      <w:rFonts w:eastAsiaTheme="minorEastAsia"/>
                      <w:b/>
                      <w:color w:val="auto"/>
                      <w:sz w:val="21"/>
                      <w:szCs w:val="21"/>
                    </w:rPr>
                  </w:pPr>
                </w:p>
              </w:tc>
              <w:tc>
                <w:tcPr>
                  <w:tcW w:w="1510" w:type="dxa"/>
                  <w:vMerge w:val="continue"/>
                  <w:tcBorders>
                    <w:bottom w:val="single" w:color="auto" w:sz="4" w:space="0"/>
                  </w:tcBorders>
                  <w:vAlign w:val="center"/>
                </w:tcPr>
                <w:p w14:paraId="718CADEA">
                  <w:pPr>
                    <w:pStyle w:val="53"/>
                    <w:jc w:val="center"/>
                    <w:rPr>
                      <w:rFonts w:eastAsiaTheme="minorEastAsia"/>
                      <w:b/>
                      <w:color w:val="auto"/>
                      <w:sz w:val="21"/>
                      <w:szCs w:val="21"/>
                    </w:rPr>
                  </w:pPr>
                </w:p>
              </w:tc>
              <w:tc>
                <w:tcPr>
                  <w:tcW w:w="675" w:type="dxa"/>
                  <w:vMerge w:val="continue"/>
                  <w:tcBorders>
                    <w:bottom w:val="single" w:color="auto" w:sz="4" w:space="0"/>
                  </w:tcBorders>
                  <w:vAlign w:val="center"/>
                </w:tcPr>
                <w:p w14:paraId="5DF67233">
                  <w:pPr>
                    <w:pStyle w:val="53"/>
                    <w:jc w:val="center"/>
                    <w:rPr>
                      <w:rFonts w:eastAsiaTheme="minorEastAsia"/>
                      <w:b/>
                      <w:color w:val="auto"/>
                      <w:sz w:val="21"/>
                      <w:szCs w:val="21"/>
                    </w:rPr>
                  </w:pPr>
                </w:p>
              </w:tc>
              <w:tc>
                <w:tcPr>
                  <w:tcW w:w="2750" w:type="dxa"/>
                  <w:tcBorders>
                    <w:bottom w:val="single" w:color="auto" w:sz="4" w:space="0"/>
                  </w:tcBorders>
                  <w:vAlign w:val="center"/>
                </w:tcPr>
                <w:p w14:paraId="794290EF">
                  <w:pPr>
                    <w:pStyle w:val="53"/>
                    <w:jc w:val="center"/>
                    <w:rPr>
                      <w:rFonts w:eastAsiaTheme="minorEastAsia"/>
                      <w:b/>
                      <w:color w:val="auto"/>
                      <w:sz w:val="21"/>
                      <w:szCs w:val="21"/>
                    </w:rPr>
                  </w:pPr>
                  <w:r>
                    <w:rPr>
                      <w:rFonts w:eastAsiaTheme="minorEastAsia"/>
                      <w:b/>
                      <w:color w:val="auto"/>
                      <w:sz w:val="21"/>
                      <w:szCs w:val="21"/>
                    </w:rPr>
                    <w:t>国家级生态保护红线范围</w:t>
                  </w:r>
                </w:p>
              </w:tc>
              <w:tc>
                <w:tcPr>
                  <w:tcW w:w="2233" w:type="dxa"/>
                  <w:tcBorders>
                    <w:bottom w:val="single" w:color="auto" w:sz="4" w:space="0"/>
                  </w:tcBorders>
                  <w:vAlign w:val="center"/>
                </w:tcPr>
                <w:p w14:paraId="286DE91B">
                  <w:pPr>
                    <w:pStyle w:val="53"/>
                    <w:jc w:val="center"/>
                    <w:rPr>
                      <w:rFonts w:eastAsiaTheme="minorEastAsia"/>
                      <w:b/>
                      <w:color w:val="auto"/>
                      <w:sz w:val="21"/>
                      <w:szCs w:val="21"/>
                    </w:rPr>
                  </w:pPr>
                  <w:r>
                    <w:rPr>
                      <w:rFonts w:eastAsiaTheme="minorEastAsia"/>
                      <w:b/>
                      <w:color w:val="auto"/>
                      <w:sz w:val="21"/>
                      <w:szCs w:val="21"/>
                    </w:rPr>
                    <w:t>生态空间管控区域范围</w:t>
                  </w:r>
                </w:p>
              </w:tc>
              <w:tc>
                <w:tcPr>
                  <w:tcW w:w="1148" w:type="dxa"/>
                  <w:tcBorders>
                    <w:bottom w:val="single" w:color="auto" w:sz="4" w:space="0"/>
                  </w:tcBorders>
                  <w:vAlign w:val="center"/>
                </w:tcPr>
                <w:p w14:paraId="68A453B2">
                  <w:pPr>
                    <w:pStyle w:val="53"/>
                    <w:jc w:val="center"/>
                    <w:rPr>
                      <w:rFonts w:eastAsiaTheme="minorEastAsia"/>
                      <w:b/>
                      <w:color w:val="auto"/>
                      <w:sz w:val="21"/>
                      <w:szCs w:val="21"/>
                    </w:rPr>
                  </w:pPr>
                  <w:r>
                    <w:rPr>
                      <w:rFonts w:eastAsiaTheme="minorEastAsia"/>
                      <w:b/>
                      <w:color w:val="auto"/>
                      <w:sz w:val="21"/>
                      <w:szCs w:val="21"/>
                    </w:rPr>
                    <w:t>国家级生态保护红线面积</w:t>
                  </w:r>
                </w:p>
              </w:tc>
              <w:tc>
                <w:tcPr>
                  <w:tcW w:w="1094" w:type="dxa"/>
                  <w:tcBorders>
                    <w:bottom w:val="single" w:color="auto" w:sz="4" w:space="0"/>
                  </w:tcBorders>
                  <w:vAlign w:val="center"/>
                </w:tcPr>
                <w:p w14:paraId="63206D2F">
                  <w:pPr>
                    <w:pStyle w:val="53"/>
                    <w:jc w:val="center"/>
                    <w:rPr>
                      <w:rFonts w:eastAsiaTheme="minorEastAsia"/>
                      <w:b/>
                      <w:color w:val="auto"/>
                      <w:sz w:val="21"/>
                      <w:szCs w:val="21"/>
                    </w:rPr>
                  </w:pPr>
                  <w:r>
                    <w:rPr>
                      <w:rFonts w:eastAsiaTheme="minorEastAsia"/>
                      <w:b/>
                      <w:color w:val="auto"/>
                      <w:sz w:val="21"/>
                      <w:szCs w:val="21"/>
                    </w:rPr>
                    <w:t>生态空间</w:t>
                  </w:r>
                </w:p>
                <w:p w14:paraId="6190F4D9">
                  <w:pPr>
                    <w:pStyle w:val="53"/>
                    <w:jc w:val="center"/>
                    <w:rPr>
                      <w:rFonts w:eastAsiaTheme="minorEastAsia"/>
                      <w:b/>
                      <w:color w:val="auto"/>
                      <w:sz w:val="21"/>
                      <w:szCs w:val="21"/>
                    </w:rPr>
                  </w:pPr>
                  <w:r>
                    <w:rPr>
                      <w:rFonts w:eastAsiaTheme="minorEastAsia"/>
                      <w:b/>
                      <w:color w:val="auto"/>
                      <w:sz w:val="21"/>
                      <w:szCs w:val="21"/>
                    </w:rPr>
                    <w:t>管控区域</w:t>
                  </w:r>
                </w:p>
                <w:p w14:paraId="4DAE507F">
                  <w:pPr>
                    <w:pStyle w:val="53"/>
                    <w:jc w:val="center"/>
                    <w:rPr>
                      <w:rFonts w:eastAsiaTheme="minorEastAsia"/>
                      <w:b/>
                      <w:color w:val="auto"/>
                      <w:sz w:val="21"/>
                      <w:szCs w:val="21"/>
                    </w:rPr>
                  </w:pPr>
                  <w:r>
                    <w:rPr>
                      <w:rFonts w:eastAsiaTheme="minorEastAsia"/>
                      <w:b/>
                      <w:color w:val="auto"/>
                      <w:sz w:val="21"/>
                      <w:szCs w:val="21"/>
                    </w:rPr>
                    <w:t>面积</w:t>
                  </w:r>
                </w:p>
              </w:tc>
              <w:tc>
                <w:tcPr>
                  <w:tcW w:w="1068" w:type="dxa"/>
                  <w:tcBorders>
                    <w:bottom w:val="single" w:color="auto" w:sz="4" w:space="0"/>
                  </w:tcBorders>
                  <w:vAlign w:val="center"/>
                </w:tcPr>
                <w:p w14:paraId="52DA9F54">
                  <w:pPr>
                    <w:pStyle w:val="53"/>
                    <w:jc w:val="center"/>
                    <w:rPr>
                      <w:rFonts w:eastAsiaTheme="minorEastAsia"/>
                      <w:b/>
                      <w:color w:val="auto"/>
                      <w:sz w:val="21"/>
                      <w:szCs w:val="21"/>
                    </w:rPr>
                  </w:pPr>
                  <w:r>
                    <w:rPr>
                      <w:rFonts w:eastAsiaTheme="minorEastAsia"/>
                      <w:b/>
                      <w:color w:val="auto"/>
                      <w:sz w:val="21"/>
                      <w:szCs w:val="21"/>
                    </w:rPr>
                    <w:t>总面积</w:t>
                  </w:r>
                </w:p>
              </w:tc>
            </w:tr>
            <w:tr w14:paraId="1BD23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2431" w:hRule="atLeast"/>
                <w:jc w:val="center"/>
              </w:trPr>
              <w:tc>
                <w:tcPr>
                  <w:tcW w:w="646" w:type="dxa"/>
                  <w:tcBorders>
                    <w:top w:val="single" w:color="auto" w:sz="4" w:space="0"/>
                  </w:tcBorders>
                  <w:vAlign w:val="center"/>
                </w:tcPr>
                <w:p w14:paraId="14C97FB7">
                  <w:pPr>
                    <w:pStyle w:val="53"/>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1</w:t>
                  </w:r>
                </w:p>
              </w:tc>
              <w:tc>
                <w:tcPr>
                  <w:tcW w:w="1345" w:type="dxa"/>
                  <w:tcBorders>
                    <w:top w:val="single" w:color="auto" w:sz="4" w:space="0"/>
                  </w:tcBorders>
                  <w:shd w:val="clear" w:color="auto" w:fill="auto"/>
                  <w:vAlign w:val="center"/>
                </w:tcPr>
                <w:p w14:paraId="053C7CED">
                  <w:pPr>
                    <w:pStyle w:val="53"/>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长江魏村饮用水水源保护区</w:t>
                  </w:r>
                </w:p>
              </w:tc>
              <w:tc>
                <w:tcPr>
                  <w:tcW w:w="808" w:type="dxa"/>
                  <w:vMerge w:val="restart"/>
                  <w:tcBorders>
                    <w:top w:val="single" w:color="auto" w:sz="4" w:space="0"/>
                  </w:tcBorders>
                  <w:vAlign w:val="center"/>
                </w:tcPr>
                <w:p w14:paraId="302D0848">
                  <w:pPr>
                    <w:pStyle w:val="53"/>
                    <w:jc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常州</w:t>
                  </w:r>
                </w:p>
                <w:p w14:paraId="66F86B1E">
                  <w:pPr>
                    <w:pStyle w:val="53"/>
                    <w:jc w:val="center"/>
                    <w:rPr>
                      <w:rFonts w:hint="eastAsia" w:eastAsiaTheme="minorEastAsia"/>
                      <w:color w:val="auto"/>
                      <w:sz w:val="21"/>
                      <w:szCs w:val="21"/>
                      <w:lang w:eastAsia="zh-CN"/>
                    </w:rPr>
                  </w:pPr>
                  <w:r>
                    <w:rPr>
                      <w:rFonts w:hint="eastAsia" w:eastAsiaTheme="minorEastAsia"/>
                      <w:color w:val="auto"/>
                      <w:sz w:val="21"/>
                      <w:szCs w:val="21"/>
                      <w:lang w:val="en-US" w:eastAsia="zh-CN"/>
                    </w:rPr>
                    <w:t>市区</w:t>
                  </w:r>
                </w:p>
              </w:tc>
              <w:tc>
                <w:tcPr>
                  <w:tcW w:w="1510" w:type="dxa"/>
                  <w:tcBorders>
                    <w:top w:val="single" w:color="auto" w:sz="4" w:space="0"/>
                  </w:tcBorders>
                  <w:shd w:val="clear" w:color="auto" w:fill="auto"/>
                  <w:vAlign w:val="center"/>
                </w:tcPr>
                <w:p w14:paraId="3930A2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eastAsiaTheme="minorEastAsia"/>
                      <w:color w:val="auto"/>
                      <w:sz w:val="21"/>
                      <w:szCs w:val="21"/>
                    </w:rPr>
                    <w:t>N</w:t>
                  </w:r>
                  <w:r>
                    <w:rPr>
                      <w:rFonts w:hint="eastAsia" w:eastAsiaTheme="minorEastAsia"/>
                      <w:color w:val="auto"/>
                      <w:sz w:val="21"/>
                      <w:szCs w:val="21"/>
                      <w:lang w:val="en-US" w:eastAsia="zh-CN"/>
                    </w:rPr>
                    <w:t>W</w:t>
                  </w:r>
                  <w:r>
                    <w:rPr>
                      <w:rFonts w:eastAsiaTheme="minorEastAsia"/>
                      <w:color w:val="auto"/>
                      <w:sz w:val="21"/>
                      <w:szCs w:val="21"/>
                    </w:rPr>
                    <w:t>，</w:t>
                  </w:r>
                  <w:r>
                    <w:rPr>
                      <w:rFonts w:hint="eastAsia" w:eastAsiaTheme="minorEastAsia"/>
                      <w:color w:val="auto"/>
                      <w:sz w:val="21"/>
                      <w:szCs w:val="21"/>
                      <w:lang w:val="en-US" w:eastAsia="zh-CN"/>
                    </w:rPr>
                    <w:t>5.9</w:t>
                  </w:r>
                  <w:r>
                    <w:rPr>
                      <w:rFonts w:eastAsiaTheme="minorEastAsia"/>
                      <w:color w:val="auto"/>
                      <w:sz w:val="21"/>
                      <w:szCs w:val="21"/>
                    </w:rPr>
                    <w:t>km</w:t>
                  </w:r>
                </w:p>
              </w:tc>
              <w:tc>
                <w:tcPr>
                  <w:tcW w:w="675" w:type="dxa"/>
                  <w:tcBorders>
                    <w:top w:val="single" w:color="auto" w:sz="4" w:space="0"/>
                  </w:tcBorders>
                  <w:shd w:val="clear" w:color="auto" w:fill="auto"/>
                  <w:vAlign w:val="center"/>
                </w:tcPr>
                <w:p w14:paraId="798008CE">
                  <w:pPr>
                    <w:pStyle w:val="53"/>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水源水质保护</w:t>
                  </w:r>
                </w:p>
              </w:tc>
              <w:tc>
                <w:tcPr>
                  <w:tcW w:w="2750" w:type="dxa"/>
                  <w:tcBorders>
                    <w:top w:val="single" w:color="auto" w:sz="4" w:space="0"/>
                  </w:tcBorders>
                  <w:shd w:val="clear" w:color="auto" w:fill="auto"/>
                  <w:vAlign w:val="center"/>
                </w:tcPr>
                <w:p w14:paraId="16E6FE75">
                  <w:pPr>
                    <w:pStyle w:val="53"/>
                    <w:rPr>
                      <w:rFonts w:eastAsiaTheme="minorEastAsia"/>
                      <w:color w:val="auto"/>
                      <w:sz w:val="21"/>
                      <w:szCs w:val="21"/>
                    </w:rPr>
                  </w:pPr>
                  <w:r>
                    <w:rPr>
                      <w:rFonts w:eastAsiaTheme="minorEastAsia"/>
                      <w:color w:val="auto"/>
                      <w:sz w:val="21"/>
                      <w:szCs w:val="21"/>
                    </w:rPr>
                    <w:t>一级保护区：取水口上游500米至下游500米，向对岸500米至本岸背水坡堤脚外100米范围内的水域和陆域。</w:t>
                  </w:r>
                </w:p>
                <w:p w14:paraId="227685C2">
                  <w:pPr>
                    <w:pStyle w:val="53"/>
                    <w:rPr>
                      <w:rFonts w:eastAsiaTheme="minorEastAsia"/>
                      <w:color w:val="auto"/>
                      <w:sz w:val="21"/>
                      <w:szCs w:val="21"/>
                    </w:rPr>
                  </w:pPr>
                  <w:r>
                    <w:rPr>
                      <w:rFonts w:eastAsiaTheme="minorEastAsia"/>
                      <w:color w:val="auto"/>
                      <w:sz w:val="21"/>
                      <w:szCs w:val="21"/>
                    </w:rPr>
                    <w:t>二级保护区：一级保护区以外上溯1500米、下延1000米的水域和陆域。</w:t>
                  </w:r>
                </w:p>
                <w:p w14:paraId="28409539">
                  <w:pPr>
                    <w:pStyle w:val="53"/>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准保护区：二级保护区以外上溯2000米、下延1000米范围内的水域和陆域范围</w:t>
                  </w:r>
                </w:p>
              </w:tc>
              <w:tc>
                <w:tcPr>
                  <w:tcW w:w="2233" w:type="dxa"/>
                  <w:tcBorders>
                    <w:top w:val="single" w:color="auto" w:sz="4" w:space="0"/>
                  </w:tcBorders>
                  <w:shd w:val="clear" w:color="auto" w:fill="auto"/>
                  <w:vAlign w:val="center"/>
                </w:tcPr>
                <w:p w14:paraId="6C28CCB8">
                  <w:pPr>
                    <w:pStyle w:val="53"/>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w:t>
                  </w:r>
                </w:p>
              </w:tc>
              <w:tc>
                <w:tcPr>
                  <w:tcW w:w="1148" w:type="dxa"/>
                  <w:tcBorders>
                    <w:top w:val="single" w:color="auto" w:sz="4" w:space="0"/>
                  </w:tcBorders>
                  <w:shd w:val="clear" w:color="auto" w:fill="auto"/>
                  <w:vAlign w:val="center"/>
                </w:tcPr>
                <w:p w14:paraId="34F158FF">
                  <w:pPr>
                    <w:pStyle w:val="53"/>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4.41</w:t>
                  </w:r>
                </w:p>
              </w:tc>
              <w:tc>
                <w:tcPr>
                  <w:tcW w:w="1094" w:type="dxa"/>
                  <w:tcBorders>
                    <w:top w:val="single" w:color="auto" w:sz="4" w:space="0"/>
                  </w:tcBorders>
                  <w:shd w:val="clear" w:color="auto" w:fill="auto"/>
                  <w:vAlign w:val="center"/>
                </w:tcPr>
                <w:p w14:paraId="638668E4">
                  <w:pPr>
                    <w:pStyle w:val="53"/>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w:t>
                  </w:r>
                </w:p>
              </w:tc>
              <w:tc>
                <w:tcPr>
                  <w:tcW w:w="1068" w:type="dxa"/>
                  <w:tcBorders>
                    <w:top w:val="single" w:color="auto" w:sz="4" w:space="0"/>
                  </w:tcBorders>
                  <w:shd w:val="clear" w:color="auto" w:fill="auto"/>
                  <w:vAlign w:val="center"/>
                </w:tcPr>
                <w:p w14:paraId="297C9AFF">
                  <w:pPr>
                    <w:pStyle w:val="53"/>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4.41</w:t>
                  </w:r>
                </w:p>
              </w:tc>
            </w:tr>
            <w:tr w14:paraId="6C40A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669" w:hRule="atLeast"/>
                <w:jc w:val="center"/>
              </w:trPr>
              <w:tc>
                <w:tcPr>
                  <w:tcW w:w="646" w:type="dxa"/>
                  <w:vAlign w:val="center"/>
                </w:tcPr>
                <w:p w14:paraId="28D6296C">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w:t>
                  </w:r>
                </w:p>
              </w:tc>
              <w:tc>
                <w:tcPr>
                  <w:tcW w:w="1345" w:type="dxa"/>
                  <w:shd w:val="clear" w:color="auto" w:fill="auto"/>
                  <w:vAlign w:val="center"/>
                </w:tcPr>
                <w:p w14:paraId="6B7620AD">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新孟河（</w:t>
                  </w:r>
                  <w:r>
                    <w:rPr>
                      <w:rFonts w:hint="eastAsia" w:eastAsiaTheme="minorEastAsia"/>
                      <w:color w:val="auto"/>
                      <w:sz w:val="21"/>
                      <w:szCs w:val="21"/>
                      <w:lang w:val="en-US" w:eastAsia="zh-CN"/>
                    </w:rPr>
                    <w:t>新北</w:t>
                  </w:r>
                  <w:r>
                    <w:rPr>
                      <w:rFonts w:eastAsiaTheme="minorEastAsia"/>
                      <w:color w:val="auto"/>
                      <w:sz w:val="21"/>
                      <w:szCs w:val="21"/>
                    </w:rPr>
                    <w:t>区）清水通道维护区</w:t>
                  </w:r>
                </w:p>
              </w:tc>
              <w:tc>
                <w:tcPr>
                  <w:tcW w:w="808" w:type="dxa"/>
                  <w:vMerge w:val="continue"/>
                  <w:vAlign w:val="center"/>
                </w:tcPr>
                <w:p w14:paraId="77BAA6BF">
                  <w:pPr>
                    <w:jc w:val="center"/>
                    <w:rPr>
                      <w:rFonts w:eastAsiaTheme="minorEastAsia"/>
                      <w:color w:val="FF0000"/>
                      <w:sz w:val="21"/>
                      <w:szCs w:val="21"/>
                    </w:rPr>
                  </w:pPr>
                </w:p>
              </w:tc>
              <w:tc>
                <w:tcPr>
                  <w:tcW w:w="1510" w:type="dxa"/>
                  <w:shd w:val="clear" w:color="auto" w:fill="auto"/>
                  <w:vAlign w:val="center"/>
                </w:tcPr>
                <w:p w14:paraId="47425743">
                  <w:pPr>
                    <w:pStyle w:val="53"/>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Theme="minorEastAsia"/>
                      <w:color w:val="auto"/>
                      <w:sz w:val="21"/>
                      <w:szCs w:val="21"/>
                    </w:rPr>
                    <w:t>N</w:t>
                  </w:r>
                  <w:r>
                    <w:rPr>
                      <w:rFonts w:eastAsiaTheme="minorEastAsia"/>
                      <w:color w:val="auto"/>
                      <w:sz w:val="21"/>
                      <w:szCs w:val="21"/>
                    </w:rPr>
                    <w:t>W，</w:t>
                  </w:r>
                  <w:r>
                    <w:rPr>
                      <w:rFonts w:hint="eastAsia" w:eastAsiaTheme="minorEastAsia"/>
                      <w:color w:val="auto"/>
                      <w:sz w:val="21"/>
                      <w:szCs w:val="21"/>
                      <w:lang w:val="en-US" w:eastAsia="zh-CN"/>
                    </w:rPr>
                    <w:t>11.5</w:t>
                  </w:r>
                  <w:r>
                    <w:rPr>
                      <w:rFonts w:eastAsiaTheme="minorEastAsia"/>
                      <w:color w:val="auto"/>
                      <w:sz w:val="21"/>
                      <w:szCs w:val="21"/>
                    </w:rPr>
                    <w:t>km</w:t>
                  </w:r>
                </w:p>
              </w:tc>
              <w:tc>
                <w:tcPr>
                  <w:tcW w:w="675" w:type="dxa"/>
                  <w:shd w:val="clear" w:color="auto" w:fill="auto"/>
                  <w:vAlign w:val="center"/>
                </w:tcPr>
                <w:p w14:paraId="143DC4F3">
                  <w:pPr>
                    <w:pStyle w:val="53"/>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水源水质保护</w:t>
                  </w:r>
                </w:p>
              </w:tc>
              <w:tc>
                <w:tcPr>
                  <w:tcW w:w="2750" w:type="dxa"/>
                  <w:shd w:val="clear" w:color="auto" w:fill="auto"/>
                  <w:vAlign w:val="center"/>
                </w:tcPr>
                <w:p w14:paraId="1381084A">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w:t>
                  </w:r>
                </w:p>
              </w:tc>
              <w:tc>
                <w:tcPr>
                  <w:tcW w:w="2233" w:type="dxa"/>
                  <w:shd w:val="clear" w:color="auto" w:fill="auto"/>
                  <w:vAlign w:val="center"/>
                </w:tcPr>
                <w:p w14:paraId="490E8689">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新孟河</w:t>
                  </w:r>
                  <w:r>
                    <w:rPr>
                      <w:rFonts w:hint="eastAsia" w:eastAsiaTheme="minorEastAsia"/>
                      <w:color w:val="auto"/>
                      <w:sz w:val="21"/>
                      <w:szCs w:val="21"/>
                    </w:rPr>
                    <w:t>两侧</w:t>
                  </w:r>
                  <w:r>
                    <w:rPr>
                      <w:rFonts w:eastAsiaTheme="minorEastAsia"/>
                      <w:color w:val="auto"/>
                      <w:sz w:val="21"/>
                      <w:szCs w:val="21"/>
                    </w:rPr>
                    <w:t>1000米范围</w:t>
                  </w:r>
                  <w:r>
                    <w:rPr>
                      <w:rFonts w:hint="eastAsia" w:eastAsiaTheme="minorEastAsia"/>
                      <w:color w:val="auto"/>
                      <w:sz w:val="21"/>
                      <w:szCs w:val="21"/>
                    </w:rPr>
                    <w:t>内</w:t>
                  </w:r>
                </w:p>
              </w:tc>
              <w:tc>
                <w:tcPr>
                  <w:tcW w:w="1148" w:type="dxa"/>
                  <w:shd w:val="clear" w:color="auto" w:fill="auto"/>
                  <w:vAlign w:val="center"/>
                </w:tcPr>
                <w:p w14:paraId="106DC6EF">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w:t>
                  </w:r>
                </w:p>
              </w:tc>
              <w:tc>
                <w:tcPr>
                  <w:tcW w:w="1094" w:type="dxa"/>
                  <w:shd w:val="clear" w:color="auto" w:fill="auto"/>
                  <w:vAlign w:val="center"/>
                </w:tcPr>
                <w:p w14:paraId="411B6B86">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37.39</w:t>
                  </w:r>
                </w:p>
              </w:tc>
              <w:tc>
                <w:tcPr>
                  <w:tcW w:w="1068" w:type="dxa"/>
                  <w:shd w:val="clear" w:color="auto" w:fill="auto"/>
                  <w:vAlign w:val="center"/>
                </w:tcPr>
                <w:p w14:paraId="0EDBF19A">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37.39</w:t>
                  </w:r>
                </w:p>
              </w:tc>
            </w:tr>
            <w:tr w14:paraId="235AF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889" w:hRule="atLeast"/>
                <w:jc w:val="center"/>
              </w:trPr>
              <w:tc>
                <w:tcPr>
                  <w:tcW w:w="646" w:type="dxa"/>
                  <w:vAlign w:val="center"/>
                </w:tcPr>
                <w:p w14:paraId="4CE79AF8">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w:t>
                  </w:r>
                </w:p>
              </w:tc>
              <w:tc>
                <w:tcPr>
                  <w:tcW w:w="1345" w:type="dxa"/>
                  <w:shd w:val="clear" w:color="auto" w:fill="auto"/>
                  <w:vAlign w:val="center"/>
                </w:tcPr>
                <w:p w14:paraId="7F4AC509">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kern w:val="0"/>
                      <w:sz w:val="21"/>
                      <w:szCs w:val="21"/>
                    </w:rPr>
                    <w:t>新龙生态公益林</w:t>
                  </w:r>
                </w:p>
              </w:tc>
              <w:tc>
                <w:tcPr>
                  <w:tcW w:w="808" w:type="dxa"/>
                  <w:vMerge w:val="continue"/>
                  <w:vAlign w:val="center"/>
                </w:tcPr>
                <w:p w14:paraId="3F6ED65F">
                  <w:pPr>
                    <w:jc w:val="center"/>
                    <w:rPr>
                      <w:rFonts w:eastAsiaTheme="minorEastAsia"/>
                      <w:color w:val="FF0000"/>
                      <w:sz w:val="21"/>
                      <w:szCs w:val="21"/>
                    </w:rPr>
                  </w:pPr>
                </w:p>
              </w:tc>
              <w:tc>
                <w:tcPr>
                  <w:tcW w:w="1510" w:type="dxa"/>
                  <w:shd w:val="clear" w:color="auto" w:fill="auto"/>
                  <w:vAlign w:val="center"/>
                </w:tcPr>
                <w:p w14:paraId="3A3DD837">
                  <w:pPr>
                    <w:pStyle w:val="53"/>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Theme="minorEastAsia"/>
                      <w:color w:val="auto"/>
                      <w:sz w:val="21"/>
                      <w:szCs w:val="21"/>
                    </w:rPr>
                    <w:t>S</w:t>
                  </w:r>
                  <w:r>
                    <w:rPr>
                      <w:rFonts w:hint="eastAsia" w:eastAsiaTheme="minorEastAsia"/>
                      <w:color w:val="auto"/>
                      <w:sz w:val="21"/>
                      <w:szCs w:val="21"/>
                      <w:lang w:val="en-US" w:eastAsia="zh-CN"/>
                    </w:rPr>
                    <w:t>W</w:t>
                  </w:r>
                  <w:r>
                    <w:rPr>
                      <w:rFonts w:eastAsiaTheme="minorEastAsia"/>
                      <w:color w:val="auto"/>
                      <w:sz w:val="21"/>
                      <w:szCs w:val="21"/>
                    </w:rPr>
                    <w:t>，</w:t>
                  </w:r>
                  <w:r>
                    <w:rPr>
                      <w:rFonts w:hint="eastAsia" w:eastAsiaTheme="minorEastAsia"/>
                      <w:color w:val="auto"/>
                      <w:sz w:val="21"/>
                      <w:szCs w:val="21"/>
                      <w:lang w:val="en-US" w:eastAsia="zh-CN"/>
                    </w:rPr>
                    <w:t>1.8</w:t>
                  </w:r>
                  <w:r>
                    <w:rPr>
                      <w:rFonts w:eastAsiaTheme="minorEastAsia"/>
                      <w:color w:val="auto"/>
                      <w:sz w:val="21"/>
                      <w:szCs w:val="21"/>
                    </w:rPr>
                    <w:t>km</w:t>
                  </w:r>
                </w:p>
              </w:tc>
              <w:tc>
                <w:tcPr>
                  <w:tcW w:w="675" w:type="dxa"/>
                  <w:shd w:val="clear" w:color="auto" w:fill="auto"/>
                  <w:vAlign w:val="center"/>
                </w:tcPr>
                <w:p w14:paraId="5097F213">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kern w:val="0"/>
                      <w:sz w:val="21"/>
                      <w:szCs w:val="21"/>
                    </w:rPr>
                    <w:t>水土保持</w:t>
                  </w:r>
                </w:p>
              </w:tc>
              <w:tc>
                <w:tcPr>
                  <w:tcW w:w="2750" w:type="dxa"/>
                  <w:shd w:val="clear" w:color="auto" w:fill="auto"/>
                  <w:vAlign w:val="center"/>
                </w:tcPr>
                <w:p w14:paraId="55B28176">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w:t>
                  </w:r>
                </w:p>
              </w:tc>
              <w:tc>
                <w:tcPr>
                  <w:tcW w:w="2233" w:type="dxa"/>
                  <w:shd w:val="clear" w:color="auto" w:fill="auto"/>
                  <w:vAlign w:val="center"/>
                </w:tcPr>
                <w:p w14:paraId="06D94B2A">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东至江阴界，西至常泰高速，南至新龙国际商务中心，北至S122省道</w:t>
                  </w:r>
                </w:p>
              </w:tc>
              <w:tc>
                <w:tcPr>
                  <w:tcW w:w="1148" w:type="dxa"/>
                  <w:shd w:val="clear" w:color="auto" w:fill="auto"/>
                  <w:vAlign w:val="center"/>
                </w:tcPr>
                <w:p w14:paraId="33D39C82">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w:t>
                  </w:r>
                </w:p>
              </w:tc>
              <w:tc>
                <w:tcPr>
                  <w:tcW w:w="1094" w:type="dxa"/>
                  <w:shd w:val="clear" w:color="auto" w:fill="auto"/>
                  <w:vAlign w:val="center"/>
                </w:tcPr>
                <w:p w14:paraId="03271ADC">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5.90</w:t>
                  </w:r>
                </w:p>
              </w:tc>
              <w:tc>
                <w:tcPr>
                  <w:tcW w:w="1068" w:type="dxa"/>
                  <w:shd w:val="clear" w:color="auto" w:fill="auto"/>
                  <w:vAlign w:val="center"/>
                </w:tcPr>
                <w:p w14:paraId="0423D287">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5.90</w:t>
                  </w:r>
                </w:p>
              </w:tc>
            </w:tr>
            <w:tr w14:paraId="68EC7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914" w:hRule="atLeast"/>
                <w:jc w:val="center"/>
              </w:trPr>
              <w:tc>
                <w:tcPr>
                  <w:tcW w:w="646" w:type="dxa"/>
                  <w:vAlign w:val="center"/>
                </w:tcPr>
                <w:p w14:paraId="729806F8">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p>
              </w:tc>
              <w:tc>
                <w:tcPr>
                  <w:tcW w:w="1345" w:type="dxa"/>
                  <w:shd w:val="clear" w:color="auto" w:fill="auto"/>
                  <w:vAlign w:val="center"/>
                </w:tcPr>
                <w:p w14:paraId="1AD7981A">
                  <w:pPr>
                    <w:jc w:val="center"/>
                    <w:rPr>
                      <w:rFonts w:ascii="Times New Roman" w:hAnsi="Times New Roman" w:cs="Times New Roman" w:eastAsiaTheme="minorEastAsia"/>
                      <w:color w:val="auto"/>
                      <w:kern w:val="0"/>
                      <w:sz w:val="21"/>
                      <w:szCs w:val="21"/>
                      <w:lang w:val="en-US" w:eastAsia="zh-CN" w:bidi="ar-SA"/>
                    </w:rPr>
                  </w:pPr>
                  <w:r>
                    <w:rPr>
                      <w:rFonts w:eastAsiaTheme="minorEastAsia"/>
                      <w:color w:val="auto"/>
                      <w:kern w:val="0"/>
                      <w:sz w:val="21"/>
                      <w:szCs w:val="21"/>
                    </w:rPr>
                    <w:t>小黄山生态公益林</w:t>
                  </w:r>
                </w:p>
              </w:tc>
              <w:tc>
                <w:tcPr>
                  <w:tcW w:w="808" w:type="dxa"/>
                  <w:vMerge w:val="continue"/>
                  <w:vAlign w:val="center"/>
                </w:tcPr>
                <w:p w14:paraId="2AEEA222">
                  <w:pPr>
                    <w:jc w:val="center"/>
                    <w:rPr>
                      <w:rFonts w:eastAsiaTheme="minorEastAsia"/>
                      <w:color w:val="FF0000"/>
                      <w:sz w:val="21"/>
                      <w:szCs w:val="21"/>
                    </w:rPr>
                  </w:pPr>
                </w:p>
              </w:tc>
              <w:tc>
                <w:tcPr>
                  <w:tcW w:w="1510" w:type="dxa"/>
                  <w:shd w:val="clear" w:color="auto" w:fill="auto"/>
                  <w:vAlign w:val="center"/>
                </w:tcPr>
                <w:p w14:paraId="5FB0043C">
                  <w:pPr>
                    <w:pStyle w:val="53"/>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auto"/>
                      <w:kern w:val="2"/>
                      <w:sz w:val="21"/>
                      <w:szCs w:val="21"/>
                      <w:highlight w:val="none"/>
                      <w:lang w:val="en-US" w:eastAsia="zh-CN" w:bidi="ar-SA"/>
                    </w:rPr>
                  </w:pPr>
                  <w:r>
                    <w:rPr>
                      <w:rFonts w:eastAsiaTheme="minorEastAsia"/>
                      <w:color w:val="auto"/>
                      <w:sz w:val="21"/>
                      <w:szCs w:val="21"/>
                    </w:rPr>
                    <w:t>NW，</w:t>
                  </w:r>
                  <w:r>
                    <w:rPr>
                      <w:rFonts w:hint="eastAsia" w:eastAsiaTheme="minorEastAsia"/>
                      <w:color w:val="auto"/>
                      <w:sz w:val="21"/>
                      <w:szCs w:val="21"/>
                      <w:lang w:val="en-US" w:eastAsia="zh-CN"/>
                    </w:rPr>
                    <w:t>15.7</w:t>
                  </w:r>
                  <w:r>
                    <w:rPr>
                      <w:rFonts w:eastAsiaTheme="minorEastAsia"/>
                      <w:color w:val="auto"/>
                      <w:sz w:val="21"/>
                      <w:szCs w:val="21"/>
                    </w:rPr>
                    <w:t>km</w:t>
                  </w:r>
                </w:p>
              </w:tc>
              <w:tc>
                <w:tcPr>
                  <w:tcW w:w="675" w:type="dxa"/>
                  <w:shd w:val="clear" w:color="auto" w:fill="auto"/>
                  <w:vAlign w:val="center"/>
                </w:tcPr>
                <w:p w14:paraId="6A264CB0">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kern w:val="0"/>
                      <w:sz w:val="21"/>
                      <w:szCs w:val="21"/>
                    </w:rPr>
                    <w:t>水土保持</w:t>
                  </w:r>
                </w:p>
              </w:tc>
              <w:tc>
                <w:tcPr>
                  <w:tcW w:w="2750" w:type="dxa"/>
                  <w:shd w:val="clear" w:color="auto" w:fill="auto"/>
                  <w:vAlign w:val="center"/>
                </w:tcPr>
                <w:p w14:paraId="486AE201">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w:t>
                  </w:r>
                </w:p>
              </w:tc>
              <w:tc>
                <w:tcPr>
                  <w:tcW w:w="2233" w:type="dxa"/>
                  <w:shd w:val="clear" w:color="auto" w:fill="auto"/>
                  <w:vAlign w:val="center"/>
                </w:tcPr>
                <w:p w14:paraId="69B496C4">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东至常泰高速，南至小黄山山脚线，西至绕山路及浦河，北至新北区行政边界</w:t>
                  </w:r>
                </w:p>
              </w:tc>
              <w:tc>
                <w:tcPr>
                  <w:tcW w:w="1148" w:type="dxa"/>
                  <w:shd w:val="clear" w:color="auto" w:fill="auto"/>
                  <w:vAlign w:val="center"/>
                </w:tcPr>
                <w:p w14:paraId="2DB225BE">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w:t>
                  </w:r>
                </w:p>
              </w:tc>
              <w:tc>
                <w:tcPr>
                  <w:tcW w:w="1094" w:type="dxa"/>
                  <w:shd w:val="clear" w:color="auto" w:fill="auto"/>
                  <w:vAlign w:val="center"/>
                </w:tcPr>
                <w:p w14:paraId="0AB9B2A4">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7.11</w:t>
                  </w:r>
                </w:p>
              </w:tc>
              <w:tc>
                <w:tcPr>
                  <w:tcW w:w="1068" w:type="dxa"/>
                  <w:shd w:val="clear" w:color="auto" w:fill="auto"/>
                  <w:vAlign w:val="center"/>
                </w:tcPr>
                <w:p w14:paraId="020FEB61">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 w:val="21"/>
                      <w:szCs w:val="21"/>
                    </w:rPr>
                    <w:t>7.11</w:t>
                  </w:r>
                </w:p>
              </w:tc>
            </w:tr>
          </w:tbl>
          <w:p w14:paraId="310B5A9F">
            <w:pPr>
              <w:autoSpaceDE w:val="0"/>
              <w:autoSpaceDN w:val="0"/>
              <w:adjustRightInd w:val="0"/>
              <w:snapToGrid w:val="0"/>
              <w:spacing w:line="360" w:lineRule="auto"/>
              <w:ind w:firstLine="480" w:firstLineChars="200"/>
              <w:rPr>
                <w:rFonts w:hint="default" w:ascii="Times New Roman" w:hAnsi="Times New Roman" w:cs="Times New Roman" w:eastAsiaTheme="minorEastAsia"/>
                <w:color w:val="FF0000"/>
                <w:sz w:val="24"/>
                <w:highlight w:val="none"/>
              </w:rPr>
            </w:pPr>
          </w:p>
        </w:tc>
      </w:tr>
    </w:tbl>
    <w:p w14:paraId="34355B7F">
      <w:pPr>
        <w:spacing w:line="360" w:lineRule="auto"/>
        <w:ind w:firstLine="482" w:firstLineChars="200"/>
        <w:rPr>
          <w:rFonts w:hint="eastAsia"/>
          <w:b/>
          <w:bCs/>
          <w:color w:val="FF0000"/>
          <w:kern w:val="0"/>
          <w:sz w:val="24"/>
        </w:rPr>
        <w:sectPr>
          <w:pgSz w:w="16838" w:h="11906" w:orient="landscape"/>
          <w:pgMar w:top="1800" w:right="1440" w:bottom="1800" w:left="1713"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35"/>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9"/>
        <w:gridCol w:w="8391"/>
      </w:tblGrid>
      <w:tr w14:paraId="073436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87" w:hRule="atLeast"/>
          <w:jc w:val="center"/>
        </w:trPr>
        <w:tc>
          <w:tcPr>
            <w:tcW w:w="479" w:type="dxa"/>
            <w:vAlign w:val="center"/>
          </w:tcPr>
          <w:p w14:paraId="4D1D3A49">
            <w:pPr>
              <w:pStyle w:val="2"/>
              <w:ind w:left="0" w:leftChars="0" w:firstLine="0" w:firstLineChars="0"/>
              <w:jc w:val="center"/>
              <w:rPr>
                <w:color w:val="FF0000"/>
              </w:rPr>
            </w:pPr>
            <w:r>
              <w:rPr>
                <w:rFonts w:hint="eastAsia" w:ascii="宋体" w:hAnsi="宋体" w:eastAsia="宋体" w:cs="宋体"/>
                <w:b/>
                <w:bCs/>
                <w:color w:val="auto"/>
                <w:kern w:val="0"/>
                <w:sz w:val="24"/>
                <w:szCs w:val="24"/>
                <w:lang w:val="en-US" w:eastAsia="zh-CN" w:bidi="ar-SA"/>
              </w:rPr>
              <w:t>其他符合性分析</w:t>
            </w:r>
          </w:p>
        </w:tc>
        <w:tc>
          <w:tcPr>
            <w:tcW w:w="8391" w:type="dxa"/>
            <w:vAlign w:val="center"/>
          </w:tcPr>
          <w:p w14:paraId="03D54948">
            <w:pPr>
              <w:spacing w:line="360" w:lineRule="auto"/>
              <w:ind w:firstLine="482" w:firstLineChars="200"/>
              <w:rPr>
                <w:b/>
                <w:bCs/>
                <w:color w:val="auto"/>
                <w:kern w:val="0"/>
                <w:sz w:val="24"/>
              </w:rPr>
            </w:pPr>
            <w:r>
              <w:rPr>
                <w:rFonts w:hint="eastAsia"/>
                <w:b/>
                <w:bCs/>
                <w:color w:val="auto"/>
                <w:kern w:val="0"/>
                <w:sz w:val="24"/>
                <w:lang w:val="en-US" w:eastAsia="zh-CN"/>
              </w:rPr>
              <w:t>3</w:t>
            </w:r>
            <w:r>
              <w:rPr>
                <w:rFonts w:hint="eastAsia"/>
                <w:b/>
                <w:bCs/>
                <w:color w:val="auto"/>
                <w:kern w:val="0"/>
                <w:sz w:val="24"/>
              </w:rPr>
              <w:t>、产业政策相符性</w:t>
            </w:r>
          </w:p>
          <w:p w14:paraId="427F1595">
            <w:pPr>
              <w:adjustRightInd w:val="0"/>
              <w:snapToGrid w:val="0"/>
              <w:spacing w:line="360" w:lineRule="auto"/>
              <w:jc w:val="center"/>
              <w:rPr>
                <w:rFonts w:hint="default"/>
                <w:b/>
                <w:color w:val="auto"/>
                <w:sz w:val="24"/>
                <w:szCs w:val="24"/>
              </w:rPr>
            </w:pPr>
            <w:r>
              <w:rPr>
                <w:rFonts w:hint="default"/>
                <w:b/>
                <w:color w:val="auto"/>
                <w:sz w:val="24"/>
                <w:szCs w:val="24"/>
              </w:rPr>
              <w:t>表1-</w:t>
            </w:r>
            <w:r>
              <w:rPr>
                <w:rFonts w:hint="eastAsia"/>
                <w:b/>
                <w:color w:val="auto"/>
                <w:sz w:val="24"/>
                <w:szCs w:val="24"/>
                <w:lang w:val="en-US" w:eastAsia="zh-CN"/>
              </w:rPr>
              <w:t>5</w:t>
            </w:r>
            <w:r>
              <w:rPr>
                <w:rFonts w:hint="default"/>
                <w:b/>
                <w:color w:val="auto"/>
                <w:sz w:val="24"/>
                <w:szCs w:val="24"/>
              </w:rPr>
              <w:t>与国家及地方产业政策相符性分析</w:t>
            </w:r>
          </w:p>
          <w:tbl>
            <w:tblPr>
              <w:tblStyle w:val="36"/>
              <w:tblW w:w="82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940"/>
              <w:gridCol w:w="3613"/>
            </w:tblGrid>
            <w:tr w14:paraId="50C1D4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405" w:type="pct"/>
                  <w:vAlign w:val="center"/>
                </w:tcPr>
                <w:p w14:paraId="4DD77851">
                  <w:pPr>
                    <w:autoSpaceDE w:val="0"/>
                    <w:autoSpaceDN w:val="0"/>
                    <w:adjustRightInd w:val="0"/>
                    <w:snapToGrid w:val="0"/>
                    <w:jc w:val="center"/>
                    <w:rPr>
                      <w:rFonts w:hint="default"/>
                      <w:b/>
                      <w:bCs/>
                      <w:color w:val="auto"/>
                      <w:kern w:val="0"/>
                      <w:szCs w:val="21"/>
                      <w:lang w:val="en-US" w:eastAsia="zh-CN"/>
                    </w:rPr>
                  </w:pPr>
                  <w:r>
                    <w:rPr>
                      <w:rFonts w:hint="default"/>
                      <w:b/>
                      <w:bCs/>
                      <w:color w:val="auto"/>
                      <w:kern w:val="0"/>
                      <w:szCs w:val="21"/>
                      <w:lang w:val="en-US" w:eastAsia="zh-CN"/>
                    </w:rPr>
                    <w:t>序号</w:t>
                  </w:r>
                </w:p>
              </w:tc>
              <w:tc>
                <w:tcPr>
                  <w:tcW w:w="2396" w:type="pct"/>
                  <w:vAlign w:val="center"/>
                </w:tcPr>
                <w:p w14:paraId="275EEFCC">
                  <w:pPr>
                    <w:autoSpaceDE w:val="0"/>
                    <w:autoSpaceDN w:val="0"/>
                    <w:adjustRightInd w:val="0"/>
                    <w:snapToGrid w:val="0"/>
                    <w:jc w:val="center"/>
                    <w:rPr>
                      <w:rFonts w:hint="default"/>
                      <w:b/>
                      <w:bCs/>
                      <w:color w:val="auto"/>
                      <w:kern w:val="0"/>
                      <w:szCs w:val="21"/>
                      <w:lang w:val="en-US" w:eastAsia="zh-CN"/>
                    </w:rPr>
                  </w:pPr>
                  <w:r>
                    <w:rPr>
                      <w:rFonts w:hint="default"/>
                      <w:b/>
                      <w:bCs/>
                      <w:color w:val="auto"/>
                      <w:kern w:val="0"/>
                      <w:szCs w:val="21"/>
                      <w:lang w:val="en-US" w:eastAsia="zh-CN"/>
                    </w:rPr>
                    <w:t>负面清单</w:t>
                  </w:r>
                </w:p>
              </w:tc>
              <w:tc>
                <w:tcPr>
                  <w:tcW w:w="2197" w:type="pct"/>
                  <w:vAlign w:val="center"/>
                </w:tcPr>
                <w:p w14:paraId="0587B2C9">
                  <w:pPr>
                    <w:autoSpaceDE w:val="0"/>
                    <w:autoSpaceDN w:val="0"/>
                    <w:adjustRightInd w:val="0"/>
                    <w:snapToGrid w:val="0"/>
                    <w:jc w:val="center"/>
                    <w:rPr>
                      <w:rFonts w:hint="default"/>
                      <w:b/>
                      <w:bCs/>
                      <w:color w:val="auto"/>
                      <w:kern w:val="0"/>
                      <w:szCs w:val="21"/>
                      <w:lang w:val="en-US" w:eastAsia="zh-CN"/>
                    </w:rPr>
                  </w:pPr>
                  <w:r>
                    <w:rPr>
                      <w:rFonts w:hint="default"/>
                      <w:b/>
                      <w:bCs/>
                      <w:color w:val="auto"/>
                      <w:kern w:val="0"/>
                      <w:szCs w:val="21"/>
                      <w:lang w:val="en-US" w:eastAsia="zh-CN"/>
                    </w:rPr>
                    <w:t>符合性分析</w:t>
                  </w:r>
                </w:p>
              </w:tc>
            </w:tr>
            <w:tr w14:paraId="08750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05" w:type="pct"/>
                  <w:shd w:val="clear" w:color="auto" w:fill="auto"/>
                  <w:vAlign w:val="center"/>
                </w:tcPr>
                <w:p w14:paraId="00C2B8C9">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396" w:type="pct"/>
                  <w:shd w:val="clear" w:color="auto" w:fill="auto"/>
                  <w:vAlign w:val="center"/>
                </w:tcPr>
                <w:p w14:paraId="320D1819">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《市场准入负面清单（202</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版）》</w:t>
                  </w:r>
                </w:p>
              </w:tc>
              <w:tc>
                <w:tcPr>
                  <w:tcW w:w="2197" w:type="pct"/>
                  <w:vAlign w:val="center"/>
                </w:tcPr>
                <w:p w14:paraId="383256A1">
                  <w:pPr>
                    <w:pStyle w:val="1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不属于</w:t>
                  </w:r>
                  <w:r>
                    <w:rPr>
                      <w:rFonts w:hint="eastAsia" w:ascii="Times New Roman" w:hAnsi="Times New Roman" w:eastAsia="宋体" w:cs="Times New Roman"/>
                      <w:color w:val="auto"/>
                      <w:kern w:val="2"/>
                      <w:sz w:val="21"/>
                      <w:szCs w:val="21"/>
                      <w:highlight w:val="none"/>
                      <w:lang w:val="en-US" w:eastAsia="zh-CN" w:bidi="ar-SA"/>
                    </w:rPr>
                    <w:t>负面清单所列</w:t>
                  </w:r>
                  <w:r>
                    <w:rPr>
                      <w:rFonts w:hint="default" w:ascii="Times New Roman" w:hAnsi="Times New Roman" w:eastAsia="宋体" w:cs="Times New Roman"/>
                      <w:color w:val="auto"/>
                      <w:kern w:val="2"/>
                      <w:sz w:val="21"/>
                      <w:szCs w:val="21"/>
                      <w:highlight w:val="none"/>
                      <w:lang w:val="en-US" w:eastAsia="zh-CN" w:bidi="ar-SA"/>
                    </w:rPr>
                    <w:t>禁止准入和</w:t>
                  </w:r>
                  <w:r>
                    <w:rPr>
                      <w:rFonts w:hint="eastAsia" w:ascii="Times New Roman" w:hAnsi="Times New Roman" w:eastAsia="宋体" w:cs="Times New Roman"/>
                      <w:color w:val="auto"/>
                      <w:kern w:val="2"/>
                      <w:sz w:val="21"/>
                      <w:szCs w:val="21"/>
                      <w:highlight w:val="none"/>
                      <w:lang w:val="en-US" w:eastAsia="zh-CN" w:bidi="ar-SA"/>
                    </w:rPr>
                    <w:t>许可准</w:t>
                  </w:r>
                  <w:r>
                    <w:rPr>
                      <w:rFonts w:hint="default" w:ascii="Times New Roman" w:hAnsi="Times New Roman" w:eastAsia="宋体" w:cs="Times New Roman"/>
                      <w:color w:val="auto"/>
                      <w:kern w:val="2"/>
                      <w:sz w:val="21"/>
                      <w:szCs w:val="21"/>
                      <w:highlight w:val="none"/>
                      <w:lang w:val="en-US" w:eastAsia="zh-CN" w:bidi="ar-SA"/>
                    </w:rPr>
                    <w:t>入类项目</w:t>
                  </w:r>
                </w:p>
              </w:tc>
            </w:tr>
            <w:tr w14:paraId="500D5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05" w:type="pct"/>
                  <w:shd w:val="clear" w:color="auto" w:fill="auto"/>
                  <w:vAlign w:val="center"/>
                </w:tcPr>
                <w:p w14:paraId="7DF62FB2">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2396" w:type="pct"/>
                  <w:shd w:val="clear" w:color="auto" w:fill="auto"/>
                  <w:vAlign w:val="center"/>
                </w:tcPr>
                <w:p w14:paraId="2FEAF22B">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《产业结构调整指导目录（2024版）》</w:t>
                  </w:r>
                </w:p>
              </w:tc>
              <w:tc>
                <w:tcPr>
                  <w:tcW w:w="2197" w:type="pct"/>
                  <w:vAlign w:val="center"/>
                </w:tcPr>
                <w:p w14:paraId="0AE87D06">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属于允许类相关产业</w:t>
                  </w:r>
                </w:p>
              </w:tc>
            </w:tr>
            <w:tr w14:paraId="25A13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5" w:type="pct"/>
                  <w:shd w:val="clear" w:color="auto" w:fill="auto"/>
                  <w:vAlign w:val="center"/>
                </w:tcPr>
                <w:p w14:paraId="3820AF48">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2396" w:type="pct"/>
                  <w:shd w:val="clear" w:color="auto" w:fill="auto"/>
                  <w:vAlign w:val="center"/>
                </w:tcPr>
                <w:p w14:paraId="1E694C3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《产业发展与转移指导目录（2018年本）》</w:t>
                  </w:r>
                </w:p>
              </w:tc>
              <w:tc>
                <w:tcPr>
                  <w:tcW w:w="2197" w:type="pct"/>
                  <w:vAlign w:val="center"/>
                </w:tcPr>
                <w:p w14:paraId="1F0B6919">
                  <w:pPr>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不属于</w:t>
                  </w:r>
                </w:p>
              </w:tc>
            </w:tr>
            <w:tr w14:paraId="6C3CE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5" w:type="pct"/>
                  <w:shd w:val="clear" w:color="auto" w:fill="auto"/>
                  <w:vAlign w:val="center"/>
                </w:tcPr>
                <w:p w14:paraId="4D8010BE">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2396" w:type="pct"/>
                  <w:shd w:val="clear" w:color="auto" w:fill="auto"/>
                  <w:vAlign w:val="center"/>
                </w:tcPr>
                <w:p w14:paraId="3A5C663F">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《江苏省产业结构调整限制、淘汰和禁止目录》（苏办发〔2018〕32号）</w:t>
                  </w:r>
                </w:p>
              </w:tc>
              <w:tc>
                <w:tcPr>
                  <w:tcW w:w="2197" w:type="pct"/>
                  <w:vAlign w:val="center"/>
                </w:tcPr>
                <w:p w14:paraId="2C2A11B9">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不属于限制、淘汰、禁止目录</w:t>
                  </w:r>
                </w:p>
              </w:tc>
            </w:tr>
            <w:tr w14:paraId="1BD15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05" w:type="pct"/>
                  <w:shd w:val="clear" w:color="auto" w:fill="auto"/>
                  <w:vAlign w:val="center"/>
                </w:tcPr>
                <w:p w14:paraId="223E5579">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2396" w:type="pct"/>
                  <w:shd w:val="clear" w:color="auto" w:fill="auto"/>
                  <w:vAlign w:val="center"/>
                </w:tcPr>
                <w:p w14:paraId="775E5843">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《江苏省太湖流域禁止和限制的产业产品目录（2024年本）》</w:t>
                  </w:r>
                </w:p>
              </w:tc>
              <w:tc>
                <w:tcPr>
                  <w:tcW w:w="2197" w:type="pct"/>
                  <w:shd w:val="clear" w:color="auto" w:fill="auto"/>
                  <w:vAlign w:val="center"/>
                </w:tcPr>
                <w:p w14:paraId="61F9E78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不属于禁止和限制的产业产品</w:t>
                  </w:r>
                </w:p>
              </w:tc>
            </w:tr>
            <w:tr w14:paraId="424ED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05" w:type="pct"/>
                  <w:shd w:val="clear" w:color="auto" w:fill="auto"/>
                  <w:vAlign w:val="center"/>
                </w:tcPr>
                <w:p w14:paraId="7D02AD5A">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2396" w:type="pct"/>
                  <w:shd w:val="clear" w:color="auto" w:fill="auto"/>
                  <w:vAlign w:val="center"/>
                </w:tcPr>
                <w:p w14:paraId="2DFA826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Cs/>
                      <w:color w:val="auto"/>
                      <w:sz w:val="21"/>
                      <w:szCs w:val="21"/>
                    </w:rPr>
                    <w:t>《环境保护综合名录（2021年版）》</w:t>
                  </w:r>
                </w:p>
              </w:tc>
              <w:tc>
                <w:tcPr>
                  <w:tcW w:w="2197" w:type="pct"/>
                  <w:shd w:val="clear" w:color="auto" w:fill="auto"/>
                  <w:vAlign w:val="center"/>
                </w:tcPr>
                <w:p w14:paraId="3ED3E339">
                  <w:pPr>
                    <w:pStyle w:val="16"/>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不属于</w:t>
                  </w:r>
                  <w:r>
                    <w:rPr>
                      <w:rFonts w:hint="eastAsia" w:cs="Times New Roman"/>
                      <w:color w:val="auto"/>
                      <w:sz w:val="21"/>
                      <w:szCs w:val="21"/>
                      <w:highlight w:val="none"/>
                      <w:lang w:eastAsia="zh-CN"/>
                    </w:rPr>
                    <w:t>“高污染、高环境风险”项目</w:t>
                  </w:r>
                </w:p>
              </w:tc>
            </w:tr>
            <w:tr w14:paraId="6691C7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5" w:type="pct"/>
                  <w:shd w:val="clear" w:color="auto" w:fill="auto"/>
                  <w:vAlign w:val="center"/>
                </w:tcPr>
                <w:p w14:paraId="0CADAE76">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2396" w:type="pct"/>
                  <w:shd w:val="clear" w:color="auto" w:fill="auto"/>
                  <w:vAlign w:val="center"/>
                </w:tcPr>
                <w:p w14:paraId="3B578FF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《江苏省</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两高</w:t>
                  </w:r>
                  <w:r>
                    <w:rPr>
                      <w:rFonts w:hint="eastAsia" w:cs="Times New Roman"/>
                      <w:color w:val="auto"/>
                      <w:sz w:val="21"/>
                      <w:szCs w:val="21"/>
                      <w:highlight w:val="none"/>
                      <w:lang w:eastAsia="zh-CN"/>
                    </w:rPr>
                    <w:t>”</w:t>
                  </w:r>
                  <w:r>
                    <w:rPr>
                      <w:rFonts w:hint="eastAsia" w:ascii="Times New Roman" w:hAnsi="Times New Roman" w:cs="Times New Roman"/>
                      <w:color w:val="auto"/>
                      <w:sz w:val="21"/>
                      <w:szCs w:val="21"/>
                      <w:highlight w:val="none"/>
                      <w:lang w:eastAsia="zh-CN"/>
                    </w:rPr>
                    <w:t>项目管理目录</w:t>
                  </w:r>
                  <w:r>
                    <w:rPr>
                      <w:rFonts w:hint="default" w:ascii="Times New Roman" w:hAnsi="Times New Roman" w:eastAsia="宋体" w:cs="Times New Roman"/>
                      <w:color w:val="auto"/>
                      <w:sz w:val="21"/>
                      <w:szCs w:val="21"/>
                      <w:highlight w:val="none"/>
                    </w:rPr>
                    <w:t>（202</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年版）》</w:t>
                  </w:r>
                </w:p>
              </w:tc>
              <w:tc>
                <w:tcPr>
                  <w:tcW w:w="2197" w:type="pct"/>
                  <w:shd w:val="clear" w:color="auto" w:fill="auto"/>
                  <w:vAlign w:val="center"/>
                </w:tcPr>
                <w:p w14:paraId="148E0708">
                  <w:pPr>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auto"/>
                      <w:sz w:val="21"/>
                      <w:szCs w:val="21"/>
                      <w:highlight w:val="none"/>
                    </w:rPr>
                    <w:t>不属于</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两高</w:t>
                  </w:r>
                  <w:r>
                    <w:rPr>
                      <w:rFonts w:hint="eastAsia" w:cs="Times New Roman"/>
                      <w:color w:val="auto"/>
                      <w:sz w:val="21"/>
                      <w:szCs w:val="21"/>
                      <w:highlight w:val="none"/>
                      <w:lang w:eastAsia="zh-CN"/>
                    </w:rPr>
                    <w:t>”项目</w:t>
                  </w:r>
                </w:p>
              </w:tc>
            </w:tr>
            <w:tr w14:paraId="60DDB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05" w:type="pct"/>
                  <w:vAlign w:val="center"/>
                </w:tcPr>
                <w:p w14:paraId="0B0F687E">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2396" w:type="pct"/>
                  <w:vAlign w:val="center"/>
                </w:tcPr>
                <w:p w14:paraId="227280FF">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《省生态环境厅关于进一步做好建设项目环评审批工作的通知》（苏环办[2019]36号文）</w:t>
                  </w:r>
                </w:p>
              </w:tc>
              <w:tc>
                <w:tcPr>
                  <w:tcW w:w="2197" w:type="pct"/>
                  <w:vAlign w:val="center"/>
                </w:tcPr>
                <w:p w14:paraId="5E82BF5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不属于其中的</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不予批准</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类项目</w:t>
                  </w:r>
                </w:p>
              </w:tc>
            </w:tr>
            <w:tr w14:paraId="6DD25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05" w:type="pct"/>
                  <w:vAlign w:val="center"/>
                </w:tcPr>
                <w:p w14:paraId="681961E6">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w:t>
                  </w:r>
                </w:p>
              </w:tc>
              <w:tc>
                <w:tcPr>
                  <w:tcW w:w="2396" w:type="pct"/>
                  <w:vAlign w:val="center"/>
                </w:tcPr>
                <w:p w14:paraId="72DC2D2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《长江经济带发展负面清单指南》（试行，2022年版）</w:t>
                  </w:r>
                </w:p>
              </w:tc>
              <w:tc>
                <w:tcPr>
                  <w:tcW w:w="2197" w:type="pct"/>
                  <w:vAlign w:val="center"/>
                </w:tcPr>
                <w:p w14:paraId="1BD86F5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不属于禁止类项目</w:t>
                  </w:r>
                </w:p>
              </w:tc>
            </w:tr>
          </w:tbl>
          <w:p w14:paraId="69821BAC">
            <w:pPr>
              <w:autoSpaceDE w:val="0"/>
              <w:autoSpaceDN w:val="0"/>
              <w:adjustRightInd w:val="0"/>
              <w:snapToGrid w:val="0"/>
              <w:ind w:firstLine="200" w:firstLineChars="200"/>
              <w:rPr>
                <w:rFonts w:hint="default" w:ascii="Times New Roman" w:hAnsi="Times New Roman" w:cs="Times New Roman"/>
                <w:color w:val="FF0000"/>
                <w:kern w:val="0"/>
                <w:sz w:val="10"/>
                <w:szCs w:val="10"/>
                <w:highlight w:val="none"/>
              </w:rPr>
            </w:pPr>
          </w:p>
          <w:p w14:paraId="231BB425">
            <w:pPr>
              <w:widowControl/>
              <w:snapToGrid w:val="0"/>
              <w:spacing w:line="360" w:lineRule="auto"/>
              <w:ind w:firstLine="480" w:firstLineChars="200"/>
              <w:jc w:val="left"/>
              <w:rPr>
                <w:rFonts w:hint="default" w:ascii="Times New Roman" w:hAnsi="Times New Roman" w:cs="Times New Roman" w:eastAsiaTheme="minorEastAsia"/>
                <w:color w:val="0000FF"/>
                <w:sz w:val="24"/>
                <w:szCs w:val="24"/>
                <w:highlight w:val="none"/>
              </w:rPr>
            </w:pPr>
            <w:r>
              <w:rPr>
                <w:rFonts w:hint="default" w:ascii="Times New Roman" w:hAnsi="Times New Roman" w:cs="Times New Roman" w:eastAsiaTheme="minorEastAsia"/>
                <w:bCs/>
                <w:color w:val="auto"/>
                <w:sz w:val="24"/>
                <w:szCs w:val="24"/>
                <w:highlight w:val="none"/>
              </w:rPr>
              <w:t>本项目</w:t>
            </w:r>
            <w:r>
              <w:rPr>
                <w:rFonts w:hint="default" w:ascii="Times New Roman" w:hAnsi="Times New Roman" w:cs="Times New Roman" w:eastAsiaTheme="minorEastAsia"/>
                <w:color w:val="auto"/>
                <w:sz w:val="24"/>
                <w:szCs w:val="24"/>
                <w:highlight w:val="none"/>
                <w:lang w:eastAsia="zh-CN"/>
              </w:rPr>
              <w:t>主要</w:t>
            </w:r>
            <w:r>
              <w:rPr>
                <w:rFonts w:hint="eastAsia" w:cs="Times New Roman" w:eastAsiaTheme="minorEastAsia"/>
                <w:color w:val="auto"/>
                <w:sz w:val="24"/>
                <w:szCs w:val="24"/>
                <w:highlight w:val="none"/>
                <w:lang w:eastAsia="zh-CN"/>
              </w:rPr>
              <w:t>从事高端医用设备的生产</w:t>
            </w:r>
            <w:r>
              <w:rPr>
                <w:rFonts w:hint="default" w:ascii="Times New Roman" w:hAnsi="Times New Roman" w:cs="Times New Roman" w:eastAsiaTheme="minorEastAsia"/>
                <w:bCs/>
                <w:color w:val="auto"/>
                <w:sz w:val="24"/>
                <w:szCs w:val="24"/>
                <w:highlight w:val="none"/>
                <w:lang w:val="en-US" w:eastAsia="zh-CN"/>
              </w:rPr>
              <w:t>，</w:t>
            </w:r>
            <w:r>
              <w:rPr>
                <w:rFonts w:hint="default" w:ascii="Times New Roman" w:hAnsi="Times New Roman" w:cs="Times New Roman" w:eastAsiaTheme="minorEastAsia"/>
                <w:bCs/>
                <w:color w:val="auto"/>
                <w:sz w:val="24"/>
                <w:szCs w:val="24"/>
                <w:highlight w:val="none"/>
              </w:rPr>
              <w:t>生</w:t>
            </w:r>
            <w:r>
              <w:rPr>
                <w:rFonts w:hint="default" w:ascii="Times New Roman" w:hAnsi="Times New Roman" w:cs="Times New Roman"/>
                <w:color w:val="auto"/>
                <w:kern w:val="0"/>
                <w:sz w:val="24"/>
                <w:highlight w:val="none"/>
              </w:rPr>
              <w:t>产设备、工艺及产品均不属于国家发改委《产业结构调整指导目录（20</w:t>
            </w:r>
            <w:r>
              <w:rPr>
                <w:rFonts w:hint="default" w:ascii="Times New Roman" w:hAnsi="Times New Roman" w:cs="Times New Roman"/>
                <w:color w:val="auto"/>
                <w:kern w:val="0"/>
                <w:sz w:val="24"/>
                <w:highlight w:val="none"/>
                <w:lang w:val="en-US" w:eastAsia="zh-CN"/>
              </w:rPr>
              <w:t>24版</w:t>
            </w:r>
            <w:r>
              <w:rPr>
                <w:rFonts w:hint="default" w:ascii="Times New Roman" w:hAnsi="Times New Roman" w:cs="Times New Roman"/>
                <w:color w:val="auto"/>
                <w:kern w:val="0"/>
                <w:sz w:val="24"/>
                <w:highlight w:val="none"/>
              </w:rPr>
              <w:t>）》中限制类和淘汰类项目，</w:t>
            </w:r>
            <w:r>
              <w:rPr>
                <w:rFonts w:hint="default" w:ascii="Times New Roman" w:hAnsi="Times New Roman" w:cs="Times New Roman" w:eastAsiaTheme="minorEastAsia"/>
                <w:bCs/>
                <w:color w:val="auto"/>
                <w:sz w:val="24"/>
                <w:szCs w:val="24"/>
                <w:highlight w:val="none"/>
              </w:rPr>
              <w:t>亦不在其它相关法律法规要求淘汰和限制之列。本项目已于</w:t>
            </w:r>
            <w:r>
              <w:rPr>
                <w:rFonts w:hint="eastAsia" w:cs="Times New Roman" w:eastAsiaTheme="minorEastAsia"/>
                <w:color w:val="auto"/>
                <w:sz w:val="24"/>
                <w:szCs w:val="24"/>
                <w:highlight w:val="none"/>
                <w:lang w:eastAsia="zh-CN"/>
              </w:rPr>
              <w:t>20</w:t>
            </w:r>
            <w:r>
              <w:rPr>
                <w:rFonts w:hint="eastAsia" w:cs="Times New Roman" w:eastAsiaTheme="minorEastAsia"/>
                <w:color w:val="auto"/>
                <w:sz w:val="24"/>
                <w:szCs w:val="24"/>
                <w:highlight w:val="none"/>
                <w:lang w:val="en-US" w:eastAsia="zh-CN"/>
              </w:rPr>
              <w:t>26</w:t>
            </w:r>
            <w:r>
              <w:rPr>
                <w:rFonts w:hint="eastAsia" w:cs="Times New Roman" w:eastAsiaTheme="minorEastAsia"/>
                <w:color w:val="auto"/>
                <w:sz w:val="24"/>
                <w:szCs w:val="24"/>
                <w:highlight w:val="none"/>
                <w:lang w:eastAsia="zh-CN"/>
              </w:rPr>
              <w:t>年</w:t>
            </w:r>
            <w:r>
              <w:rPr>
                <w:rFonts w:hint="eastAsia" w:cs="Times New Roman" w:eastAsiaTheme="minorEastAsia"/>
                <w:color w:val="auto"/>
                <w:sz w:val="24"/>
                <w:szCs w:val="24"/>
                <w:highlight w:val="none"/>
                <w:lang w:val="en-US" w:eastAsia="zh-CN"/>
              </w:rPr>
              <w:t>03</w:t>
            </w:r>
            <w:r>
              <w:rPr>
                <w:rFonts w:hint="eastAsia" w:cs="Times New Roman" w:eastAsiaTheme="minorEastAsia"/>
                <w:color w:val="auto"/>
                <w:sz w:val="24"/>
                <w:szCs w:val="24"/>
                <w:highlight w:val="none"/>
                <w:lang w:eastAsia="zh-CN"/>
              </w:rPr>
              <w:t>月</w:t>
            </w:r>
            <w:r>
              <w:rPr>
                <w:rFonts w:hint="eastAsia" w:cs="Times New Roman" w:eastAsiaTheme="minorEastAsia"/>
                <w:color w:val="auto"/>
                <w:sz w:val="24"/>
                <w:szCs w:val="24"/>
                <w:highlight w:val="none"/>
                <w:lang w:val="en-US" w:eastAsia="zh-CN"/>
              </w:rPr>
              <w:t>23</w:t>
            </w:r>
            <w:r>
              <w:rPr>
                <w:rFonts w:hint="eastAsia" w:cs="Times New Roman" w:eastAsiaTheme="minorEastAsia"/>
                <w:color w:val="auto"/>
                <w:sz w:val="24"/>
                <w:szCs w:val="24"/>
                <w:highlight w:val="none"/>
                <w:lang w:eastAsia="zh-CN"/>
              </w:rPr>
              <w:t>日</w:t>
            </w:r>
            <w:r>
              <w:rPr>
                <w:rFonts w:hint="default" w:ascii="Times New Roman" w:hAnsi="Times New Roman" w:cs="Times New Roman" w:eastAsiaTheme="minorEastAsia"/>
                <w:color w:val="auto"/>
                <w:sz w:val="24"/>
                <w:szCs w:val="24"/>
                <w:highlight w:val="none"/>
              </w:rPr>
              <w:t>通过</w:t>
            </w:r>
            <w:r>
              <w:rPr>
                <w:rFonts w:hint="eastAsia" w:cs="Times New Roman" w:eastAsiaTheme="minorEastAsia"/>
                <w:color w:val="auto"/>
                <w:sz w:val="24"/>
                <w:szCs w:val="24"/>
                <w:highlight w:val="none"/>
                <w:lang w:val="en-US" w:eastAsia="zh-CN"/>
              </w:rPr>
              <w:t>常州高新技术产业开发区（新北区）政务服务管理办公室</w:t>
            </w:r>
            <w:r>
              <w:rPr>
                <w:rFonts w:hint="default" w:ascii="Times New Roman" w:hAnsi="Times New Roman" w:cs="Times New Roman" w:eastAsiaTheme="minorEastAsia"/>
                <w:color w:val="auto"/>
                <w:sz w:val="24"/>
                <w:szCs w:val="24"/>
                <w:highlight w:val="none"/>
              </w:rPr>
              <w:t>备案，明确该项目符合国家产业政策（江苏省投资项目备案证见附件2）。因此，本项目符合国家及地方产业政策。</w:t>
            </w:r>
          </w:p>
          <w:p w14:paraId="2BA10815">
            <w:pPr>
              <w:widowControl/>
              <w:adjustRightInd w:val="0"/>
              <w:snapToGrid w:val="0"/>
              <w:spacing w:line="360" w:lineRule="auto"/>
              <w:ind w:firstLine="482" w:firstLineChars="200"/>
              <w:jc w:val="left"/>
              <w:rPr>
                <w:rFonts w:hint="eastAsia"/>
                <w:b/>
                <w:bCs/>
                <w:color w:val="FF0000"/>
                <w:kern w:val="0"/>
                <w:sz w:val="24"/>
                <w:szCs w:val="24"/>
                <w:lang w:val="en-US" w:eastAsia="zh-CN"/>
              </w:rPr>
            </w:pPr>
          </w:p>
          <w:p w14:paraId="467434CA">
            <w:pPr>
              <w:widowControl/>
              <w:adjustRightInd w:val="0"/>
              <w:snapToGrid w:val="0"/>
              <w:spacing w:line="360" w:lineRule="auto"/>
              <w:ind w:firstLine="482" w:firstLineChars="200"/>
              <w:jc w:val="left"/>
              <w:rPr>
                <w:rFonts w:hint="eastAsia"/>
                <w:b/>
                <w:bCs/>
                <w:color w:val="FF0000"/>
                <w:kern w:val="0"/>
                <w:sz w:val="24"/>
                <w:szCs w:val="24"/>
                <w:lang w:val="en-US" w:eastAsia="zh-CN"/>
              </w:rPr>
            </w:pPr>
          </w:p>
          <w:p w14:paraId="76280073">
            <w:pPr>
              <w:widowControl/>
              <w:adjustRightInd w:val="0"/>
              <w:snapToGrid w:val="0"/>
              <w:spacing w:line="360" w:lineRule="auto"/>
              <w:ind w:firstLine="482" w:firstLineChars="200"/>
              <w:jc w:val="left"/>
              <w:rPr>
                <w:rFonts w:hint="eastAsia"/>
                <w:b/>
                <w:bCs/>
                <w:color w:val="FF0000"/>
                <w:kern w:val="0"/>
                <w:sz w:val="24"/>
                <w:szCs w:val="24"/>
                <w:lang w:val="en-US" w:eastAsia="zh-CN"/>
              </w:rPr>
            </w:pPr>
          </w:p>
          <w:p w14:paraId="0E71147C">
            <w:pPr>
              <w:widowControl/>
              <w:adjustRightInd w:val="0"/>
              <w:snapToGrid w:val="0"/>
              <w:spacing w:line="360" w:lineRule="auto"/>
              <w:ind w:firstLine="482" w:firstLineChars="200"/>
              <w:jc w:val="left"/>
              <w:rPr>
                <w:rFonts w:hint="eastAsia"/>
                <w:b/>
                <w:bCs/>
                <w:color w:val="FF0000"/>
                <w:kern w:val="0"/>
                <w:sz w:val="24"/>
                <w:szCs w:val="24"/>
                <w:lang w:val="en-US" w:eastAsia="zh-CN"/>
              </w:rPr>
            </w:pPr>
          </w:p>
          <w:p w14:paraId="5C7C98A4">
            <w:pPr>
              <w:widowControl/>
              <w:adjustRightInd w:val="0"/>
              <w:snapToGrid w:val="0"/>
              <w:spacing w:line="360" w:lineRule="auto"/>
              <w:ind w:firstLine="482" w:firstLineChars="200"/>
              <w:jc w:val="left"/>
              <w:rPr>
                <w:rFonts w:hint="eastAsia"/>
                <w:b/>
                <w:bCs/>
                <w:color w:val="FF0000"/>
                <w:kern w:val="0"/>
                <w:sz w:val="24"/>
                <w:szCs w:val="24"/>
                <w:lang w:val="en-US" w:eastAsia="zh-CN"/>
              </w:rPr>
            </w:pPr>
          </w:p>
          <w:p w14:paraId="193304D0">
            <w:pPr>
              <w:widowControl/>
              <w:adjustRightInd w:val="0"/>
              <w:snapToGrid w:val="0"/>
              <w:spacing w:line="360" w:lineRule="auto"/>
              <w:ind w:firstLine="482" w:firstLineChars="200"/>
              <w:jc w:val="left"/>
              <w:rPr>
                <w:rFonts w:hint="eastAsia"/>
                <w:b/>
                <w:bCs/>
                <w:color w:val="FF0000"/>
                <w:kern w:val="0"/>
                <w:sz w:val="24"/>
                <w:szCs w:val="24"/>
                <w:lang w:val="en-US" w:eastAsia="zh-CN"/>
              </w:rPr>
            </w:pPr>
          </w:p>
          <w:p w14:paraId="0EFFD724">
            <w:pPr>
              <w:widowControl/>
              <w:adjustRightInd w:val="0"/>
              <w:snapToGrid w:val="0"/>
              <w:spacing w:line="360" w:lineRule="auto"/>
              <w:ind w:firstLine="482" w:firstLineChars="200"/>
              <w:jc w:val="left"/>
              <w:rPr>
                <w:rFonts w:hint="eastAsia"/>
                <w:b/>
                <w:bCs/>
                <w:color w:val="FF0000"/>
                <w:kern w:val="0"/>
                <w:sz w:val="24"/>
                <w:szCs w:val="24"/>
                <w:lang w:val="en-US" w:eastAsia="zh-CN"/>
              </w:rPr>
            </w:pPr>
          </w:p>
          <w:p w14:paraId="0B083076">
            <w:pPr>
              <w:widowControl/>
              <w:adjustRightInd w:val="0"/>
              <w:snapToGrid w:val="0"/>
              <w:spacing w:line="360" w:lineRule="auto"/>
              <w:ind w:firstLine="482" w:firstLineChars="200"/>
              <w:jc w:val="left"/>
              <w:rPr>
                <w:rFonts w:hint="eastAsia"/>
                <w:b/>
                <w:bCs/>
                <w:color w:val="FF0000"/>
                <w:kern w:val="0"/>
                <w:sz w:val="24"/>
                <w:szCs w:val="24"/>
                <w:lang w:val="en-US" w:eastAsia="zh-CN"/>
              </w:rPr>
            </w:pPr>
          </w:p>
          <w:p w14:paraId="7383DFAA">
            <w:pPr>
              <w:widowControl/>
              <w:adjustRightInd w:val="0"/>
              <w:snapToGrid w:val="0"/>
              <w:spacing w:line="360" w:lineRule="auto"/>
              <w:ind w:firstLine="482" w:firstLineChars="200"/>
              <w:jc w:val="left"/>
              <w:rPr>
                <w:rFonts w:hint="eastAsia"/>
                <w:b/>
                <w:bCs/>
                <w:color w:val="FF0000"/>
                <w:kern w:val="0"/>
                <w:sz w:val="24"/>
                <w:szCs w:val="24"/>
                <w:lang w:val="en-US" w:eastAsia="zh-CN"/>
              </w:rPr>
            </w:pPr>
          </w:p>
          <w:p w14:paraId="31794E68">
            <w:pPr>
              <w:widowControl/>
              <w:adjustRightInd w:val="0"/>
              <w:snapToGrid w:val="0"/>
              <w:spacing w:line="360" w:lineRule="auto"/>
              <w:ind w:firstLine="482" w:firstLineChars="200"/>
              <w:jc w:val="left"/>
              <w:rPr>
                <w:rFonts w:hint="eastAsia"/>
                <w:b/>
                <w:bCs/>
                <w:color w:val="FF0000"/>
                <w:kern w:val="0"/>
                <w:sz w:val="24"/>
                <w:szCs w:val="24"/>
                <w:lang w:val="en-US" w:eastAsia="zh-CN"/>
              </w:rPr>
            </w:pPr>
          </w:p>
          <w:p w14:paraId="32C18616">
            <w:pPr>
              <w:widowControl/>
              <w:adjustRightInd w:val="0"/>
              <w:snapToGrid w:val="0"/>
              <w:spacing w:line="360" w:lineRule="auto"/>
              <w:ind w:firstLine="482" w:firstLineChars="200"/>
              <w:jc w:val="left"/>
              <w:rPr>
                <w:rFonts w:hint="eastAsia"/>
                <w:b/>
                <w:bCs/>
                <w:color w:val="FF0000"/>
                <w:kern w:val="0"/>
                <w:sz w:val="24"/>
                <w:szCs w:val="24"/>
                <w:lang w:val="en-US" w:eastAsia="zh-CN"/>
              </w:rPr>
            </w:pPr>
          </w:p>
          <w:p w14:paraId="5CF2FEDE">
            <w:pPr>
              <w:widowControl/>
              <w:adjustRightInd w:val="0"/>
              <w:snapToGrid w:val="0"/>
              <w:spacing w:line="360" w:lineRule="auto"/>
              <w:ind w:firstLine="482" w:firstLineChars="200"/>
              <w:jc w:val="left"/>
              <w:rPr>
                <w:rFonts w:hint="default"/>
                <w:b/>
                <w:bCs/>
                <w:color w:val="auto"/>
                <w:kern w:val="0"/>
                <w:sz w:val="24"/>
                <w:szCs w:val="24"/>
              </w:rPr>
            </w:pPr>
            <w:r>
              <w:rPr>
                <w:rFonts w:hint="eastAsia"/>
                <w:b/>
                <w:bCs/>
                <w:color w:val="auto"/>
                <w:kern w:val="0"/>
                <w:sz w:val="24"/>
                <w:szCs w:val="24"/>
                <w:lang w:val="en-US" w:eastAsia="zh-CN"/>
              </w:rPr>
              <w:t>4</w:t>
            </w:r>
            <w:r>
              <w:rPr>
                <w:rFonts w:hint="default"/>
                <w:b/>
                <w:bCs/>
                <w:color w:val="auto"/>
                <w:kern w:val="0"/>
                <w:sz w:val="24"/>
                <w:szCs w:val="24"/>
              </w:rPr>
              <w:t>、相关法律法规政策的相符性分析</w:t>
            </w:r>
          </w:p>
          <w:p w14:paraId="19E46C09">
            <w:pPr>
              <w:widowControl/>
              <w:adjustRightInd w:val="0"/>
              <w:snapToGrid w:val="0"/>
              <w:spacing w:line="360" w:lineRule="auto"/>
              <w:ind w:firstLine="480" w:firstLineChars="200"/>
              <w:jc w:val="left"/>
              <w:rPr>
                <w:rFonts w:hint="default"/>
                <w:color w:val="auto"/>
                <w:kern w:val="0"/>
                <w:sz w:val="24"/>
                <w:szCs w:val="24"/>
              </w:rPr>
            </w:pPr>
            <w:r>
              <w:rPr>
                <w:rFonts w:hint="default"/>
                <w:color w:val="auto"/>
                <w:kern w:val="0"/>
                <w:sz w:val="24"/>
                <w:szCs w:val="24"/>
              </w:rPr>
              <w:t>（1）与水环境保护条例的相符性分析</w:t>
            </w:r>
          </w:p>
          <w:p w14:paraId="7CE9785C">
            <w:pPr>
              <w:adjustRightInd w:val="0"/>
              <w:snapToGrid w:val="0"/>
              <w:spacing w:line="360" w:lineRule="auto"/>
              <w:jc w:val="center"/>
              <w:rPr>
                <w:rFonts w:hint="default"/>
                <w:b/>
                <w:color w:val="auto"/>
                <w:sz w:val="24"/>
                <w:szCs w:val="24"/>
              </w:rPr>
            </w:pPr>
            <w:r>
              <w:rPr>
                <w:rFonts w:hint="default"/>
                <w:b/>
                <w:color w:val="auto"/>
                <w:sz w:val="24"/>
                <w:szCs w:val="24"/>
              </w:rPr>
              <w:t>表1-</w:t>
            </w:r>
            <w:r>
              <w:rPr>
                <w:rFonts w:hint="eastAsia"/>
                <w:b/>
                <w:color w:val="auto"/>
                <w:sz w:val="24"/>
                <w:szCs w:val="24"/>
                <w:lang w:val="en-US" w:eastAsia="zh-CN"/>
              </w:rPr>
              <w:t>6</w:t>
            </w:r>
            <w:r>
              <w:rPr>
                <w:rFonts w:hint="default"/>
                <w:b/>
                <w:color w:val="auto"/>
                <w:sz w:val="24"/>
                <w:szCs w:val="24"/>
              </w:rPr>
              <w:t>与水环境保护条例的相符性分析</w:t>
            </w:r>
          </w:p>
          <w:tbl>
            <w:tblPr>
              <w:tblStyle w:val="36"/>
              <w:tblW w:w="81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528"/>
              <w:gridCol w:w="3984"/>
              <w:gridCol w:w="1478"/>
              <w:gridCol w:w="889"/>
            </w:tblGrid>
            <w:tr w14:paraId="2F087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vAlign w:val="center"/>
                </w:tcPr>
                <w:p w14:paraId="67C060AE">
                  <w:pPr>
                    <w:autoSpaceDE w:val="0"/>
                    <w:autoSpaceDN w:val="0"/>
                    <w:adjustRightInd w:val="0"/>
                    <w:snapToGrid w:val="0"/>
                    <w:jc w:val="center"/>
                    <w:rPr>
                      <w:rFonts w:hint="default"/>
                      <w:b/>
                      <w:bCs/>
                      <w:color w:val="auto"/>
                      <w:kern w:val="0"/>
                      <w:szCs w:val="21"/>
                      <w:lang w:val="en-US" w:eastAsia="zh-CN"/>
                    </w:rPr>
                  </w:pPr>
                  <w:r>
                    <w:rPr>
                      <w:rFonts w:hint="default"/>
                      <w:b/>
                      <w:bCs/>
                      <w:color w:val="auto"/>
                      <w:kern w:val="0"/>
                      <w:szCs w:val="21"/>
                      <w:lang w:val="en-US" w:eastAsia="zh-CN"/>
                    </w:rPr>
                    <w:t>文件名称</w:t>
                  </w:r>
                </w:p>
              </w:tc>
              <w:tc>
                <w:tcPr>
                  <w:tcW w:w="4512" w:type="dxa"/>
                  <w:gridSpan w:val="2"/>
                  <w:vAlign w:val="center"/>
                </w:tcPr>
                <w:p w14:paraId="3C25051D">
                  <w:pPr>
                    <w:autoSpaceDE w:val="0"/>
                    <w:autoSpaceDN w:val="0"/>
                    <w:adjustRightInd w:val="0"/>
                    <w:snapToGrid w:val="0"/>
                    <w:jc w:val="center"/>
                    <w:rPr>
                      <w:rFonts w:hint="default"/>
                      <w:b/>
                      <w:bCs/>
                      <w:color w:val="auto"/>
                      <w:kern w:val="0"/>
                      <w:szCs w:val="21"/>
                      <w:lang w:val="en-US" w:eastAsia="zh-CN"/>
                    </w:rPr>
                  </w:pPr>
                  <w:r>
                    <w:rPr>
                      <w:rFonts w:hint="default"/>
                      <w:b/>
                      <w:bCs/>
                      <w:color w:val="auto"/>
                      <w:kern w:val="0"/>
                      <w:szCs w:val="21"/>
                      <w:lang w:val="en-US" w:eastAsia="zh-CN"/>
                    </w:rPr>
                    <w:t>文件要求</w:t>
                  </w:r>
                </w:p>
              </w:tc>
              <w:tc>
                <w:tcPr>
                  <w:tcW w:w="1478" w:type="dxa"/>
                  <w:vAlign w:val="center"/>
                </w:tcPr>
                <w:p w14:paraId="16F503DF">
                  <w:pPr>
                    <w:autoSpaceDE w:val="0"/>
                    <w:autoSpaceDN w:val="0"/>
                    <w:adjustRightInd w:val="0"/>
                    <w:snapToGrid w:val="0"/>
                    <w:jc w:val="center"/>
                    <w:rPr>
                      <w:rFonts w:hint="default"/>
                      <w:b/>
                      <w:bCs/>
                      <w:color w:val="auto"/>
                      <w:kern w:val="0"/>
                      <w:szCs w:val="21"/>
                      <w:lang w:val="en-US" w:eastAsia="zh-CN"/>
                    </w:rPr>
                  </w:pPr>
                  <w:r>
                    <w:rPr>
                      <w:rFonts w:hint="default"/>
                      <w:b/>
                      <w:bCs/>
                      <w:color w:val="auto"/>
                      <w:kern w:val="0"/>
                      <w:szCs w:val="21"/>
                      <w:lang w:val="en-US" w:eastAsia="zh-CN"/>
                    </w:rPr>
                    <w:t>本项目情况</w:t>
                  </w:r>
                </w:p>
              </w:tc>
              <w:tc>
                <w:tcPr>
                  <w:tcW w:w="889" w:type="dxa"/>
                  <w:vAlign w:val="center"/>
                </w:tcPr>
                <w:p w14:paraId="7581E087">
                  <w:pPr>
                    <w:autoSpaceDE w:val="0"/>
                    <w:autoSpaceDN w:val="0"/>
                    <w:adjustRightInd w:val="0"/>
                    <w:snapToGrid w:val="0"/>
                    <w:jc w:val="center"/>
                    <w:rPr>
                      <w:rFonts w:hint="default"/>
                      <w:b/>
                      <w:bCs/>
                      <w:color w:val="auto"/>
                      <w:kern w:val="0"/>
                      <w:szCs w:val="21"/>
                      <w:lang w:val="en-US" w:eastAsia="zh-CN"/>
                    </w:rPr>
                  </w:pPr>
                  <w:r>
                    <w:rPr>
                      <w:rFonts w:hint="default"/>
                      <w:b/>
                      <w:bCs/>
                      <w:color w:val="auto"/>
                      <w:kern w:val="0"/>
                      <w:szCs w:val="21"/>
                      <w:lang w:val="en-US" w:eastAsia="zh-CN"/>
                    </w:rPr>
                    <w:t>相符性</w:t>
                  </w:r>
                </w:p>
              </w:tc>
            </w:tr>
            <w:tr w14:paraId="38DA3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vMerge w:val="restart"/>
                  <w:vAlign w:val="center"/>
                </w:tcPr>
                <w:p w14:paraId="01380188">
                  <w:pPr>
                    <w:jc w:val="center"/>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1、《关于印发太湖流域水环境综合治理总体方案的通知》</w:t>
                  </w:r>
                </w:p>
                <w:p w14:paraId="63253A20">
                  <w:pPr>
                    <w:jc w:val="center"/>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（发改地区（2022）959号）</w:t>
                  </w:r>
                </w:p>
              </w:tc>
              <w:tc>
                <w:tcPr>
                  <w:tcW w:w="528" w:type="dxa"/>
                  <w:vAlign w:val="center"/>
                </w:tcPr>
                <w:p w14:paraId="0473C0F5">
                  <w:pPr>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第二章总体要求</w:t>
                  </w:r>
                </w:p>
              </w:tc>
              <w:tc>
                <w:tcPr>
                  <w:tcW w:w="3984" w:type="dxa"/>
                  <w:vAlign w:val="center"/>
                </w:tcPr>
                <w:p w14:paraId="5B9D2CD8">
                  <w:pP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第四节 治理分区</w:t>
                  </w:r>
                </w:p>
                <w:p w14:paraId="418CD683">
                  <w:pP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根据不同区域对太湖水环境的影响和作用，将太湖流域划分为太湖湖体保护区域、江苏上游地区、浙江上游地区和太湖下游地区四类区域。</w:t>
                  </w:r>
                </w:p>
                <w:p w14:paraId="7F2DFF7F">
                  <w:pP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江苏上游地区主要包括无锡市、常州市和镇江市，该区域入湖污染负荷较高，是入湖污染负荷防控重点区域，主要通过优化调整涉磷等产业结构和布局、提高污水收集处理效能、深入推进面源污染治理、加强河网湖荡系统治理和生态保护修复、完善水网工程体系、强化水资源调控、促进水体有序流动等措施，大幅削减各类入湖污染负荷。</w:t>
                  </w:r>
                </w:p>
              </w:tc>
              <w:tc>
                <w:tcPr>
                  <w:tcW w:w="1478" w:type="dxa"/>
                  <w:vAlign w:val="center"/>
                </w:tcPr>
                <w:p w14:paraId="50E49AAA">
                  <w:pPr>
                    <w:jc w:val="center"/>
                    <w:rPr>
                      <w:rFonts w:hint="default" w:ascii="Times New Roman" w:hAnsi="Times New Roman" w:cs="Times New Roman"/>
                      <w:color w:val="FF0000"/>
                      <w:sz w:val="21"/>
                      <w:szCs w:val="21"/>
                      <w:highlight w:val="none"/>
                    </w:rPr>
                  </w:pPr>
                  <w:r>
                    <w:rPr>
                      <w:rFonts w:hint="default" w:ascii="Times New Roman" w:hAnsi="Times New Roman" w:cs="Times New Roman"/>
                      <w:color w:val="auto"/>
                      <w:kern w:val="0"/>
                      <w:sz w:val="21"/>
                      <w:szCs w:val="21"/>
                      <w:highlight w:val="none"/>
                    </w:rPr>
                    <w:t>本项目</w:t>
                  </w:r>
                  <w:r>
                    <w:rPr>
                      <w:rFonts w:hint="default" w:ascii="Times New Roman" w:hAnsi="Times New Roman" w:cs="Times New Roman"/>
                      <w:color w:val="auto"/>
                      <w:sz w:val="21"/>
                      <w:szCs w:val="21"/>
                      <w:highlight w:val="none"/>
                      <w:lang w:eastAsia="zh-CN"/>
                    </w:rPr>
                    <w:t>新增员工生活污水依托园区现有化粪池预处理后接管排入</w:t>
                  </w:r>
                  <w:r>
                    <w:rPr>
                      <w:rFonts w:hint="eastAsia" w:cs="Times New Roman"/>
                      <w:color w:val="auto"/>
                      <w:sz w:val="21"/>
                      <w:szCs w:val="21"/>
                      <w:highlight w:val="none"/>
                      <w:lang w:eastAsia="zh-CN"/>
                    </w:rPr>
                    <w:t>常州市江边污水处理厂</w:t>
                  </w:r>
                  <w:r>
                    <w:rPr>
                      <w:rFonts w:hint="default" w:ascii="Times New Roman" w:hAnsi="Times New Roman" w:cs="Times New Roman"/>
                      <w:color w:val="auto"/>
                      <w:sz w:val="21"/>
                      <w:szCs w:val="21"/>
                      <w:highlight w:val="none"/>
                    </w:rPr>
                    <w:t>集中处理</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周边雨污管网已敷设到位，具备污染集中控制条件。</w:t>
                  </w:r>
                </w:p>
              </w:tc>
              <w:tc>
                <w:tcPr>
                  <w:tcW w:w="889" w:type="dxa"/>
                  <w:vAlign w:val="center"/>
                </w:tcPr>
                <w:p w14:paraId="02CB84D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相符</w:t>
                  </w:r>
                </w:p>
              </w:tc>
            </w:tr>
            <w:tr w14:paraId="29C82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vMerge w:val="continue"/>
                  <w:vAlign w:val="center"/>
                </w:tcPr>
                <w:p w14:paraId="6FEEA300">
                  <w:pPr>
                    <w:jc w:val="center"/>
                    <w:rPr>
                      <w:rFonts w:hint="default" w:ascii="Times New Roman" w:hAnsi="Times New Roman" w:cs="Times New Roman" w:eastAsiaTheme="minorEastAsia"/>
                      <w:b/>
                      <w:bCs/>
                      <w:color w:val="auto"/>
                      <w:sz w:val="21"/>
                      <w:szCs w:val="21"/>
                      <w:highlight w:val="none"/>
                    </w:rPr>
                  </w:pPr>
                </w:p>
              </w:tc>
              <w:tc>
                <w:tcPr>
                  <w:tcW w:w="528" w:type="dxa"/>
                  <w:vAlign w:val="center"/>
                </w:tcPr>
                <w:p w14:paraId="239EA7CD">
                  <w:pPr>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第三章大力推进污染防治</w:t>
                  </w:r>
                </w:p>
              </w:tc>
              <w:tc>
                <w:tcPr>
                  <w:tcW w:w="3984" w:type="dxa"/>
                  <w:vAlign w:val="center"/>
                </w:tcPr>
                <w:p w14:paraId="2FA2D36C">
                  <w:pP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以减磷控氮为主线，以太湖上游为重点，深化控源截污，加强环保基础设施建设，有序推进内源污染治理，全面开展入河（湖）排污口排查整治，建立涉氮磷项目减量替代台账，不断提升治理能力和治理标准，严格控制入湖污染负荷。</w:t>
                  </w:r>
                </w:p>
                <w:p w14:paraId="368074CE">
                  <w:pP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第一节 深化工业污染处理</w:t>
                  </w:r>
                </w:p>
                <w:p w14:paraId="273E0DBA">
                  <w:pP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督促企业依法持证排污、按证排污，严格落实总磷许可排放浓度和许可排放量要求。持续强化涉水行业污染整治，基于水生态环境质量改善需要，大力推进印染、化工、造纸、钢铁、电镀、食品</w:t>
                  </w:r>
                  <w:r>
                    <w:rPr>
                      <w:rFonts w:hint="eastAsia"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啤酒、味精</w:t>
                  </w:r>
                  <w:r>
                    <w:rPr>
                      <w:rFonts w:hint="eastAsia"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等重点行业企业废水深度处理。实施工业园区限值限量管理，全面推进工业园区污水管网排查整治和污水收集处理设施建设，加快实施管网混错接改造、管网更新、破损修复改造等，依法推动园区生产废水应纳尽纳。</w:t>
                  </w:r>
                </w:p>
              </w:tc>
              <w:tc>
                <w:tcPr>
                  <w:tcW w:w="1478" w:type="dxa"/>
                  <w:vAlign w:val="center"/>
                </w:tcPr>
                <w:p w14:paraId="18EA3B11">
                  <w:pPr>
                    <w:jc w:val="center"/>
                    <w:rPr>
                      <w:rFonts w:hint="default" w:ascii="Times New Roman" w:hAnsi="Times New Roman" w:cs="Times New Roman"/>
                      <w:color w:val="FF0000"/>
                      <w:sz w:val="21"/>
                      <w:szCs w:val="21"/>
                      <w:highlight w:val="none"/>
                    </w:rPr>
                  </w:pPr>
                  <w:r>
                    <w:rPr>
                      <w:rFonts w:hint="default" w:ascii="Times New Roman" w:hAnsi="Times New Roman" w:cs="Times New Roman"/>
                      <w:color w:val="auto"/>
                      <w:sz w:val="21"/>
                      <w:szCs w:val="21"/>
                      <w:highlight w:val="none"/>
                    </w:rPr>
                    <w:t>本项目</w:t>
                  </w:r>
                  <w:r>
                    <w:rPr>
                      <w:rFonts w:hint="eastAsia" w:cs="Times New Roman"/>
                      <w:color w:val="auto"/>
                      <w:sz w:val="21"/>
                      <w:szCs w:val="21"/>
                      <w:highlight w:val="none"/>
                      <w:lang w:eastAsia="zh-CN"/>
                    </w:rPr>
                    <w:t>生产过程中无</w:t>
                  </w:r>
                  <w:r>
                    <w:rPr>
                      <w:rFonts w:hint="default" w:ascii="Times New Roman" w:hAnsi="Times New Roman" w:cs="Times New Roman"/>
                      <w:color w:val="auto"/>
                      <w:sz w:val="21"/>
                      <w:szCs w:val="21"/>
                      <w:highlight w:val="none"/>
                    </w:rPr>
                    <w:t>含氮磷废水</w:t>
                  </w:r>
                  <w:r>
                    <w:rPr>
                      <w:rFonts w:hint="eastAsia" w:cs="Times New Roman"/>
                      <w:color w:val="auto"/>
                      <w:sz w:val="21"/>
                      <w:szCs w:val="21"/>
                      <w:highlight w:val="none"/>
                      <w:lang w:eastAsia="zh-CN"/>
                    </w:rPr>
                    <w:t>产生及</w:t>
                  </w:r>
                  <w:r>
                    <w:rPr>
                      <w:rFonts w:hint="default" w:ascii="Times New Roman" w:hAnsi="Times New Roman" w:cs="Times New Roman"/>
                      <w:color w:val="auto"/>
                      <w:sz w:val="21"/>
                      <w:szCs w:val="21"/>
                      <w:highlight w:val="none"/>
                    </w:rPr>
                    <w:t>排放</w:t>
                  </w:r>
                  <w:r>
                    <w:rPr>
                      <w:rFonts w:hint="default" w:ascii="Times New Roman" w:hAnsi="Times New Roman" w:cs="Times New Roman"/>
                      <w:color w:val="auto"/>
                      <w:sz w:val="21"/>
                      <w:szCs w:val="21"/>
                      <w:highlight w:val="none"/>
                      <w:lang w:eastAsia="zh-CN"/>
                    </w:rPr>
                    <w:t>。</w:t>
                  </w:r>
                </w:p>
              </w:tc>
              <w:tc>
                <w:tcPr>
                  <w:tcW w:w="889" w:type="dxa"/>
                  <w:vAlign w:val="center"/>
                </w:tcPr>
                <w:p w14:paraId="65658CC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相符</w:t>
                  </w:r>
                </w:p>
              </w:tc>
            </w:tr>
            <w:tr w14:paraId="61CB3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vMerge w:val="restart"/>
                  <w:vAlign w:val="center"/>
                </w:tcPr>
                <w:p w14:paraId="559B2BA7">
                  <w:pPr>
                    <w:jc w:val="center"/>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2、《太湖流域管理条例》（国务院令第604号）</w:t>
                  </w:r>
                </w:p>
              </w:tc>
              <w:tc>
                <w:tcPr>
                  <w:tcW w:w="528" w:type="dxa"/>
                  <w:vMerge w:val="restart"/>
                  <w:vAlign w:val="center"/>
                </w:tcPr>
                <w:p w14:paraId="378A13B1">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第</w:t>
                  </w:r>
                  <w:r>
                    <w:rPr>
                      <w:rFonts w:hint="default" w:ascii="Times New Roman" w:hAnsi="Times New Roman" w:cs="Times New Roman"/>
                      <w:color w:val="auto"/>
                      <w:kern w:val="0"/>
                      <w:sz w:val="21"/>
                      <w:szCs w:val="21"/>
                      <w:highlight w:val="none"/>
                    </w:rPr>
                    <w:t>二十八条</w:t>
                  </w:r>
                </w:p>
              </w:tc>
              <w:tc>
                <w:tcPr>
                  <w:tcW w:w="3984" w:type="dxa"/>
                  <w:vAlign w:val="center"/>
                </w:tcPr>
                <w:p w14:paraId="0181F586">
                  <w:pPr>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排污单位排放水污染物，不得超过经核定的水污染物排放总量，并应当按照规定设置便于检查、采样的规范化排污口，悬挂标志牌；不得私设暗管或者采取其他规避监管的方式排放水污染物。</w:t>
                  </w:r>
                </w:p>
              </w:tc>
              <w:tc>
                <w:tcPr>
                  <w:tcW w:w="1478" w:type="dxa"/>
                  <w:vMerge w:val="restart"/>
                  <w:vAlign w:val="center"/>
                </w:tcPr>
                <w:p w14:paraId="2E0E21FF">
                  <w:pPr>
                    <w:jc w:val="center"/>
                    <w:rPr>
                      <w:rFonts w:hint="default" w:ascii="Times New Roman" w:hAnsi="Times New Roman" w:cs="Times New Roman"/>
                      <w:color w:val="FF0000"/>
                      <w:sz w:val="21"/>
                      <w:szCs w:val="21"/>
                      <w:highlight w:val="none"/>
                    </w:rPr>
                  </w:pPr>
                  <w:r>
                    <w:rPr>
                      <w:rFonts w:hint="default" w:ascii="Times New Roman" w:hAnsi="Times New Roman" w:cs="Times New Roman"/>
                      <w:color w:val="auto"/>
                      <w:sz w:val="21"/>
                      <w:szCs w:val="21"/>
                      <w:highlight w:val="none"/>
                    </w:rPr>
                    <w:t>本项目主要</w:t>
                  </w:r>
                  <w:r>
                    <w:rPr>
                      <w:rFonts w:hint="eastAsia" w:cs="Times New Roman"/>
                      <w:color w:val="auto"/>
                      <w:sz w:val="21"/>
                      <w:szCs w:val="21"/>
                      <w:highlight w:val="none"/>
                      <w:lang w:eastAsia="zh-CN"/>
                    </w:rPr>
                    <w:t>从事高端医用设备的生产</w:t>
                  </w:r>
                  <w:r>
                    <w:rPr>
                      <w:rFonts w:hint="default" w:ascii="Times New Roman" w:hAnsi="Times New Roman" w:cs="Times New Roman"/>
                      <w:color w:val="auto"/>
                      <w:sz w:val="21"/>
                      <w:szCs w:val="21"/>
                      <w:highlight w:val="none"/>
                    </w:rPr>
                    <w:t>，不处于入太湖河道岸线内及两侧1000米范围内，不属于《太湖流域管理条例》（国务院令第604号）中规定禁止建设项目之列。</w:t>
                  </w:r>
                </w:p>
              </w:tc>
              <w:tc>
                <w:tcPr>
                  <w:tcW w:w="889" w:type="dxa"/>
                  <w:vMerge w:val="restart"/>
                  <w:vAlign w:val="center"/>
                </w:tcPr>
                <w:p w14:paraId="242C7405">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相符</w:t>
                  </w:r>
                </w:p>
              </w:tc>
            </w:tr>
            <w:tr w14:paraId="65D24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vMerge w:val="continue"/>
                  <w:vAlign w:val="center"/>
                </w:tcPr>
                <w:p w14:paraId="2561B551">
                  <w:pPr>
                    <w:jc w:val="center"/>
                    <w:rPr>
                      <w:rFonts w:hint="default" w:ascii="Times New Roman" w:hAnsi="Times New Roman" w:cs="Times New Roman"/>
                      <w:color w:val="auto"/>
                      <w:sz w:val="21"/>
                      <w:szCs w:val="21"/>
                      <w:highlight w:val="none"/>
                    </w:rPr>
                  </w:pPr>
                </w:p>
              </w:tc>
              <w:tc>
                <w:tcPr>
                  <w:tcW w:w="528" w:type="dxa"/>
                  <w:vMerge w:val="continue"/>
                  <w:vAlign w:val="center"/>
                </w:tcPr>
                <w:p w14:paraId="1D603E0D">
                  <w:pPr>
                    <w:jc w:val="center"/>
                    <w:rPr>
                      <w:rFonts w:hint="default" w:ascii="Times New Roman" w:hAnsi="Times New Roman" w:cs="Times New Roman"/>
                      <w:color w:val="auto"/>
                      <w:sz w:val="21"/>
                      <w:szCs w:val="21"/>
                      <w:highlight w:val="none"/>
                    </w:rPr>
                  </w:pPr>
                </w:p>
              </w:tc>
              <w:tc>
                <w:tcPr>
                  <w:tcW w:w="3984" w:type="dxa"/>
                  <w:vAlign w:val="center"/>
                </w:tcPr>
                <w:p w14:paraId="6271D089">
                  <w:pPr>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禁止在太湖流域设置不符合国家产业政策和水环境综合治理要求的造纸、制革、酒精、淀粉、冶金、酿造、印染、电镀等排放水污染物的生产项目，现有的生产项目不能实现达标排放的，应当依法关闭。</w:t>
                  </w:r>
                </w:p>
              </w:tc>
              <w:tc>
                <w:tcPr>
                  <w:tcW w:w="1478" w:type="dxa"/>
                  <w:vMerge w:val="continue"/>
                  <w:vAlign w:val="center"/>
                </w:tcPr>
                <w:p w14:paraId="384E71EF">
                  <w:pPr>
                    <w:jc w:val="center"/>
                    <w:rPr>
                      <w:rFonts w:hint="default" w:ascii="Times New Roman" w:hAnsi="Times New Roman" w:cs="Times New Roman"/>
                      <w:color w:val="FF0000"/>
                      <w:sz w:val="21"/>
                      <w:szCs w:val="21"/>
                      <w:highlight w:val="none"/>
                    </w:rPr>
                  </w:pPr>
                </w:p>
              </w:tc>
              <w:tc>
                <w:tcPr>
                  <w:tcW w:w="889" w:type="dxa"/>
                  <w:vMerge w:val="continue"/>
                  <w:vAlign w:val="center"/>
                </w:tcPr>
                <w:p w14:paraId="39C9068C">
                  <w:pPr>
                    <w:jc w:val="center"/>
                    <w:rPr>
                      <w:rFonts w:hint="default" w:ascii="Times New Roman" w:hAnsi="Times New Roman" w:cs="Times New Roman"/>
                      <w:color w:val="auto"/>
                      <w:sz w:val="21"/>
                      <w:szCs w:val="21"/>
                      <w:highlight w:val="none"/>
                    </w:rPr>
                  </w:pPr>
                </w:p>
              </w:tc>
            </w:tr>
            <w:tr w14:paraId="0C378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vMerge w:val="continue"/>
                  <w:vAlign w:val="center"/>
                </w:tcPr>
                <w:p w14:paraId="237A4FD7">
                  <w:pPr>
                    <w:jc w:val="center"/>
                    <w:rPr>
                      <w:rFonts w:hint="default" w:ascii="Times New Roman" w:hAnsi="Times New Roman" w:cs="Times New Roman"/>
                      <w:color w:val="auto"/>
                      <w:sz w:val="21"/>
                      <w:szCs w:val="21"/>
                      <w:highlight w:val="none"/>
                    </w:rPr>
                  </w:pPr>
                </w:p>
              </w:tc>
              <w:tc>
                <w:tcPr>
                  <w:tcW w:w="528" w:type="dxa"/>
                  <w:vAlign w:val="center"/>
                </w:tcPr>
                <w:p w14:paraId="6C0F070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第二十</w:t>
                  </w:r>
                  <w:r>
                    <w:rPr>
                      <w:rFonts w:hint="default" w:ascii="Times New Roman" w:hAnsi="Times New Roman" w:cs="Times New Roman"/>
                      <w:color w:val="auto"/>
                      <w:sz w:val="21"/>
                      <w:szCs w:val="21"/>
                      <w:highlight w:val="none"/>
                    </w:rPr>
                    <w:t>九</w:t>
                  </w:r>
                  <w:r>
                    <w:rPr>
                      <w:rFonts w:hint="default" w:ascii="Times New Roman" w:hAnsi="Times New Roman" w:cs="Times New Roman"/>
                      <w:color w:val="auto"/>
                      <w:kern w:val="0"/>
                      <w:sz w:val="21"/>
                      <w:szCs w:val="21"/>
                      <w:highlight w:val="none"/>
                    </w:rPr>
                    <w:t>条</w:t>
                  </w:r>
                </w:p>
              </w:tc>
              <w:tc>
                <w:tcPr>
                  <w:tcW w:w="3984" w:type="dxa"/>
                  <w:vAlign w:val="center"/>
                </w:tcPr>
                <w:p w14:paraId="1D2110E5">
                  <w:pPr>
                    <w:widowControl/>
                    <w:adjustRightInd w:val="0"/>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新孟河、望虞河以外的其他主要入太湖河道，自河口1万米上溯至5万米河道岸线内及其岸线两侧各1000米范围内，禁止下列行为：</w:t>
                  </w:r>
                </w:p>
                <w:p w14:paraId="28A5E8A4">
                  <w:pPr>
                    <w:widowControl/>
                    <w:adjustRightInd w:val="0"/>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（一）新建、扩建化工、医药生产项目；</w:t>
                  </w:r>
                </w:p>
                <w:p w14:paraId="0B9B57D2">
                  <w:pPr>
                    <w:widowControl/>
                    <w:adjustRightInd w:val="0"/>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（二）新建、扩建污水集中处理设施排污口以外的排污口；</w:t>
                  </w:r>
                </w:p>
                <w:p w14:paraId="1F5AAA57">
                  <w:pPr>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（三）扩大水产养殖规模。</w:t>
                  </w:r>
                </w:p>
              </w:tc>
              <w:tc>
                <w:tcPr>
                  <w:tcW w:w="1478" w:type="dxa"/>
                  <w:vMerge w:val="continue"/>
                  <w:vAlign w:val="center"/>
                </w:tcPr>
                <w:p w14:paraId="28A51FD5">
                  <w:pPr>
                    <w:jc w:val="center"/>
                    <w:rPr>
                      <w:rFonts w:hint="default" w:ascii="Times New Roman" w:hAnsi="Times New Roman" w:cs="Times New Roman"/>
                      <w:color w:val="FF0000"/>
                      <w:sz w:val="21"/>
                      <w:szCs w:val="21"/>
                      <w:highlight w:val="none"/>
                    </w:rPr>
                  </w:pPr>
                </w:p>
              </w:tc>
              <w:tc>
                <w:tcPr>
                  <w:tcW w:w="889" w:type="dxa"/>
                  <w:vMerge w:val="continue"/>
                  <w:vAlign w:val="center"/>
                </w:tcPr>
                <w:p w14:paraId="1CC6F0BF">
                  <w:pPr>
                    <w:jc w:val="center"/>
                    <w:rPr>
                      <w:rFonts w:hint="default" w:ascii="Times New Roman" w:hAnsi="Times New Roman" w:cs="Times New Roman"/>
                      <w:color w:val="auto"/>
                      <w:sz w:val="21"/>
                      <w:szCs w:val="21"/>
                      <w:highlight w:val="none"/>
                    </w:rPr>
                  </w:pPr>
                </w:p>
              </w:tc>
            </w:tr>
            <w:tr w14:paraId="4518B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vMerge w:val="continue"/>
                  <w:vAlign w:val="center"/>
                </w:tcPr>
                <w:p w14:paraId="1E1C23C6">
                  <w:pPr>
                    <w:jc w:val="center"/>
                    <w:rPr>
                      <w:rFonts w:hint="default" w:ascii="Times New Roman" w:hAnsi="Times New Roman" w:cs="Times New Roman"/>
                      <w:color w:val="auto"/>
                      <w:sz w:val="21"/>
                      <w:szCs w:val="21"/>
                      <w:highlight w:val="none"/>
                    </w:rPr>
                  </w:pPr>
                </w:p>
              </w:tc>
              <w:tc>
                <w:tcPr>
                  <w:tcW w:w="528" w:type="dxa"/>
                  <w:vAlign w:val="center"/>
                </w:tcPr>
                <w:p w14:paraId="696AD44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第三十条</w:t>
                  </w:r>
                </w:p>
              </w:tc>
              <w:tc>
                <w:tcPr>
                  <w:tcW w:w="3984" w:type="dxa"/>
                  <w:vAlign w:val="center"/>
                </w:tcPr>
                <w:p w14:paraId="5FB6A972">
                  <w:pPr>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太湖岸线内和岸线周边</w:t>
                  </w:r>
                  <w:r>
                    <w:rPr>
                      <w:rFonts w:hint="eastAsia"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000米范围内，淀山湖岸线内和岸线周边2000米范围内，太浦河、新孟河、望虞河岸线内和岸线两侧各1000米范围内，其他主要入太湖河道自河口上溯至1万米河道岸线内及其岸线两侧各1000米范围内，禁止下列行为：</w:t>
                  </w:r>
                </w:p>
                <w:p w14:paraId="1A4D144A">
                  <w:pPr>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（一）设置剧毒物质、危险化学品的贮存、输送设施和废物回收场、垃圾场；</w:t>
                  </w:r>
                </w:p>
                <w:p w14:paraId="1BFFAF63">
                  <w:pPr>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（二）设置水上餐饮经营设施；</w:t>
                  </w:r>
                </w:p>
                <w:p w14:paraId="48F3407F">
                  <w:pPr>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（三）新建、扩建高尔夫球场；</w:t>
                  </w:r>
                </w:p>
                <w:p w14:paraId="079AE457">
                  <w:pPr>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（四）新建、扩建畜禽养殖场；</w:t>
                  </w:r>
                </w:p>
                <w:p w14:paraId="76998FEC">
                  <w:pPr>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（五）新建、扩建向水体排放污染物的建设项目；</w:t>
                  </w:r>
                </w:p>
                <w:p w14:paraId="39073EAE">
                  <w:pPr>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（六）本条例第二十九条规定的行为。</w:t>
                  </w:r>
                </w:p>
              </w:tc>
              <w:tc>
                <w:tcPr>
                  <w:tcW w:w="1478" w:type="dxa"/>
                  <w:vMerge w:val="continue"/>
                  <w:vAlign w:val="center"/>
                </w:tcPr>
                <w:p w14:paraId="2354C8D3">
                  <w:pPr>
                    <w:jc w:val="center"/>
                    <w:rPr>
                      <w:rFonts w:hint="default" w:ascii="Times New Roman" w:hAnsi="Times New Roman" w:cs="Times New Roman"/>
                      <w:color w:val="FF0000"/>
                      <w:sz w:val="21"/>
                      <w:szCs w:val="21"/>
                      <w:highlight w:val="none"/>
                    </w:rPr>
                  </w:pPr>
                </w:p>
              </w:tc>
              <w:tc>
                <w:tcPr>
                  <w:tcW w:w="889" w:type="dxa"/>
                  <w:vMerge w:val="continue"/>
                  <w:vAlign w:val="center"/>
                </w:tcPr>
                <w:p w14:paraId="68EF7AB4">
                  <w:pPr>
                    <w:jc w:val="center"/>
                    <w:rPr>
                      <w:rFonts w:hint="default" w:ascii="Times New Roman" w:hAnsi="Times New Roman" w:cs="Times New Roman"/>
                      <w:color w:val="auto"/>
                      <w:sz w:val="21"/>
                      <w:szCs w:val="21"/>
                      <w:highlight w:val="none"/>
                    </w:rPr>
                  </w:pPr>
                </w:p>
              </w:tc>
            </w:tr>
            <w:tr w14:paraId="12D3E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vMerge w:val="restart"/>
                  <w:vAlign w:val="center"/>
                </w:tcPr>
                <w:p w14:paraId="7902EA94">
                  <w:pPr>
                    <w:jc w:val="center"/>
                    <w:rPr>
                      <w:rFonts w:hint="default" w:ascii="Times New Roman" w:hAnsi="Times New Roman" w:cs="Times New Roman"/>
                      <w:b/>
                      <w:color w:val="auto"/>
                      <w:sz w:val="21"/>
                      <w:szCs w:val="21"/>
                      <w:highlight w:val="none"/>
                    </w:rPr>
                  </w:pPr>
                  <w:r>
                    <w:rPr>
                      <w:rFonts w:hint="default" w:ascii="Times New Roman" w:hAnsi="Times New Roman" w:cs="Times New Roman"/>
                      <w:b/>
                      <w:bCs/>
                      <w:color w:val="auto"/>
                      <w:sz w:val="21"/>
                      <w:szCs w:val="21"/>
                      <w:highlight w:val="none"/>
                    </w:rPr>
                    <w:t>3、《江苏省太湖水污染防治条例》</w:t>
                  </w:r>
                  <w:r>
                    <w:rPr>
                      <w:rFonts w:hint="default" w:ascii="Times New Roman" w:hAnsi="Times New Roman" w:cs="Times New Roman"/>
                      <w:b/>
                      <w:color w:val="auto"/>
                      <w:sz w:val="21"/>
                      <w:szCs w:val="21"/>
                      <w:highlight w:val="none"/>
                    </w:rPr>
                    <w:t>（2021年修正）</w:t>
                  </w:r>
                </w:p>
              </w:tc>
              <w:tc>
                <w:tcPr>
                  <w:tcW w:w="528" w:type="dxa"/>
                  <w:vAlign w:val="center"/>
                </w:tcPr>
                <w:p w14:paraId="689170D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第四十三条</w:t>
                  </w:r>
                </w:p>
              </w:tc>
              <w:tc>
                <w:tcPr>
                  <w:tcW w:w="3984" w:type="dxa"/>
                  <w:vAlign w:val="center"/>
                </w:tcPr>
                <w:p w14:paraId="7426B506">
                  <w:pPr>
                    <w:widowControl/>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太湖流域一、二、三级保护区禁止下列行为：</w:t>
                  </w:r>
                </w:p>
                <w:p w14:paraId="3F4C9C8B">
                  <w:pPr>
                    <w:widowControl/>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①新建、改建、扩建化学制浆造纸、制革、酿造、染料、印染、电镀以及其他排放含磷、氮等污染物的企业和项目，城镇污水集中处理等环境基础设施项目和第四十六条规定的情形除外；</w:t>
                  </w:r>
                </w:p>
                <w:p w14:paraId="415897F0">
                  <w:pPr>
                    <w:widowControl/>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②销售、使用含磷洗涤用品；</w:t>
                  </w:r>
                </w:p>
                <w:p w14:paraId="1D7DE803">
                  <w:pPr>
                    <w:widowControl/>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③向水体排放或者倾倒油类、酸液、碱液、剧毒废渣废液、含放射性废渣废液、含病原体污水、工业废渣以及其他废弃物；</w:t>
                  </w:r>
                </w:p>
                <w:p w14:paraId="47D94197">
                  <w:pPr>
                    <w:widowControl/>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④在水体清洗装贮过油类或者有毒有害污染物的车辆、船舶和容器等；</w:t>
                  </w:r>
                </w:p>
                <w:p w14:paraId="1BBCE621">
                  <w:pPr>
                    <w:widowControl/>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⑤使用农药等有毒物毒杀水生生物；</w:t>
                  </w:r>
                </w:p>
                <w:p w14:paraId="64BC4F4C">
                  <w:pPr>
                    <w:widowControl/>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⑥向水体直接排放人畜粪便、倾倒垃圾；</w:t>
                  </w:r>
                </w:p>
                <w:p w14:paraId="2A07DF94">
                  <w:pPr>
                    <w:widowControl/>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⑦围湖造地；</w:t>
                  </w:r>
                </w:p>
                <w:p w14:paraId="7FA24405">
                  <w:pPr>
                    <w:widowControl/>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⑧违法开山采石，或者进行破坏林木、植被、水生生物的活动；</w:t>
                  </w:r>
                </w:p>
                <w:p w14:paraId="1AD22931">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⑨法律、法规禁止的其他行为。</w:t>
                  </w:r>
                </w:p>
              </w:tc>
              <w:tc>
                <w:tcPr>
                  <w:tcW w:w="1478" w:type="dxa"/>
                  <w:vMerge w:val="restart"/>
                  <w:vAlign w:val="center"/>
                </w:tcPr>
                <w:p w14:paraId="521BD059">
                  <w:pPr>
                    <w:jc w:val="center"/>
                    <w:rPr>
                      <w:rFonts w:hint="eastAsia" w:ascii="Times New Roman" w:hAnsi="Times New Roman" w:eastAsia="宋体" w:cs="Times New Roman"/>
                      <w:color w:val="FF0000"/>
                      <w:sz w:val="21"/>
                      <w:szCs w:val="21"/>
                      <w:highlight w:val="none"/>
                      <w:lang w:eastAsia="zh-CN"/>
                    </w:rPr>
                  </w:pPr>
                  <w:r>
                    <w:rPr>
                      <w:rFonts w:hint="default" w:ascii="Times New Roman" w:hAnsi="Times New Roman" w:cs="Times New Roman"/>
                      <w:color w:val="auto"/>
                      <w:sz w:val="21"/>
                      <w:szCs w:val="21"/>
                      <w:highlight w:val="none"/>
                    </w:rPr>
                    <w:t>本项目位于太湖流域三级保护区内，不涉及酸洗、磷化及电镀等表面加工工艺，不属于禁止建设的企业和项目；</w:t>
                  </w:r>
                  <w:r>
                    <w:rPr>
                      <w:rFonts w:hint="eastAsia" w:cs="Times New Roman"/>
                      <w:color w:val="auto"/>
                      <w:sz w:val="21"/>
                      <w:szCs w:val="21"/>
                      <w:highlight w:val="none"/>
                      <w:lang w:eastAsia="zh-CN"/>
                    </w:rPr>
                    <w:t>生活</w:t>
                  </w:r>
                  <w:r>
                    <w:rPr>
                      <w:rFonts w:hint="default" w:ascii="Times New Roman" w:hAnsi="Times New Roman" w:cs="Times New Roman"/>
                      <w:color w:val="auto"/>
                      <w:sz w:val="21"/>
                      <w:szCs w:val="21"/>
                      <w:highlight w:val="none"/>
                    </w:rPr>
                    <w:t>污水</w:t>
                  </w:r>
                  <w:r>
                    <w:rPr>
                      <w:rFonts w:hint="eastAsia" w:cs="Times New Roman"/>
                      <w:color w:val="auto"/>
                      <w:sz w:val="21"/>
                      <w:szCs w:val="21"/>
                      <w:highlight w:val="none"/>
                      <w:lang w:eastAsia="zh-CN"/>
                    </w:rPr>
                    <w:t>依托</w:t>
                  </w:r>
                  <w:r>
                    <w:rPr>
                      <w:rFonts w:hint="default" w:ascii="Times New Roman" w:hAnsi="Times New Roman" w:cs="Times New Roman"/>
                      <w:color w:val="auto"/>
                      <w:szCs w:val="21"/>
                      <w:highlight w:val="none"/>
                      <w:lang w:val="en-US" w:eastAsia="zh-CN"/>
                    </w:rPr>
                    <w:t>园区现有化粪池预处理后</w:t>
                  </w:r>
                  <w:r>
                    <w:rPr>
                      <w:rFonts w:hint="default" w:ascii="Times New Roman" w:hAnsi="Times New Roman" w:cs="Times New Roman"/>
                      <w:color w:val="auto"/>
                      <w:sz w:val="21"/>
                      <w:szCs w:val="21"/>
                      <w:highlight w:val="none"/>
                    </w:rPr>
                    <w:t>接管至常州市江边污水处理厂集中处理，不涉及含氮、磷以及重金属等污染物的产生及排放，生产过程中产生的各类固废均得到有效处置</w:t>
                  </w:r>
                  <w:r>
                    <w:rPr>
                      <w:rFonts w:hint="eastAsia" w:cs="Times New Roman"/>
                      <w:color w:val="auto"/>
                      <w:sz w:val="21"/>
                      <w:szCs w:val="21"/>
                      <w:highlight w:val="none"/>
                      <w:lang w:eastAsia="zh-CN"/>
                    </w:rPr>
                    <w:t>。</w:t>
                  </w:r>
                </w:p>
              </w:tc>
              <w:tc>
                <w:tcPr>
                  <w:tcW w:w="889" w:type="dxa"/>
                  <w:vMerge w:val="restart"/>
                  <w:vAlign w:val="center"/>
                </w:tcPr>
                <w:p w14:paraId="390B065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相符</w:t>
                  </w:r>
                </w:p>
              </w:tc>
            </w:tr>
            <w:tr w14:paraId="197C7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vMerge w:val="continue"/>
                  <w:vAlign w:val="center"/>
                </w:tcPr>
                <w:p w14:paraId="15D746ED">
                  <w:pPr>
                    <w:jc w:val="center"/>
                    <w:rPr>
                      <w:rFonts w:hint="default" w:ascii="Times New Roman" w:hAnsi="Times New Roman" w:cs="Times New Roman"/>
                      <w:b/>
                      <w:bCs/>
                      <w:color w:val="auto"/>
                      <w:sz w:val="21"/>
                      <w:szCs w:val="21"/>
                      <w:highlight w:val="none"/>
                    </w:rPr>
                  </w:pPr>
                </w:p>
              </w:tc>
              <w:tc>
                <w:tcPr>
                  <w:tcW w:w="528" w:type="dxa"/>
                  <w:vAlign w:val="center"/>
                </w:tcPr>
                <w:p w14:paraId="5D9C4808">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第四十六条</w:t>
                  </w:r>
                </w:p>
              </w:tc>
              <w:tc>
                <w:tcPr>
                  <w:tcW w:w="3984" w:type="dxa"/>
                  <w:vAlign w:val="center"/>
                </w:tcPr>
                <w:p w14:paraId="29B8EFF0">
                  <w:pPr>
                    <w:widowControl/>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太湖流域二、三级保护区内，在工业集聚区新建、改建、扩建排放含磷、氮等污染物的战略性新兴产业项目和改建印染项目，以及排放含磷、氮等污染物的现有企业在不增加产能的前提下实施提升环保标准的技术改造项目，应当符合国家产业政策和水环境综合治理要求，在实现国家和省减排目标的基础上，实施区域磷、氮等重点水污染物年排放总量减量替代。其中，战略性新兴产业新建、扩建项目新增的磷、氮等重点水污染物排放总量应当从本区域通过产业置换、淘汰、关闭等方式获得的指标中取得，且按照不低于该项目新增年排放总量的1.1倍实施减量替代。</w:t>
                  </w:r>
                </w:p>
              </w:tc>
              <w:tc>
                <w:tcPr>
                  <w:tcW w:w="1478" w:type="dxa"/>
                  <w:vMerge w:val="continue"/>
                  <w:vAlign w:val="center"/>
                </w:tcPr>
                <w:p w14:paraId="1C5F0D33">
                  <w:pPr>
                    <w:jc w:val="center"/>
                    <w:rPr>
                      <w:rFonts w:hint="default" w:ascii="Times New Roman" w:hAnsi="Times New Roman" w:cs="Times New Roman"/>
                      <w:color w:val="FF0000"/>
                      <w:sz w:val="21"/>
                      <w:szCs w:val="21"/>
                      <w:highlight w:val="none"/>
                    </w:rPr>
                  </w:pPr>
                </w:p>
              </w:tc>
              <w:tc>
                <w:tcPr>
                  <w:tcW w:w="889" w:type="dxa"/>
                  <w:vMerge w:val="continue"/>
                  <w:vAlign w:val="center"/>
                </w:tcPr>
                <w:p w14:paraId="0078FAFB">
                  <w:pPr>
                    <w:jc w:val="center"/>
                    <w:rPr>
                      <w:rFonts w:hint="default" w:ascii="Times New Roman" w:hAnsi="Times New Roman" w:cs="Times New Roman"/>
                      <w:color w:val="auto"/>
                      <w:sz w:val="21"/>
                      <w:szCs w:val="21"/>
                      <w:highlight w:val="none"/>
                    </w:rPr>
                  </w:pPr>
                </w:p>
              </w:tc>
            </w:tr>
            <w:tr w14:paraId="015DC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vAlign w:val="center"/>
                </w:tcPr>
                <w:p w14:paraId="4F5B5601">
                  <w:pPr>
                    <w:jc w:val="center"/>
                    <w:rPr>
                      <w:rFonts w:hint="default" w:ascii="Times New Roman" w:hAnsi="Times New Roman" w:cs="Times New Roman"/>
                      <w:b/>
                      <w:color w:val="auto"/>
                      <w:sz w:val="21"/>
                      <w:szCs w:val="21"/>
                      <w:highlight w:val="none"/>
                    </w:rPr>
                  </w:pPr>
                  <w:r>
                    <w:rPr>
                      <w:rFonts w:hint="eastAsia" w:cs="Times New Roman"/>
                      <w:b/>
                      <w:color w:val="auto"/>
                      <w:sz w:val="21"/>
                      <w:szCs w:val="21"/>
                      <w:highlight w:val="none"/>
                      <w:lang w:val="en-US" w:eastAsia="zh-CN"/>
                    </w:rPr>
                    <w:t>4</w:t>
                  </w:r>
                  <w:r>
                    <w:rPr>
                      <w:rFonts w:hint="default" w:ascii="Times New Roman" w:hAnsi="Times New Roman" w:cs="Times New Roman"/>
                      <w:b/>
                      <w:color w:val="auto"/>
                      <w:sz w:val="21"/>
                      <w:szCs w:val="21"/>
                      <w:highlight w:val="none"/>
                    </w:rPr>
                    <w:t>、《省政府关于印发江苏省太湖水污染治理工作方案的通知》（苏政发[2007]97号文）</w:t>
                  </w:r>
                </w:p>
              </w:tc>
              <w:tc>
                <w:tcPr>
                  <w:tcW w:w="528" w:type="dxa"/>
                  <w:vAlign w:val="center"/>
                </w:tcPr>
                <w:p w14:paraId="65A088B3">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3984" w:type="dxa"/>
                  <w:vAlign w:val="center"/>
                </w:tcPr>
                <w:p w14:paraId="597ACCC1">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禁止新上增加氮磷污染的项目。对于产业政策鼓励类项目，新增污染物排放量也必须通过老企业等量减排予以平衡，实施</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减一增一</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w:t>
                  </w:r>
                </w:p>
              </w:tc>
              <w:tc>
                <w:tcPr>
                  <w:tcW w:w="1478" w:type="dxa"/>
                  <w:vMerge w:val="restart"/>
                  <w:vAlign w:val="center"/>
                </w:tcPr>
                <w:p w14:paraId="73E4DBAB">
                  <w:pPr>
                    <w:jc w:val="center"/>
                    <w:rPr>
                      <w:rFonts w:hint="default" w:ascii="Times New Roman" w:hAnsi="Times New Roman" w:cs="Times New Roman"/>
                      <w:color w:val="FF0000"/>
                      <w:sz w:val="21"/>
                      <w:szCs w:val="21"/>
                      <w:highlight w:val="none"/>
                    </w:rPr>
                  </w:pPr>
                  <w:r>
                    <w:rPr>
                      <w:rFonts w:hint="eastAsia" w:cs="Times New Roman"/>
                      <w:color w:val="auto"/>
                      <w:sz w:val="21"/>
                      <w:szCs w:val="21"/>
                      <w:highlight w:val="none"/>
                      <w:lang w:eastAsia="zh-CN"/>
                    </w:rPr>
                    <w:t>不属于</w:t>
                  </w:r>
                  <w:r>
                    <w:rPr>
                      <w:rFonts w:hint="default" w:ascii="Times New Roman" w:hAnsi="Times New Roman" w:eastAsia="宋体" w:cs="Times New Roman"/>
                      <w:color w:val="auto"/>
                      <w:sz w:val="21"/>
                      <w:szCs w:val="21"/>
                      <w:highlight w:val="none"/>
                    </w:rPr>
                    <w:t>战略</w:t>
                  </w:r>
                  <w:r>
                    <w:rPr>
                      <w:rFonts w:hint="eastAsia" w:cs="Times New Roman"/>
                      <w:color w:val="auto"/>
                      <w:sz w:val="21"/>
                      <w:szCs w:val="21"/>
                      <w:highlight w:val="none"/>
                      <w:lang w:eastAsia="zh-CN"/>
                    </w:rPr>
                    <w:t>性</w:t>
                  </w:r>
                  <w:r>
                    <w:rPr>
                      <w:rFonts w:hint="default" w:ascii="Times New Roman" w:hAnsi="Times New Roman" w:eastAsia="宋体" w:cs="Times New Roman"/>
                      <w:color w:val="auto"/>
                      <w:sz w:val="21"/>
                      <w:szCs w:val="21"/>
                      <w:highlight w:val="none"/>
                    </w:rPr>
                    <w:t>新兴产业</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不涉及含氮、磷污染物排放</w:t>
                  </w:r>
                  <w:r>
                    <w:rPr>
                      <w:rFonts w:hint="default" w:ascii="Times New Roman" w:hAnsi="Times New Roman" w:eastAsia="宋体" w:cs="Times New Roman"/>
                      <w:color w:val="auto"/>
                      <w:sz w:val="21"/>
                      <w:szCs w:val="21"/>
                      <w:highlight w:val="none"/>
                      <w:lang w:eastAsia="zh-CN"/>
                    </w:rPr>
                    <w:t>。</w:t>
                  </w:r>
                </w:p>
              </w:tc>
              <w:tc>
                <w:tcPr>
                  <w:tcW w:w="889" w:type="dxa"/>
                  <w:vMerge w:val="restart"/>
                  <w:vAlign w:val="center"/>
                </w:tcPr>
                <w:p w14:paraId="57C4F9E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相符</w:t>
                  </w:r>
                </w:p>
              </w:tc>
            </w:tr>
            <w:tr w14:paraId="4D789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shd w:val="clear" w:color="auto" w:fill="auto"/>
                  <w:vAlign w:val="center"/>
                </w:tcPr>
                <w:p w14:paraId="0C527F51">
                  <w:pPr>
                    <w:keepNext w:val="0"/>
                    <w:keepLines w:val="0"/>
                    <w:pageBreakBefore w:val="0"/>
                    <w:suppressLineNumbers w:val="0"/>
                    <w:kinsoku/>
                    <w:wordWrap/>
                    <w:overflowPunct/>
                    <w:topLinePunct w:val="0"/>
                    <w:autoSpaceDE/>
                    <w:autoSpaceDN/>
                    <w:bidi w:val="0"/>
                    <w:snapToGrid w:val="0"/>
                    <w:spacing w:beforeAutospacing="0" w:afterAutospacing="0" w:line="240" w:lineRule="auto"/>
                    <w:ind w:left="0" w:leftChars="0" w:right="0" w:rightChars="0" w:firstLine="0" w:firstLineChars="0"/>
                    <w:jc w:val="left"/>
                    <w:textAlignment w:val="auto"/>
                    <w:outlineLvl w:val="9"/>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rPr>
                    <w:t>5、《江苏省太湖流域战略性新兴产业类别目录（2018年本）》</w:t>
                  </w:r>
                </w:p>
              </w:tc>
              <w:tc>
                <w:tcPr>
                  <w:tcW w:w="528" w:type="dxa"/>
                  <w:shd w:val="clear" w:color="auto" w:fill="auto"/>
                  <w:vAlign w:val="center"/>
                </w:tcPr>
                <w:p w14:paraId="28FBB8EB">
                  <w:pPr>
                    <w:keepNext w:val="0"/>
                    <w:keepLines w:val="0"/>
                    <w:pageBreakBefore w:val="0"/>
                    <w:widowControl/>
                    <w:suppressLineNumbers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3984" w:type="dxa"/>
                  <w:shd w:val="clear" w:color="auto" w:fill="auto"/>
                  <w:vAlign w:val="center"/>
                </w:tcPr>
                <w:p w14:paraId="113DB891">
                  <w:pPr>
                    <w:keepNext w:val="0"/>
                    <w:keepLines w:val="0"/>
                    <w:pageBreakBefore w:val="0"/>
                    <w:widowControl/>
                    <w:suppressLineNumbers w:val="0"/>
                    <w:kinsoku/>
                    <w:wordWrap/>
                    <w:overflowPunct/>
                    <w:topLinePunct w:val="0"/>
                    <w:autoSpaceDE/>
                    <w:autoSpaceDN/>
                    <w:bidi w:val="0"/>
                    <w:snapToGrid w:val="0"/>
                    <w:spacing w:beforeAutospacing="0" w:afterAutospacing="0"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三、生物技术和新医药产业</w:t>
                  </w:r>
                </w:p>
                <w:p w14:paraId="54E4FE92">
                  <w:pPr>
                    <w:keepNext w:val="0"/>
                    <w:keepLines w:val="0"/>
                    <w:pageBreakBefore w:val="0"/>
                    <w:widowControl/>
                    <w:suppressLineNumbers w:val="0"/>
                    <w:kinsoku/>
                    <w:wordWrap/>
                    <w:overflowPunct/>
                    <w:topLinePunct w:val="0"/>
                    <w:autoSpaceDE/>
                    <w:autoSpaceDN/>
                    <w:bidi w:val="0"/>
                    <w:snapToGrid w:val="0"/>
                    <w:spacing w:beforeAutospacing="0" w:afterAutospacing="0" w:line="240" w:lineRule="auto"/>
                    <w:ind w:left="0" w:leftChars="0" w:right="0" w:rightChars="0" w:firstLine="0" w:firstLineChars="0"/>
                    <w:jc w:val="left"/>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27.</w:t>
                  </w:r>
                  <w:r>
                    <w:rPr>
                      <w:rFonts w:hint="default" w:ascii="Times New Roman" w:hAnsi="Times New Roman" w:eastAsia="宋体" w:cs="Times New Roman"/>
                      <w:b w:val="0"/>
                      <w:bCs w:val="0"/>
                      <w:color w:val="auto"/>
                      <w:sz w:val="21"/>
                      <w:szCs w:val="21"/>
                      <w:highlight w:val="none"/>
                    </w:rPr>
                    <w:t>快速诊断技术以及微阵列芯片、高通量低成本基因测序仪、基因编辑设备和试剂等产品的开发与制造</w:t>
                  </w:r>
                  <w:r>
                    <w:rPr>
                      <w:rFonts w:hint="default" w:ascii="Times New Roman" w:hAnsi="Times New Roman" w:eastAsia="宋体" w:cs="Times New Roman"/>
                      <w:color w:val="auto"/>
                      <w:sz w:val="21"/>
                      <w:szCs w:val="21"/>
                      <w:highlight w:val="none"/>
                      <w:lang w:eastAsia="zh-CN"/>
                    </w:rPr>
                    <w:t>。</w:t>
                  </w:r>
                </w:p>
              </w:tc>
              <w:tc>
                <w:tcPr>
                  <w:tcW w:w="1478" w:type="dxa"/>
                  <w:vMerge w:val="continue"/>
                  <w:vAlign w:val="center"/>
                </w:tcPr>
                <w:p w14:paraId="62E93C19">
                  <w:pPr>
                    <w:jc w:val="center"/>
                    <w:rPr>
                      <w:rFonts w:hint="default" w:ascii="Times New Roman" w:hAnsi="Times New Roman" w:cs="Times New Roman"/>
                      <w:color w:val="FF0000"/>
                      <w:sz w:val="21"/>
                      <w:szCs w:val="21"/>
                      <w:highlight w:val="none"/>
                    </w:rPr>
                  </w:pPr>
                </w:p>
              </w:tc>
              <w:tc>
                <w:tcPr>
                  <w:tcW w:w="889" w:type="dxa"/>
                  <w:vMerge w:val="continue"/>
                  <w:vAlign w:val="center"/>
                </w:tcPr>
                <w:p w14:paraId="6A0679C7">
                  <w:pPr>
                    <w:jc w:val="center"/>
                    <w:rPr>
                      <w:rFonts w:hint="default" w:ascii="Times New Roman" w:hAnsi="Times New Roman" w:cs="Times New Roman"/>
                      <w:color w:val="auto"/>
                      <w:sz w:val="21"/>
                      <w:szCs w:val="21"/>
                      <w:highlight w:val="none"/>
                    </w:rPr>
                  </w:pPr>
                </w:p>
              </w:tc>
            </w:tr>
            <w:tr w14:paraId="05ED8C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vMerge w:val="restart"/>
                  <w:vAlign w:val="center"/>
                </w:tcPr>
                <w:p w14:paraId="389E1252">
                  <w:pPr>
                    <w:jc w:val="center"/>
                    <w:rPr>
                      <w:rFonts w:hint="default" w:ascii="Times New Roman" w:hAnsi="Times New Roman" w:cs="Times New Roman"/>
                      <w:color w:val="auto"/>
                      <w:sz w:val="21"/>
                      <w:szCs w:val="21"/>
                      <w:highlight w:val="none"/>
                    </w:rPr>
                  </w:pPr>
                  <w:r>
                    <w:rPr>
                      <w:rFonts w:hint="eastAsia" w:cs="Times New Roman" w:eastAsiaTheme="minorEastAsia"/>
                      <w:b/>
                      <w:bCs/>
                      <w:color w:val="auto"/>
                      <w:sz w:val="21"/>
                      <w:szCs w:val="21"/>
                      <w:highlight w:val="none"/>
                      <w:lang w:val="en-US" w:eastAsia="zh-CN"/>
                    </w:rPr>
                    <w:t>5</w:t>
                  </w:r>
                  <w:r>
                    <w:rPr>
                      <w:rFonts w:hint="default" w:ascii="Times New Roman" w:hAnsi="Times New Roman" w:cs="Times New Roman" w:eastAsiaTheme="minorEastAsia"/>
                      <w:b/>
                      <w:bCs/>
                      <w:color w:val="auto"/>
                      <w:sz w:val="21"/>
                      <w:szCs w:val="21"/>
                      <w:highlight w:val="none"/>
                    </w:rPr>
                    <w:t>、《江苏省水污染防治条例》（</w:t>
                  </w:r>
                  <w:r>
                    <w:rPr>
                      <w:rFonts w:hint="default" w:ascii="Times New Roman" w:hAnsi="Times New Roman" w:cs="Times New Roman"/>
                      <w:b/>
                      <w:color w:val="auto"/>
                      <w:sz w:val="21"/>
                      <w:szCs w:val="21"/>
                      <w:highlight w:val="none"/>
                    </w:rPr>
                    <w:t>2021年修正</w:t>
                  </w:r>
                  <w:r>
                    <w:rPr>
                      <w:rFonts w:hint="default" w:ascii="Times New Roman" w:hAnsi="Times New Roman" w:cs="Times New Roman" w:eastAsiaTheme="minorEastAsia"/>
                      <w:b/>
                      <w:bCs/>
                      <w:color w:val="auto"/>
                      <w:sz w:val="21"/>
                      <w:szCs w:val="21"/>
                      <w:highlight w:val="none"/>
                    </w:rPr>
                    <w:t>）</w:t>
                  </w:r>
                </w:p>
              </w:tc>
              <w:tc>
                <w:tcPr>
                  <w:tcW w:w="528" w:type="dxa"/>
                  <w:vAlign w:val="center"/>
                </w:tcPr>
                <w:p w14:paraId="38E7B3C2">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bCs/>
                      <w:color w:val="auto"/>
                      <w:sz w:val="21"/>
                      <w:szCs w:val="21"/>
                      <w:highlight w:val="none"/>
                    </w:rPr>
                    <w:t>第七条</w:t>
                  </w:r>
                </w:p>
              </w:tc>
              <w:tc>
                <w:tcPr>
                  <w:tcW w:w="3984" w:type="dxa"/>
                  <w:vAlign w:val="center"/>
                </w:tcPr>
                <w:p w14:paraId="261A5B58">
                  <w:pP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bCs/>
                      <w:color w:val="auto"/>
                      <w:sz w:val="21"/>
                      <w:szCs w:val="21"/>
                      <w:highlight w:val="none"/>
                    </w:rPr>
                    <w:t>直接或者间接向水体排放水污染物的企业事业单位和其他生产经营者（以下称排污单位）应当承担水污染防治主体责任，健全水污染防治管理制度，依法公开治理信息，实施清洁生产，节约利用水资源，采取有效措施防止、减少水环境污染和生态破坏。</w:t>
                  </w:r>
                </w:p>
              </w:tc>
              <w:tc>
                <w:tcPr>
                  <w:tcW w:w="1478" w:type="dxa"/>
                  <w:vMerge w:val="restart"/>
                  <w:vAlign w:val="center"/>
                </w:tcPr>
                <w:p w14:paraId="0E010DEF">
                  <w:pPr>
                    <w:jc w:val="center"/>
                    <w:rPr>
                      <w:rFonts w:hint="default" w:ascii="Times New Roman" w:hAnsi="Times New Roman" w:cs="Times New Roman"/>
                      <w:color w:val="FF0000"/>
                      <w:sz w:val="21"/>
                      <w:szCs w:val="21"/>
                      <w:highlight w:val="none"/>
                    </w:rPr>
                  </w:pPr>
                  <w:r>
                    <w:rPr>
                      <w:rFonts w:hint="default" w:ascii="Times New Roman" w:hAnsi="Times New Roman" w:cs="Times New Roman"/>
                      <w:color w:val="auto"/>
                      <w:sz w:val="21"/>
                      <w:szCs w:val="21"/>
                      <w:highlight w:val="none"/>
                    </w:rPr>
                    <w:t>本项目</w:t>
                  </w:r>
                  <w:r>
                    <w:rPr>
                      <w:rFonts w:hint="default" w:ascii="Times New Roman" w:hAnsi="Times New Roman" w:cs="Times New Roman"/>
                      <w:color w:val="auto"/>
                      <w:sz w:val="21"/>
                      <w:szCs w:val="21"/>
                      <w:highlight w:val="none"/>
                      <w:lang w:eastAsia="zh-CN"/>
                    </w:rPr>
                    <w:t>新增员工生活污水依托园区现有化粪池预处理后</w:t>
                  </w:r>
                  <w:r>
                    <w:rPr>
                      <w:rFonts w:hint="default" w:ascii="Times New Roman" w:hAnsi="Times New Roman" w:cs="Times New Roman"/>
                      <w:color w:val="auto"/>
                      <w:sz w:val="21"/>
                      <w:szCs w:val="21"/>
                      <w:highlight w:val="none"/>
                    </w:rPr>
                    <w:t>接管至</w:t>
                  </w:r>
                  <w:r>
                    <w:rPr>
                      <w:rFonts w:hint="eastAsia" w:cs="Times New Roman"/>
                      <w:color w:val="auto"/>
                      <w:sz w:val="21"/>
                      <w:szCs w:val="21"/>
                      <w:highlight w:val="none"/>
                      <w:lang w:eastAsia="zh-CN"/>
                    </w:rPr>
                    <w:t>常州市江边污水处理厂</w:t>
                  </w:r>
                  <w:r>
                    <w:rPr>
                      <w:rFonts w:hint="default" w:ascii="Times New Roman" w:hAnsi="Times New Roman" w:cs="Times New Roman"/>
                      <w:color w:val="auto"/>
                      <w:sz w:val="21"/>
                      <w:szCs w:val="21"/>
                      <w:highlight w:val="none"/>
                    </w:rPr>
                    <w:t>集中处理</w:t>
                  </w:r>
                  <w:r>
                    <w:rPr>
                      <w:rFonts w:hint="eastAsia" w:cs="Times New Roman"/>
                      <w:color w:val="auto"/>
                      <w:sz w:val="21"/>
                      <w:szCs w:val="21"/>
                      <w:highlight w:val="none"/>
                      <w:lang w:eastAsia="zh-CN"/>
                    </w:rPr>
                    <w:t>，总量纳入常州市江边污水处理厂总量范围内</w:t>
                  </w:r>
                  <w:r>
                    <w:rPr>
                      <w:rFonts w:hint="default" w:ascii="Times New Roman" w:hAnsi="Times New Roman" w:cs="Times New Roman"/>
                      <w:color w:val="auto"/>
                      <w:sz w:val="21"/>
                      <w:szCs w:val="21"/>
                      <w:highlight w:val="none"/>
                    </w:rPr>
                    <w:t>，符合条例中相关规定。</w:t>
                  </w:r>
                </w:p>
              </w:tc>
              <w:tc>
                <w:tcPr>
                  <w:tcW w:w="889" w:type="dxa"/>
                  <w:vMerge w:val="restart"/>
                  <w:vAlign w:val="center"/>
                </w:tcPr>
                <w:p w14:paraId="6CFFC9D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相符</w:t>
                  </w:r>
                </w:p>
              </w:tc>
            </w:tr>
            <w:tr w14:paraId="21A16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vMerge w:val="continue"/>
                  <w:vAlign w:val="center"/>
                </w:tcPr>
                <w:p w14:paraId="49818BBE">
                  <w:pPr>
                    <w:jc w:val="center"/>
                    <w:rPr>
                      <w:rFonts w:hint="default" w:ascii="Times New Roman" w:hAnsi="Times New Roman" w:cs="Times New Roman" w:eastAsiaTheme="minorEastAsia"/>
                      <w:b/>
                      <w:bCs/>
                      <w:color w:val="auto"/>
                      <w:sz w:val="21"/>
                      <w:szCs w:val="21"/>
                      <w:highlight w:val="none"/>
                    </w:rPr>
                  </w:pPr>
                </w:p>
              </w:tc>
              <w:tc>
                <w:tcPr>
                  <w:tcW w:w="528" w:type="dxa"/>
                  <w:vAlign w:val="center"/>
                </w:tcPr>
                <w:p w14:paraId="0A8FF762">
                  <w:pPr>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第八条</w:t>
                  </w:r>
                </w:p>
              </w:tc>
              <w:tc>
                <w:tcPr>
                  <w:tcW w:w="3984" w:type="dxa"/>
                  <w:vAlign w:val="center"/>
                </w:tcPr>
                <w:p w14:paraId="56C71225">
                  <w:pP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bCs/>
                      <w:color w:val="auto"/>
                      <w:sz w:val="21"/>
                      <w:szCs w:val="21"/>
                      <w:highlight w:val="none"/>
                    </w:rPr>
                    <w:t>排放水污染物，不得超过国家和省规定的水污染物排放标准和重点水污染物排放总量控制指标。</w:t>
                  </w:r>
                </w:p>
              </w:tc>
              <w:tc>
                <w:tcPr>
                  <w:tcW w:w="1478" w:type="dxa"/>
                  <w:vMerge w:val="continue"/>
                  <w:vAlign w:val="center"/>
                </w:tcPr>
                <w:p w14:paraId="1CCDC1AF">
                  <w:pPr>
                    <w:jc w:val="center"/>
                    <w:rPr>
                      <w:rFonts w:hint="default" w:ascii="Times New Roman" w:hAnsi="Times New Roman" w:cs="Times New Roman"/>
                      <w:color w:val="FF0000"/>
                      <w:sz w:val="21"/>
                      <w:szCs w:val="21"/>
                      <w:highlight w:val="none"/>
                    </w:rPr>
                  </w:pPr>
                </w:p>
              </w:tc>
              <w:tc>
                <w:tcPr>
                  <w:tcW w:w="889" w:type="dxa"/>
                  <w:vMerge w:val="continue"/>
                  <w:vAlign w:val="center"/>
                </w:tcPr>
                <w:p w14:paraId="742623D5">
                  <w:pPr>
                    <w:jc w:val="center"/>
                    <w:rPr>
                      <w:rFonts w:hint="default" w:ascii="Times New Roman" w:hAnsi="Times New Roman" w:cs="Times New Roman"/>
                      <w:color w:val="auto"/>
                      <w:sz w:val="18"/>
                      <w:szCs w:val="18"/>
                      <w:highlight w:val="none"/>
                    </w:rPr>
                  </w:pPr>
                </w:p>
              </w:tc>
            </w:tr>
            <w:tr w14:paraId="744D7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vMerge w:val="continue"/>
                  <w:vAlign w:val="center"/>
                </w:tcPr>
                <w:p w14:paraId="323CBE8D">
                  <w:pPr>
                    <w:jc w:val="center"/>
                    <w:rPr>
                      <w:rFonts w:hint="default" w:ascii="Times New Roman" w:hAnsi="Times New Roman" w:cs="Times New Roman" w:eastAsiaTheme="minorEastAsia"/>
                      <w:b/>
                      <w:bCs/>
                      <w:color w:val="auto"/>
                      <w:sz w:val="21"/>
                      <w:szCs w:val="21"/>
                      <w:highlight w:val="none"/>
                    </w:rPr>
                  </w:pPr>
                </w:p>
              </w:tc>
              <w:tc>
                <w:tcPr>
                  <w:tcW w:w="528" w:type="dxa"/>
                  <w:vAlign w:val="center"/>
                </w:tcPr>
                <w:p w14:paraId="563E1F3D">
                  <w:pPr>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第十六条</w:t>
                  </w:r>
                </w:p>
              </w:tc>
              <w:tc>
                <w:tcPr>
                  <w:tcW w:w="3984" w:type="dxa"/>
                  <w:vAlign w:val="center"/>
                </w:tcPr>
                <w:p w14:paraId="6DE69F14">
                  <w:pP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bCs/>
                      <w:color w:val="auto"/>
                      <w:sz w:val="21"/>
                      <w:szCs w:val="21"/>
                      <w:highlight w:val="none"/>
                    </w:rPr>
                    <w:t>新建、改建、扩建直接或者间接向水体排放污染物的建设项目和其他水上设施，应当依法进行环境影响评价，并符合国家和省有关生态保护红线、环境准入清单、生态环境质量和资源利用的要求。</w:t>
                  </w:r>
                </w:p>
              </w:tc>
              <w:tc>
                <w:tcPr>
                  <w:tcW w:w="1478" w:type="dxa"/>
                  <w:vMerge w:val="continue"/>
                  <w:vAlign w:val="center"/>
                </w:tcPr>
                <w:p w14:paraId="2BB6CCBF">
                  <w:pPr>
                    <w:jc w:val="center"/>
                    <w:rPr>
                      <w:rFonts w:hint="default" w:ascii="Times New Roman" w:hAnsi="Times New Roman" w:cs="Times New Roman"/>
                      <w:color w:val="FF0000"/>
                      <w:sz w:val="21"/>
                      <w:szCs w:val="21"/>
                      <w:highlight w:val="none"/>
                    </w:rPr>
                  </w:pPr>
                </w:p>
              </w:tc>
              <w:tc>
                <w:tcPr>
                  <w:tcW w:w="889" w:type="dxa"/>
                  <w:vMerge w:val="continue"/>
                  <w:vAlign w:val="center"/>
                </w:tcPr>
                <w:p w14:paraId="1FC7D1E7">
                  <w:pPr>
                    <w:jc w:val="center"/>
                    <w:rPr>
                      <w:rFonts w:hint="default" w:ascii="Times New Roman" w:hAnsi="Times New Roman" w:cs="Times New Roman"/>
                      <w:color w:val="auto"/>
                      <w:sz w:val="18"/>
                      <w:szCs w:val="18"/>
                      <w:highlight w:val="none"/>
                    </w:rPr>
                  </w:pPr>
                </w:p>
              </w:tc>
            </w:tr>
            <w:tr w14:paraId="7A0A3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vMerge w:val="continue"/>
                  <w:vAlign w:val="center"/>
                </w:tcPr>
                <w:p w14:paraId="3029C53C">
                  <w:pPr>
                    <w:jc w:val="center"/>
                    <w:rPr>
                      <w:rFonts w:hint="default" w:ascii="Times New Roman" w:hAnsi="Times New Roman" w:cs="Times New Roman" w:eastAsiaTheme="minorEastAsia"/>
                      <w:b/>
                      <w:bCs/>
                      <w:color w:val="auto"/>
                      <w:sz w:val="21"/>
                      <w:szCs w:val="21"/>
                      <w:highlight w:val="none"/>
                    </w:rPr>
                  </w:pPr>
                </w:p>
              </w:tc>
              <w:tc>
                <w:tcPr>
                  <w:tcW w:w="528" w:type="dxa"/>
                  <w:vAlign w:val="center"/>
                </w:tcPr>
                <w:p w14:paraId="742A889C">
                  <w:pPr>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第二十三条</w:t>
                  </w:r>
                </w:p>
              </w:tc>
              <w:tc>
                <w:tcPr>
                  <w:tcW w:w="3984" w:type="dxa"/>
                  <w:vAlign w:val="center"/>
                </w:tcPr>
                <w:p w14:paraId="2A6C53B0">
                  <w:pP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bCs/>
                      <w:color w:val="auto"/>
                      <w:sz w:val="21"/>
                      <w:szCs w:val="21"/>
                      <w:highlight w:val="none"/>
                    </w:rPr>
                    <w:t>禁止工业企业、宾馆、餐饮、洗涤等企业事业单位以及个人使用各类含磷洗涤用品。</w:t>
                  </w:r>
                </w:p>
              </w:tc>
              <w:tc>
                <w:tcPr>
                  <w:tcW w:w="1478" w:type="dxa"/>
                  <w:vMerge w:val="continue"/>
                  <w:vAlign w:val="center"/>
                </w:tcPr>
                <w:p w14:paraId="5D7B77B7">
                  <w:pPr>
                    <w:jc w:val="center"/>
                    <w:rPr>
                      <w:rFonts w:hint="default" w:ascii="Times New Roman" w:hAnsi="Times New Roman" w:cs="Times New Roman"/>
                      <w:color w:val="FF0000"/>
                      <w:sz w:val="21"/>
                      <w:szCs w:val="21"/>
                      <w:highlight w:val="none"/>
                    </w:rPr>
                  </w:pPr>
                </w:p>
              </w:tc>
              <w:tc>
                <w:tcPr>
                  <w:tcW w:w="889" w:type="dxa"/>
                  <w:vMerge w:val="continue"/>
                  <w:vAlign w:val="center"/>
                </w:tcPr>
                <w:p w14:paraId="78E144E5">
                  <w:pPr>
                    <w:jc w:val="center"/>
                    <w:rPr>
                      <w:rFonts w:hint="default" w:ascii="Times New Roman" w:hAnsi="Times New Roman" w:cs="Times New Roman"/>
                      <w:color w:val="auto"/>
                      <w:sz w:val="18"/>
                      <w:szCs w:val="18"/>
                      <w:highlight w:val="none"/>
                    </w:rPr>
                  </w:pPr>
                </w:p>
              </w:tc>
            </w:tr>
            <w:tr w14:paraId="0BA829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vMerge w:val="continue"/>
                  <w:vAlign w:val="center"/>
                </w:tcPr>
                <w:p w14:paraId="262B3A2D">
                  <w:pPr>
                    <w:jc w:val="center"/>
                    <w:rPr>
                      <w:rFonts w:hint="default" w:ascii="Times New Roman" w:hAnsi="Times New Roman" w:cs="Times New Roman" w:eastAsiaTheme="minorEastAsia"/>
                      <w:b/>
                      <w:bCs/>
                      <w:color w:val="auto"/>
                      <w:sz w:val="21"/>
                      <w:szCs w:val="21"/>
                      <w:highlight w:val="none"/>
                    </w:rPr>
                  </w:pPr>
                </w:p>
              </w:tc>
              <w:tc>
                <w:tcPr>
                  <w:tcW w:w="528" w:type="dxa"/>
                  <w:vAlign w:val="center"/>
                </w:tcPr>
                <w:p w14:paraId="1D4079D7">
                  <w:pPr>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第二十六条</w:t>
                  </w:r>
                </w:p>
              </w:tc>
              <w:tc>
                <w:tcPr>
                  <w:tcW w:w="3984" w:type="dxa"/>
                  <w:vAlign w:val="center"/>
                </w:tcPr>
                <w:p w14:paraId="6C20D397">
                  <w:pP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bCs/>
                      <w:color w:val="auto"/>
                      <w:sz w:val="21"/>
                      <w:szCs w:val="21"/>
                      <w:highlight w:val="none"/>
                    </w:rPr>
                    <w:t>向污水集中处理设施排放工业废水的，应当按照国家和省有关规定进行预处理，符合国家、省有关标准和污水集中处理设施的接纳要求。</w:t>
                  </w:r>
                </w:p>
              </w:tc>
              <w:tc>
                <w:tcPr>
                  <w:tcW w:w="1478" w:type="dxa"/>
                  <w:vMerge w:val="continue"/>
                  <w:vAlign w:val="center"/>
                </w:tcPr>
                <w:p w14:paraId="19EDAE3E">
                  <w:pPr>
                    <w:jc w:val="center"/>
                    <w:rPr>
                      <w:rFonts w:hint="default" w:ascii="Times New Roman" w:hAnsi="Times New Roman" w:cs="Times New Roman"/>
                      <w:color w:val="FF0000"/>
                      <w:sz w:val="21"/>
                      <w:szCs w:val="21"/>
                      <w:highlight w:val="none"/>
                    </w:rPr>
                  </w:pPr>
                </w:p>
              </w:tc>
              <w:tc>
                <w:tcPr>
                  <w:tcW w:w="889" w:type="dxa"/>
                  <w:vMerge w:val="continue"/>
                  <w:vAlign w:val="center"/>
                </w:tcPr>
                <w:p w14:paraId="60C04F7F">
                  <w:pPr>
                    <w:jc w:val="center"/>
                    <w:rPr>
                      <w:rFonts w:hint="default" w:ascii="Times New Roman" w:hAnsi="Times New Roman" w:cs="Times New Roman"/>
                      <w:color w:val="auto"/>
                      <w:sz w:val="18"/>
                      <w:szCs w:val="18"/>
                      <w:highlight w:val="none"/>
                    </w:rPr>
                  </w:pPr>
                </w:p>
              </w:tc>
            </w:tr>
            <w:tr w14:paraId="7FFA8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vMerge w:val="restart"/>
                  <w:vAlign w:val="center"/>
                </w:tcPr>
                <w:p w14:paraId="2A4F03E4">
                  <w:pPr>
                    <w:jc w:val="center"/>
                    <w:rPr>
                      <w:rFonts w:hint="default" w:ascii="Times New Roman" w:hAnsi="Times New Roman" w:cs="Times New Roman" w:eastAsiaTheme="minorEastAsia"/>
                      <w:b/>
                      <w:bCs/>
                      <w:color w:val="auto"/>
                      <w:sz w:val="21"/>
                      <w:szCs w:val="21"/>
                      <w:highlight w:val="none"/>
                    </w:rPr>
                  </w:pPr>
                  <w:r>
                    <w:rPr>
                      <w:rFonts w:hint="eastAsia" w:cs="Times New Roman" w:eastAsiaTheme="minorEastAsia"/>
                      <w:b/>
                      <w:bCs/>
                      <w:color w:val="auto"/>
                      <w:sz w:val="21"/>
                      <w:szCs w:val="21"/>
                      <w:highlight w:val="none"/>
                      <w:lang w:val="en-US" w:eastAsia="zh-CN"/>
                    </w:rPr>
                    <w:t>6</w:t>
                  </w:r>
                  <w:r>
                    <w:rPr>
                      <w:rFonts w:hint="default" w:ascii="Times New Roman" w:hAnsi="Times New Roman" w:cs="Times New Roman" w:eastAsiaTheme="minorEastAsia"/>
                      <w:b/>
                      <w:bCs/>
                      <w:color w:val="auto"/>
                      <w:sz w:val="21"/>
                      <w:szCs w:val="21"/>
                      <w:highlight w:val="none"/>
                    </w:rPr>
                    <w:t>、《江苏省地表水氟化物污染治理工作方案（2023-2025年）》</w:t>
                  </w:r>
                </w:p>
              </w:tc>
              <w:tc>
                <w:tcPr>
                  <w:tcW w:w="528" w:type="dxa"/>
                  <w:vAlign w:val="center"/>
                </w:tcPr>
                <w:p w14:paraId="100F7B08">
                  <w:pPr>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一、总体要求</w:t>
                  </w:r>
                </w:p>
              </w:tc>
              <w:tc>
                <w:tcPr>
                  <w:tcW w:w="3984" w:type="dxa"/>
                  <w:vAlign w:val="center"/>
                </w:tcPr>
                <w:p w14:paraId="57F4535F">
                  <w:pP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（三）总体目标</w:t>
                  </w:r>
                </w:p>
                <w:p w14:paraId="4153BD84">
                  <w:pPr>
                    <w:rPr>
                      <w:rFonts w:hint="default" w:ascii="Times New Roman" w:hAnsi="Times New Roman" w:cs="Times New Roman" w:eastAsiaTheme="minorEastAsia"/>
                      <w:bCs/>
                      <w:color w:val="auto"/>
                      <w:sz w:val="21"/>
                      <w:szCs w:val="21"/>
                      <w:highlight w:val="none"/>
                    </w:rPr>
                  </w:pPr>
                  <w:r>
                    <w:rPr>
                      <w:rFonts w:hint="eastAsia" w:cs="Times New Roman" w:eastAsiaTheme="minorEastAsia"/>
                      <w:bCs/>
                      <w:color w:val="auto"/>
                      <w:sz w:val="21"/>
                      <w:szCs w:val="21"/>
                      <w:highlight w:val="none"/>
                      <w:lang w:val="en-US" w:eastAsia="zh-CN"/>
                    </w:rPr>
                    <w:t>1、</w:t>
                  </w:r>
                  <w:r>
                    <w:rPr>
                      <w:rFonts w:hint="default" w:ascii="Times New Roman" w:hAnsi="Times New Roman" w:cs="Times New Roman" w:eastAsiaTheme="minorEastAsia"/>
                      <w:bCs/>
                      <w:color w:val="auto"/>
                      <w:sz w:val="21"/>
                      <w:szCs w:val="21"/>
                      <w:highlight w:val="none"/>
                    </w:rPr>
                    <w:t>治理能力现代化。有序推进工业废水与生活污水分类收集、分质处理，完善含氟废水收集处理体系建设，新建企业含氟废水不得接入城镇污水处理厂，已接管的企业开展全面排查评估。到2025年，氟化物污染治理能力能够与地表水环境质量要求相匹配。</w:t>
                  </w:r>
                </w:p>
              </w:tc>
              <w:tc>
                <w:tcPr>
                  <w:tcW w:w="1478" w:type="dxa"/>
                  <w:shd w:val="clear" w:color="auto" w:fill="auto"/>
                  <w:vAlign w:val="center"/>
                </w:tcPr>
                <w:p w14:paraId="5E893806">
                  <w:pPr>
                    <w:keepNext w:val="0"/>
                    <w:keepLines w:val="0"/>
                    <w:pageBreakBefore w:val="0"/>
                    <w:suppressLineNumbers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本项目无含氟废水产生及排放。</w:t>
                  </w:r>
                </w:p>
              </w:tc>
              <w:tc>
                <w:tcPr>
                  <w:tcW w:w="889" w:type="dxa"/>
                  <w:vAlign w:val="center"/>
                </w:tcPr>
                <w:p w14:paraId="45157B52">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相符</w:t>
                  </w:r>
                </w:p>
              </w:tc>
            </w:tr>
            <w:tr w14:paraId="03369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9" w:type="dxa"/>
                  <w:vMerge w:val="continue"/>
                  <w:vAlign w:val="center"/>
                </w:tcPr>
                <w:p w14:paraId="1B44EB3B">
                  <w:pPr>
                    <w:rPr>
                      <w:rFonts w:hint="default" w:ascii="Times New Roman" w:hAnsi="Times New Roman" w:cs="Times New Roman" w:eastAsiaTheme="minorEastAsia"/>
                      <w:b/>
                      <w:bCs/>
                      <w:color w:val="auto"/>
                      <w:sz w:val="21"/>
                      <w:szCs w:val="21"/>
                      <w:highlight w:val="none"/>
                    </w:rPr>
                  </w:pPr>
                </w:p>
              </w:tc>
              <w:tc>
                <w:tcPr>
                  <w:tcW w:w="528" w:type="dxa"/>
                  <w:vAlign w:val="center"/>
                </w:tcPr>
                <w:p w14:paraId="36FB32F9">
                  <w:pPr>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二、重点任务</w:t>
                  </w:r>
                </w:p>
              </w:tc>
              <w:tc>
                <w:tcPr>
                  <w:tcW w:w="3984" w:type="dxa"/>
                  <w:vAlign w:val="center"/>
                </w:tcPr>
                <w:p w14:paraId="4CD15FBC">
                  <w:pP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（一）科学规划布局，严格项目准入</w:t>
                  </w:r>
                </w:p>
                <w:p w14:paraId="0442853B">
                  <w:pP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3、严格项目准入。强化项目环评与规划环评、现有项目环境管理、区域环境质量联动的</w:t>
                  </w:r>
                  <w:r>
                    <w:rPr>
                      <w:rFonts w:hint="eastAsia"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三挂钩</w:t>
                  </w:r>
                  <w:r>
                    <w:rPr>
                      <w:rFonts w:hint="eastAsia"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机制，新建涉氟企业原则上不得设置入河入海排污口，应进入具备产业定位的工业园区。存在国省考断面氟化物超标的区域，要针对性提出相应的氟化物区域削减措施，新、改、扩建项目应严格遵守</w:t>
                  </w:r>
                  <w:r>
                    <w:rPr>
                      <w:rFonts w:hint="eastAsia"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增产不增污</w:t>
                  </w:r>
                  <w:r>
                    <w:rPr>
                      <w:rFonts w:hint="eastAsia"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原则。优先选择涉氟重点区域开展氟化物排放总量控制试点工作。</w:t>
                  </w:r>
                </w:p>
              </w:tc>
              <w:tc>
                <w:tcPr>
                  <w:tcW w:w="1478" w:type="dxa"/>
                  <w:shd w:val="clear" w:color="auto" w:fill="auto"/>
                  <w:vAlign w:val="center"/>
                </w:tcPr>
                <w:p w14:paraId="5FAEB952">
                  <w:pPr>
                    <w:keepNext w:val="0"/>
                    <w:keepLines w:val="0"/>
                    <w:pageBreakBefore w:val="0"/>
                    <w:suppressLineNumbers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0"/>
                      <w:sz w:val="21"/>
                      <w:szCs w:val="21"/>
                      <w:highlight w:val="none"/>
                    </w:rPr>
                    <w:t>本项目</w:t>
                  </w:r>
                  <w:r>
                    <w:rPr>
                      <w:rFonts w:hint="default" w:ascii="Times New Roman" w:hAnsi="Times New Roman" w:cs="Times New Roman"/>
                      <w:color w:val="auto"/>
                      <w:sz w:val="21"/>
                      <w:szCs w:val="21"/>
                      <w:highlight w:val="none"/>
                      <w:lang w:eastAsia="zh-CN"/>
                    </w:rPr>
                    <w:t>新增员工生活污水依托园区现有化粪池预处理后</w:t>
                  </w:r>
                  <w:r>
                    <w:rPr>
                      <w:rFonts w:hint="default" w:ascii="Times New Roman" w:hAnsi="Times New Roman" w:cs="Times New Roman"/>
                      <w:color w:val="auto"/>
                      <w:sz w:val="21"/>
                      <w:szCs w:val="21"/>
                      <w:highlight w:val="none"/>
                    </w:rPr>
                    <w:t>接管至</w:t>
                  </w:r>
                  <w:r>
                    <w:rPr>
                      <w:rFonts w:hint="eastAsia" w:cs="Times New Roman"/>
                      <w:color w:val="auto"/>
                      <w:sz w:val="21"/>
                      <w:szCs w:val="21"/>
                      <w:highlight w:val="none"/>
                      <w:lang w:eastAsia="zh-CN"/>
                    </w:rPr>
                    <w:t>常州市江边污水处理厂</w:t>
                  </w:r>
                  <w:r>
                    <w:rPr>
                      <w:rFonts w:hint="default" w:ascii="Times New Roman" w:hAnsi="Times New Roman" w:cs="Times New Roman"/>
                      <w:color w:val="auto"/>
                      <w:sz w:val="21"/>
                      <w:szCs w:val="21"/>
                      <w:highlight w:val="none"/>
                    </w:rPr>
                    <w:t>集中处理；无含氟废水产生及排放。</w:t>
                  </w:r>
                </w:p>
              </w:tc>
              <w:tc>
                <w:tcPr>
                  <w:tcW w:w="889" w:type="dxa"/>
                  <w:vAlign w:val="center"/>
                </w:tcPr>
                <w:p w14:paraId="5952BA74">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相符</w:t>
                  </w:r>
                </w:p>
              </w:tc>
            </w:tr>
          </w:tbl>
          <w:p w14:paraId="35C8B293">
            <w:pPr>
              <w:autoSpaceDE w:val="0"/>
              <w:autoSpaceDN w:val="0"/>
              <w:adjustRightInd w:val="0"/>
              <w:snapToGrid w:val="0"/>
              <w:spacing w:line="360" w:lineRule="auto"/>
              <w:ind w:firstLine="200" w:firstLineChars="200"/>
              <w:rPr>
                <w:rFonts w:hint="default" w:ascii="Times New Roman" w:hAnsi="Times New Roman" w:cs="Times New Roman"/>
                <w:color w:val="FF0000"/>
                <w:kern w:val="0"/>
                <w:sz w:val="10"/>
                <w:szCs w:val="21"/>
                <w:highlight w:val="none"/>
              </w:rPr>
            </w:pPr>
          </w:p>
          <w:p w14:paraId="7E9B3A19">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（2）与国家、地方</w:t>
            </w:r>
            <w:r>
              <w:rPr>
                <w:rFonts w:hint="eastAsia"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rPr>
              <w:t>挥发性有机物污染控制</w:t>
            </w:r>
            <w:r>
              <w:rPr>
                <w:rFonts w:hint="eastAsia"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rPr>
              <w:t>文件的对照分析</w:t>
            </w:r>
          </w:p>
          <w:p w14:paraId="5ADBAF1E">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表1-</w:t>
            </w:r>
            <w:r>
              <w:rPr>
                <w:rFonts w:hint="eastAsia" w:cs="Times New Roman"/>
                <w:b/>
                <w:color w:val="auto"/>
                <w:sz w:val="24"/>
                <w:szCs w:val="24"/>
                <w:lang w:val="en-US" w:eastAsia="zh-CN"/>
              </w:rPr>
              <w:t>7</w:t>
            </w:r>
            <w:r>
              <w:rPr>
                <w:rFonts w:hint="eastAsia" w:ascii="Times New Roman" w:hAnsi="Times New Roman" w:eastAsia="宋体" w:cs="Times New Roman"/>
                <w:b/>
                <w:color w:val="auto"/>
                <w:sz w:val="24"/>
                <w:szCs w:val="24"/>
                <w:lang w:val="en-US" w:eastAsia="zh-CN"/>
              </w:rPr>
              <w:t>与国家、地方“挥发性有机物污染控制”文件的对照分析</w:t>
            </w:r>
          </w:p>
          <w:tbl>
            <w:tblPr>
              <w:tblStyle w:val="36"/>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2843"/>
              <w:gridCol w:w="324"/>
              <w:gridCol w:w="3806"/>
            </w:tblGrid>
            <w:tr w14:paraId="68FF1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7" w:type="pct"/>
                  <w:vAlign w:val="center"/>
                </w:tcPr>
                <w:p w14:paraId="3EE326A0">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文件名称</w:t>
                  </w:r>
                </w:p>
              </w:tc>
              <w:tc>
                <w:tcPr>
                  <w:tcW w:w="4282" w:type="pct"/>
                  <w:gridSpan w:val="3"/>
                  <w:vAlign w:val="center"/>
                </w:tcPr>
                <w:p w14:paraId="1F0E0C80">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《中华人民共和国大气污染防治法》（主席令第三十一号）</w:t>
                  </w:r>
                </w:p>
              </w:tc>
            </w:tr>
            <w:tr w14:paraId="74454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2" w:type="pct"/>
                  <w:gridSpan w:val="3"/>
                  <w:vAlign w:val="center"/>
                </w:tcPr>
                <w:p w14:paraId="72FFD11A">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文件要求</w:t>
                  </w:r>
                </w:p>
              </w:tc>
              <w:tc>
                <w:tcPr>
                  <w:tcW w:w="2337" w:type="pct"/>
                  <w:vAlign w:val="center"/>
                </w:tcPr>
                <w:p w14:paraId="11047D45">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对照分析</w:t>
                  </w:r>
                </w:p>
              </w:tc>
            </w:tr>
            <w:tr w14:paraId="08528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2" w:type="pct"/>
                  <w:gridSpan w:val="3"/>
                  <w:vAlign w:val="center"/>
                </w:tcPr>
                <w:p w14:paraId="2F153116">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FF0000"/>
                      <w:sz w:val="21"/>
                      <w:szCs w:val="21"/>
                      <w:highlight w:val="none"/>
                    </w:rPr>
                  </w:pPr>
                  <w:r>
                    <w:rPr>
                      <w:rFonts w:hint="default" w:ascii="Times New Roman" w:hAnsi="Times New Roman" w:cs="Times New Roman"/>
                      <w:color w:val="auto"/>
                      <w:kern w:val="0"/>
                      <w:sz w:val="21"/>
                      <w:szCs w:val="21"/>
                      <w:highlight w:val="none"/>
                    </w:rPr>
                    <w:t>第四十五条 产生含挥发性有机物废气的生产和服务活动，应当在密闭空间或者设备中进行，并按照规定安装、使用污染防治设施；无法密闭的，应当采取措施减少废气排放。</w:t>
                  </w:r>
                </w:p>
              </w:tc>
              <w:tc>
                <w:tcPr>
                  <w:tcW w:w="2337" w:type="pct"/>
                  <w:vAlign w:val="center"/>
                </w:tcPr>
                <w:p w14:paraId="34A08397">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FF0000"/>
                      <w:sz w:val="21"/>
                      <w:szCs w:val="21"/>
                      <w:highlight w:val="none"/>
                    </w:rPr>
                  </w:pPr>
                  <w:r>
                    <w:rPr>
                      <w:rFonts w:hint="eastAsia" w:cs="Times New Roman"/>
                      <w:color w:val="auto"/>
                      <w:sz w:val="21"/>
                      <w:szCs w:val="21"/>
                      <w:highlight w:val="none"/>
                      <w:lang w:eastAsia="zh-CN"/>
                    </w:rPr>
                    <w:t>本项目拟将发泡机设于密闭发泡间内，产生的</w:t>
                  </w:r>
                  <w:r>
                    <w:rPr>
                      <w:rFonts w:hint="eastAsia" w:cs="Times New Roman"/>
                      <w:color w:val="auto"/>
                      <w:sz w:val="21"/>
                      <w:szCs w:val="21"/>
                      <w:highlight w:val="none"/>
                      <w:lang w:val="en-US" w:eastAsia="zh-CN"/>
                    </w:rPr>
                    <w:t>发泡废气经风管收集后经TA001</w:t>
                  </w:r>
                  <w:r>
                    <w:rPr>
                      <w:rFonts w:hint="eastAsia" w:ascii="Times New Roman" w:hAnsi="Times New Roman" w:eastAsia="宋体" w:cs="Times New Roman"/>
                      <w:color w:val="auto"/>
                      <w:kern w:val="0"/>
                      <w:sz w:val="21"/>
                      <w:szCs w:val="21"/>
                      <w:highlight w:val="none"/>
                      <w:lang w:val="en-US" w:eastAsia="zh-CN"/>
                    </w:rPr>
                    <w:t>废气收集及处理系统（两级活性炭）</w:t>
                  </w:r>
                  <w:r>
                    <w:rPr>
                      <w:rFonts w:hint="eastAsia" w:cs="Times New Roman"/>
                      <w:color w:val="auto"/>
                      <w:sz w:val="21"/>
                      <w:szCs w:val="21"/>
                      <w:highlight w:val="none"/>
                      <w:lang w:val="en-US" w:eastAsia="zh-CN"/>
                    </w:rPr>
                    <w:t>处理后通过40米高排气筒（DA001）高空排放。</w:t>
                  </w:r>
                </w:p>
              </w:tc>
            </w:tr>
            <w:tr w14:paraId="33335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7" w:type="pct"/>
                  <w:vAlign w:val="center"/>
                </w:tcPr>
                <w:p w14:paraId="6069A3A0">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结论</w:t>
                  </w:r>
                </w:p>
              </w:tc>
              <w:tc>
                <w:tcPr>
                  <w:tcW w:w="4282" w:type="pct"/>
                  <w:gridSpan w:val="3"/>
                  <w:vAlign w:val="center"/>
                </w:tcPr>
                <w:p w14:paraId="7775C8E4">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本项目符合《中华人民共和国大气污染防治法》的相应要求。</w:t>
                  </w:r>
                </w:p>
              </w:tc>
            </w:tr>
            <w:tr w14:paraId="4862E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7" w:type="pct"/>
                  <w:vAlign w:val="center"/>
                </w:tcPr>
                <w:p w14:paraId="7F12A4EC">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文件名称</w:t>
                  </w:r>
                </w:p>
              </w:tc>
              <w:tc>
                <w:tcPr>
                  <w:tcW w:w="4282" w:type="pct"/>
                  <w:gridSpan w:val="3"/>
                  <w:vAlign w:val="center"/>
                </w:tcPr>
                <w:p w14:paraId="174D52B3">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《挥发性有机物（VOCs）污染防治技术政策》（公告2013年第31号）</w:t>
                  </w:r>
                </w:p>
              </w:tc>
            </w:tr>
            <w:tr w14:paraId="64B70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2" w:type="pct"/>
                  <w:gridSpan w:val="3"/>
                  <w:vAlign w:val="center"/>
                </w:tcPr>
                <w:p w14:paraId="2D5155E4">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文件要求</w:t>
                  </w:r>
                </w:p>
              </w:tc>
              <w:tc>
                <w:tcPr>
                  <w:tcW w:w="2337" w:type="pct"/>
                  <w:vAlign w:val="center"/>
                </w:tcPr>
                <w:p w14:paraId="7EB449C6">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FF0000"/>
                      <w:sz w:val="21"/>
                      <w:szCs w:val="21"/>
                      <w:highlight w:val="none"/>
                    </w:rPr>
                  </w:pPr>
                  <w:r>
                    <w:rPr>
                      <w:rFonts w:hint="default" w:ascii="Times New Roman" w:hAnsi="Times New Roman" w:cs="Times New Roman"/>
                      <w:b/>
                      <w:color w:val="auto"/>
                      <w:sz w:val="21"/>
                      <w:szCs w:val="21"/>
                      <w:highlight w:val="none"/>
                    </w:rPr>
                    <w:t>对照分析</w:t>
                  </w:r>
                </w:p>
              </w:tc>
            </w:tr>
            <w:tr w14:paraId="41ED3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2" w:type="pct"/>
                  <w:gridSpan w:val="3"/>
                  <w:vAlign w:val="center"/>
                </w:tcPr>
                <w:p w14:paraId="5773F146">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二、源头和过程控制</w:t>
                  </w:r>
                </w:p>
                <w:p w14:paraId="450C15C4">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（十）在涂装、印刷、粘合、工业清洗等含VOCs产品的使用过程中的VOCs污染防治技术措施包括：</w:t>
                  </w:r>
                </w:p>
                <w:p w14:paraId="7760D632">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1.鼓励使用通过环境标志产品认证的环保型涂料、油墨、胶粘剂和清洗剂；</w:t>
                  </w:r>
                </w:p>
                <w:p w14:paraId="0895D75D">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5.淘汰以三氟三氯乙烷、甲基氯仿和四氯化碳为清洗剂或溶剂的生产工艺。清洗过程中产生的废溶剂宜密闭收集，有回收价值的废溶剂经处理后回用，其他废溶剂应妥善处置；</w:t>
                  </w:r>
                </w:p>
                <w:p w14:paraId="52508C37">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FF0000"/>
                      <w:sz w:val="21"/>
                      <w:szCs w:val="21"/>
                      <w:highlight w:val="none"/>
                    </w:rPr>
                  </w:pPr>
                  <w:r>
                    <w:rPr>
                      <w:rFonts w:hint="default" w:ascii="Times New Roman" w:hAnsi="Times New Roman" w:cs="Times New Roman"/>
                      <w:color w:val="auto"/>
                      <w:sz w:val="21"/>
                      <w:szCs w:val="21"/>
                      <w:highlight w:val="none"/>
                    </w:rPr>
                    <w:t>6.含VOCs产品的使用过程中，应采取废气收集措施，提高废气收集效率，减少废气的无组织排放与逸散，并对收集后的废气进行回收或处理后达标排放。</w:t>
                  </w:r>
                </w:p>
              </w:tc>
              <w:tc>
                <w:tcPr>
                  <w:tcW w:w="2337" w:type="pct"/>
                  <w:vAlign w:val="center"/>
                </w:tcPr>
                <w:p w14:paraId="268563F0">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cs="Times New Roman"/>
                      <w:color w:val="auto"/>
                      <w:sz w:val="21"/>
                      <w:szCs w:val="21"/>
                      <w:highlight w:val="none"/>
                    </w:rPr>
                    <w:t>本项目主要</w:t>
                  </w:r>
                  <w:r>
                    <w:rPr>
                      <w:rFonts w:hint="eastAsia" w:cs="Times New Roman"/>
                      <w:color w:val="auto"/>
                      <w:szCs w:val="21"/>
                      <w:highlight w:val="none"/>
                      <w:lang w:val="en-US" w:eastAsia="zh-CN"/>
                    </w:rPr>
                    <w:t>从事高端医用设备的生产</w:t>
                  </w:r>
                  <w:r>
                    <w:rPr>
                      <w:rFonts w:hint="default" w:ascii="Times New Roman" w:hAnsi="Times New Roman" w:cs="Times New Roman"/>
                      <w:color w:val="auto"/>
                      <w:sz w:val="21"/>
                      <w:szCs w:val="21"/>
                      <w:highlight w:val="none"/>
                    </w:rPr>
                    <w:t>，不使用涂料、油墨、胶粘剂</w:t>
                  </w:r>
                  <w:r>
                    <w:rPr>
                      <w:rFonts w:hint="eastAsia" w:cs="Times New Roman"/>
                      <w:color w:val="auto"/>
                      <w:sz w:val="21"/>
                      <w:szCs w:val="21"/>
                      <w:highlight w:val="none"/>
                      <w:lang w:eastAsia="zh-CN"/>
                    </w:rPr>
                    <w:t>、清洗剂，从源头减少挥发性有机物的产生。</w:t>
                  </w:r>
                </w:p>
              </w:tc>
            </w:tr>
            <w:tr w14:paraId="371D9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7" w:type="pct"/>
                  <w:vAlign w:val="center"/>
                </w:tcPr>
                <w:p w14:paraId="1C4FB94B">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结论</w:t>
                  </w:r>
                </w:p>
              </w:tc>
              <w:tc>
                <w:tcPr>
                  <w:tcW w:w="4282" w:type="pct"/>
                  <w:gridSpan w:val="3"/>
                  <w:vAlign w:val="center"/>
                </w:tcPr>
                <w:p w14:paraId="435B725F">
                  <w:pPr>
                    <w:keepNext w:val="0"/>
                    <w:keepLines w:val="0"/>
                    <w:pageBreakBefore w:val="0"/>
                    <w:widowControl w:val="0"/>
                    <w:tabs>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本项目符合《挥发性有机物（VOCs）污染防治技术政策》的相应要求。</w:t>
                  </w:r>
                </w:p>
              </w:tc>
            </w:tr>
            <w:tr w14:paraId="43CE29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7" w:type="pct"/>
                  <w:vAlign w:val="center"/>
                </w:tcPr>
                <w:p w14:paraId="012D1588">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文件名称</w:t>
                  </w:r>
                </w:p>
              </w:tc>
              <w:tc>
                <w:tcPr>
                  <w:tcW w:w="4282" w:type="pct"/>
                  <w:gridSpan w:val="3"/>
                  <w:vAlign w:val="center"/>
                </w:tcPr>
                <w:p w14:paraId="1DB2E5FE">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《江苏省大气污染防治条例》（2018年修订）</w:t>
                  </w:r>
                </w:p>
              </w:tc>
            </w:tr>
            <w:tr w14:paraId="2A255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463" w:type="pct"/>
                  <w:gridSpan w:val="2"/>
                  <w:vAlign w:val="center"/>
                </w:tcPr>
                <w:p w14:paraId="5C5142DC">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文件要求</w:t>
                  </w:r>
                </w:p>
              </w:tc>
              <w:tc>
                <w:tcPr>
                  <w:tcW w:w="2536" w:type="pct"/>
                  <w:gridSpan w:val="2"/>
                  <w:vAlign w:val="center"/>
                </w:tcPr>
                <w:p w14:paraId="43940EDE">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对照分析</w:t>
                  </w:r>
                </w:p>
              </w:tc>
            </w:tr>
            <w:tr w14:paraId="19DFA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662" w:type="pct"/>
                  <w:gridSpan w:val="3"/>
                  <w:vAlign w:val="center"/>
                </w:tcPr>
                <w:p w14:paraId="11636C8E">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第三十七条 在生产经营过程中产生有毒有害大气污染物的，排污单位应当安装收集净化装置或者采取其他措施，达到国家和省规定的排放标准或者其他相关要求。禁止直接排放有毒有害大气污染物</w:t>
                  </w:r>
                  <w:r>
                    <w:rPr>
                      <w:rFonts w:hint="eastAsia" w:cs="Times New Roman"/>
                      <w:color w:val="auto"/>
                      <w:sz w:val="21"/>
                      <w:szCs w:val="21"/>
                      <w:highlight w:val="none"/>
                      <w:lang w:eastAsia="zh-CN"/>
                    </w:rPr>
                    <w:t>。</w:t>
                  </w:r>
                </w:p>
              </w:tc>
              <w:tc>
                <w:tcPr>
                  <w:tcW w:w="2337" w:type="pct"/>
                  <w:vMerge w:val="restart"/>
                  <w:vAlign w:val="center"/>
                </w:tcPr>
                <w:p w14:paraId="42FDA146">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FF0000"/>
                      <w:sz w:val="21"/>
                      <w:szCs w:val="21"/>
                      <w:highlight w:val="none"/>
                    </w:rPr>
                  </w:pPr>
                  <w:r>
                    <w:rPr>
                      <w:rFonts w:hint="eastAsia" w:cs="Times New Roman"/>
                      <w:color w:val="auto"/>
                      <w:sz w:val="21"/>
                      <w:szCs w:val="21"/>
                      <w:highlight w:val="none"/>
                      <w:lang w:eastAsia="zh-CN"/>
                    </w:rPr>
                    <w:t>本项目拟将发泡机设于密闭发泡间内，产生的</w:t>
                  </w:r>
                  <w:r>
                    <w:rPr>
                      <w:rFonts w:hint="eastAsia" w:cs="Times New Roman"/>
                      <w:color w:val="auto"/>
                      <w:sz w:val="21"/>
                      <w:szCs w:val="21"/>
                      <w:highlight w:val="none"/>
                      <w:lang w:val="en-US" w:eastAsia="zh-CN"/>
                    </w:rPr>
                    <w:t>发泡废气经风管收集后经TA001</w:t>
                  </w:r>
                  <w:r>
                    <w:rPr>
                      <w:rFonts w:hint="eastAsia" w:ascii="Times New Roman" w:hAnsi="Times New Roman" w:eastAsia="宋体" w:cs="Times New Roman"/>
                      <w:color w:val="auto"/>
                      <w:kern w:val="0"/>
                      <w:sz w:val="21"/>
                      <w:szCs w:val="21"/>
                      <w:highlight w:val="none"/>
                      <w:lang w:val="en-US" w:eastAsia="zh-CN"/>
                    </w:rPr>
                    <w:t>废气收集及处理系统（两级活性炭）</w:t>
                  </w:r>
                  <w:r>
                    <w:rPr>
                      <w:rFonts w:hint="eastAsia" w:cs="Times New Roman"/>
                      <w:color w:val="auto"/>
                      <w:sz w:val="21"/>
                      <w:szCs w:val="21"/>
                      <w:highlight w:val="none"/>
                      <w:lang w:val="en-US" w:eastAsia="zh-CN"/>
                    </w:rPr>
                    <w:t>处理后通过40米高排气筒（DA001）高空排放。</w:t>
                  </w:r>
                </w:p>
              </w:tc>
            </w:tr>
            <w:tr w14:paraId="4D1B6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662" w:type="pct"/>
                  <w:gridSpan w:val="3"/>
                  <w:vAlign w:val="center"/>
                </w:tcPr>
                <w:p w14:paraId="2FC61D62">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第三十八条 产生挥发性有机物废气的生产经营活动，应当在密闭空间或者设备中进行，并设置废气收集和处理系统等污染防治设施，保持其正常使用。</w:t>
                  </w:r>
                </w:p>
              </w:tc>
              <w:tc>
                <w:tcPr>
                  <w:tcW w:w="2337" w:type="pct"/>
                  <w:vMerge w:val="continue"/>
                  <w:vAlign w:val="center"/>
                </w:tcPr>
                <w:p w14:paraId="2C6E65BB">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FF0000"/>
                      <w:sz w:val="21"/>
                      <w:szCs w:val="21"/>
                      <w:highlight w:val="none"/>
                    </w:rPr>
                  </w:pPr>
                </w:p>
              </w:tc>
            </w:tr>
            <w:tr w14:paraId="145FB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7" w:type="pct"/>
                  <w:vAlign w:val="center"/>
                </w:tcPr>
                <w:p w14:paraId="4A365FC2">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结论</w:t>
                  </w:r>
                </w:p>
              </w:tc>
              <w:tc>
                <w:tcPr>
                  <w:tcW w:w="4282" w:type="pct"/>
                  <w:gridSpan w:val="3"/>
                  <w:vAlign w:val="center"/>
                </w:tcPr>
                <w:p w14:paraId="5634251C">
                  <w:pPr>
                    <w:keepNext w:val="0"/>
                    <w:keepLines w:val="0"/>
                    <w:pageBreakBefore w:val="0"/>
                    <w:widowControl w:val="0"/>
                    <w:tabs>
                      <w:tab w:val="left" w:pos="144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本项目符合《江苏省大气污染防治条例》（2018年修订）的相应要求。</w:t>
                  </w:r>
                </w:p>
              </w:tc>
            </w:tr>
            <w:tr w14:paraId="7E6F4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7" w:type="pct"/>
                  <w:vAlign w:val="center"/>
                </w:tcPr>
                <w:p w14:paraId="7BB12123">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文件名称</w:t>
                  </w:r>
                </w:p>
              </w:tc>
              <w:tc>
                <w:tcPr>
                  <w:tcW w:w="4282" w:type="pct"/>
                  <w:gridSpan w:val="3"/>
                  <w:vAlign w:val="center"/>
                </w:tcPr>
                <w:p w14:paraId="5EEF9949">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《江苏省重点行业挥发性有机物污染控制指南》（苏环办〔2014〕128号）</w:t>
                  </w:r>
                </w:p>
              </w:tc>
            </w:tr>
            <w:tr w14:paraId="1083B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2" w:type="pct"/>
                  <w:gridSpan w:val="3"/>
                  <w:vAlign w:val="center"/>
                </w:tcPr>
                <w:p w14:paraId="1164F9E1">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文件要求</w:t>
                  </w:r>
                </w:p>
              </w:tc>
              <w:tc>
                <w:tcPr>
                  <w:tcW w:w="2337" w:type="pct"/>
                  <w:vAlign w:val="center"/>
                </w:tcPr>
                <w:p w14:paraId="2C67C360">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对照分析</w:t>
                  </w:r>
                </w:p>
              </w:tc>
            </w:tr>
            <w:tr w14:paraId="1B86F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2" w:type="pct"/>
                  <w:gridSpan w:val="3"/>
                  <w:vAlign w:val="center"/>
                </w:tcPr>
                <w:p w14:paraId="1840D111">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一、总体要求</w:t>
                  </w:r>
                </w:p>
              </w:tc>
              <w:tc>
                <w:tcPr>
                  <w:tcW w:w="2337" w:type="pct"/>
                  <w:vAlign w:val="center"/>
                </w:tcPr>
                <w:p w14:paraId="3B6FE457">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14:paraId="43202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2" w:type="pct"/>
                  <w:gridSpan w:val="3"/>
                  <w:vAlign w:val="center"/>
                </w:tcPr>
                <w:p w14:paraId="7B7F6C85">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（一）所有产生有机废气污染的企业，应优先采用环保型原辅料、生产工艺和装备，对相应生产单元或设施进行密闭，从源头控制VOCs的产生，减少废气污染物排放。</w:t>
                  </w:r>
                </w:p>
              </w:tc>
              <w:tc>
                <w:tcPr>
                  <w:tcW w:w="2337" w:type="pct"/>
                  <w:vAlign w:val="center"/>
                </w:tcPr>
                <w:p w14:paraId="2B0F5E06">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FF0000"/>
                      <w:sz w:val="21"/>
                      <w:szCs w:val="21"/>
                      <w:highlight w:val="none"/>
                    </w:rPr>
                  </w:pPr>
                  <w:r>
                    <w:rPr>
                      <w:rFonts w:hint="eastAsia" w:cs="Times New Roman"/>
                      <w:color w:val="auto"/>
                      <w:sz w:val="21"/>
                      <w:szCs w:val="21"/>
                      <w:highlight w:val="none"/>
                      <w:lang w:eastAsia="zh-CN"/>
                    </w:rPr>
                    <w:t>本项目拟将发泡机设于密闭发泡间内，产生的</w:t>
                  </w:r>
                  <w:r>
                    <w:rPr>
                      <w:rFonts w:hint="eastAsia" w:cs="Times New Roman"/>
                      <w:color w:val="auto"/>
                      <w:sz w:val="21"/>
                      <w:szCs w:val="21"/>
                      <w:highlight w:val="none"/>
                      <w:lang w:val="en-US" w:eastAsia="zh-CN"/>
                    </w:rPr>
                    <w:t>发泡废气经风管收集后经TA001</w:t>
                  </w:r>
                  <w:r>
                    <w:rPr>
                      <w:rFonts w:hint="eastAsia" w:ascii="Times New Roman" w:hAnsi="Times New Roman" w:eastAsia="宋体" w:cs="Times New Roman"/>
                      <w:color w:val="auto"/>
                      <w:kern w:val="0"/>
                      <w:sz w:val="21"/>
                      <w:szCs w:val="21"/>
                      <w:highlight w:val="none"/>
                      <w:lang w:val="en-US" w:eastAsia="zh-CN"/>
                    </w:rPr>
                    <w:t>废气收集及处理系统（两级活性炭）</w:t>
                  </w:r>
                  <w:r>
                    <w:rPr>
                      <w:rFonts w:hint="eastAsia" w:cs="Times New Roman"/>
                      <w:color w:val="auto"/>
                      <w:sz w:val="21"/>
                      <w:szCs w:val="21"/>
                      <w:highlight w:val="none"/>
                      <w:lang w:val="en-US" w:eastAsia="zh-CN"/>
                    </w:rPr>
                    <w:t>处理后通过40米高排气筒（DA001）高空排放</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可从源头控制VOC</w:t>
                  </w:r>
                  <w:r>
                    <w:rPr>
                      <w:rFonts w:hint="default" w:ascii="Times New Roman" w:hAnsi="Times New Roman" w:cs="Times New Roman"/>
                      <w:color w:val="auto"/>
                      <w:sz w:val="21"/>
                      <w:szCs w:val="21"/>
                      <w:highlight w:val="none"/>
                      <w:lang w:val="en-US" w:eastAsia="zh-CN"/>
                    </w:rPr>
                    <w:t>s</w:t>
                  </w:r>
                  <w:r>
                    <w:rPr>
                      <w:rFonts w:hint="default" w:ascii="Times New Roman" w:hAnsi="Times New Roman" w:cs="Times New Roman"/>
                      <w:color w:val="auto"/>
                      <w:sz w:val="21"/>
                      <w:szCs w:val="21"/>
                      <w:highlight w:val="none"/>
                    </w:rPr>
                    <w:t>的产生。</w:t>
                  </w:r>
                </w:p>
              </w:tc>
            </w:tr>
            <w:tr w14:paraId="452EF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2" w:type="pct"/>
                  <w:gridSpan w:val="3"/>
                  <w:vAlign w:val="center"/>
                </w:tcPr>
                <w:p w14:paraId="70F3D7CF">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二）鼓励对排放的VOCs进行回收利用，并优先在生产系统内回用。对浓度、性状差异较大的废气应分类收集，并采用适宜的方式进行有效的处理，确保VOCs总去除率满足管理要求，其中有机化工、医药化工、橡胶和塑料制品（有溶剂浸胶工艺）、溶剂型涂料表面涂装、包装印刷业的VOCs总收集、净化处理效率均不低于90%，其他行业原则上不低于75%。废气处理的工艺路线应根据废气产生量、污染物组分和性质、温度、压力等因素，综合分析后合理选择。</w:t>
                  </w:r>
                </w:p>
              </w:tc>
              <w:tc>
                <w:tcPr>
                  <w:tcW w:w="2337" w:type="pct"/>
                  <w:vAlign w:val="center"/>
                </w:tcPr>
                <w:p w14:paraId="07A31085">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FF0000"/>
                      <w:sz w:val="21"/>
                      <w:szCs w:val="21"/>
                      <w:highlight w:val="none"/>
                      <w:lang w:val="en-US"/>
                    </w:rPr>
                  </w:pPr>
                  <w:r>
                    <w:rPr>
                      <w:rFonts w:hint="default" w:ascii="Times New Roman" w:hAnsi="Times New Roman" w:cs="Times New Roman"/>
                      <w:color w:val="auto"/>
                      <w:sz w:val="21"/>
                      <w:szCs w:val="21"/>
                      <w:highlight w:val="none"/>
                    </w:rPr>
                    <w:t>本项目主要</w:t>
                  </w:r>
                  <w:r>
                    <w:rPr>
                      <w:rFonts w:hint="eastAsia" w:cs="Times New Roman"/>
                      <w:color w:val="auto"/>
                      <w:sz w:val="21"/>
                      <w:szCs w:val="21"/>
                      <w:highlight w:val="none"/>
                      <w:lang w:eastAsia="zh-CN"/>
                    </w:rPr>
                    <w:t>从事高端医用设备的生产</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eastAsia="zh-CN"/>
                    </w:rPr>
                    <w:t>本项目拟将发泡机设于密闭发泡间内，产生的</w:t>
                  </w:r>
                  <w:r>
                    <w:rPr>
                      <w:rFonts w:hint="eastAsia" w:cs="Times New Roman"/>
                      <w:color w:val="auto"/>
                      <w:sz w:val="21"/>
                      <w:szCs w:val="21"/>
                      <w:highlight w:val="none"/>
                      <w:lang w:val="en-US" w:eastAsia="zh-CN"/>
                    </w:rPr>
                    <w:t>发泡废气经风管收集后经TA001</w:t>
                  </w:r>
                  <w:r>
                    <w:rPr>
                      <w:rFonts w:hint="eastAsia" w:ascii="Times New Roman" w:hAnsi="Times New Roman" w:eastAsia="宋体" w:cs="Times New Roman"/>
                      <w:color w:val="auto"/>
                      <w:kern w:val="0"/>
                      <w:sz w:val="21"/>
                      <w:szCs w:val="21"/>
                      <w:highlight w:val="none"/>
                      <w:lang w:val="en-US" w:eastAsia="zh-CN"/>
                    </w:rPr>
                    <w:t>废气收集及处理系统（两级活性炭）</w:t>
                  </w:r>
                  <w:r>
                    <w:rPr>
                      <w:rFonts w:hint="eastAsia" w:cs="Times New Roman"/>
                      <w:color w:val="auto"/>
                      <w:sz w:val="21"/>
                      <w:szCs w:val="21"/>
                      <w:highlight w:val="none"/>
                      <w:lang w:val="en-US" w:eastAsia="zh-CN"/>
                    </w:rPr>
                    <w:t>处理后通过40米高排气筒（DA001）高空排放</w:t>
                  </w:r>
                  <w:r>
                    <w:rPr>
                      <w:rFonts w:hint="eastAsia" w:cs="Times New Roman"/>
                      <w:color w:val="auto"/>
                      <w:sz w:val="21"/>
                      <w:szCs w:val="21"/>
                      <w:highlight w:val="none"/>
                      <w:lang w:eastAsia="zh-CN"/>
                    </w:rPr>
                    <w:t>，净化处理效率不低于</w:t>
                  </w:r>
                  <w:r>
                    <w:rPr>
                      <w:rFonts w:hint="eastAsia" w:cs="Times New Roman"/>
                      <w:color w:val="auto"/>
                      <w:sz w:val="21"/>
                      <w:szCs w:val="21"/>
                      <w:highlight w:val="none"/>
                      <w:lang w:val="en-US" w:eastAsia="zh-CN"/>
                    </w:rPr>
                    <w:t>90%</w:t>
                  </w:r>
                </w:p>
              </w:tc>
            </w:tr>
            <w:tr w14:paraId="51EEF8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7" w:type="pct"/>
                  <w:vAlign w:val="center"/>
                </w:tcPr>
                <w:p w14:paraId="6B456621">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结论</w:t>
                  </w:r>
                </w:p>
              </w:tc>
              <w:tc>
                <w:tcPr>
                  <w:tcW w:w="4282" w:type="pct"/>
                  <w:gridSpan w:val="3"/>
                  <w:vAlign w:val="center"/>
                </w:tcPr>
                <w:p w14:paraId="6FD81C73">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本项目符合《江苏省重点行业挥发性有机物污染控制指南》的相应要求。</w:t>
                  </w:r>
                </w:p>
              </w:tc>
            </w:tr>
          </w:tbl>
          <w:p w14:paraId="101BF703">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b/>
                <w:color w:val="FF0000"/>
                <w:sz w:val="21"/>
                <w:szCs w:val="21"/>
                <w:lang w:val="en-US" w:eastAsia="zh-CN"/>
              </w:rPr>
            </w:pPr>
          </w:p>
          <w:p w14:paraId="05C5A49B">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rPr>
            </w:pPr>
          </w:p>
          <w:p w14:paraId="25355D02">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rPr>
            </w:pPr>
          </w:p>
          <w:p w14:paraId="4A3EA726">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rPr>
            </w:pPr>
          </w:p>
          <w:p w14:paraId="2D5D069B">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rPr>
            </w:pPr>
          </w:p>
          <w:p w14:paraId="500FFDC0">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rPr>
            </w:pPr>
          </w:p>
          <w:p w14:paraId="575592B4">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rPr>
            </w:pPr>
          </w:p>
          <w:p w14:paraId="4B81B0CC">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rPr>
            </w:pPr>
          </w:p>
          <w:p w14:paraId="230648D2">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rPr>
            </w:pPr>
          </w:p>
          <w:p w14:paraId="03C7BC58">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rPr>
            </w:pPr>
          </w:p>
          <w:p w14:paraId="518229D0">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rPr>
            </w:pPr>
          </w:p>
          <w:p w14:paraId="027EFB31">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rPr>
            </w:pPr>
          </w:p>
          <w:p w14:paraId="2253BFE5">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rPr>
            </w:pPr>
          </w:p>
          <w:p w14:paraId="613B7999">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rPr>
            </w:pPr>
          </w:p>
          <w:p w14:paraId="4C24D38B">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highlight w:val="none"/>
              </w:rPr>
            </w:pPr>
          </w:p>
          <w:p w14:paraId="101E4E9D">
            <w:pPr>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rPr>
              <w:t>（</w:t>
            </w:r>
            <w:r>
              <w:rPr>
                <w:rFonts w:hint="eastAsia" w:cs="Times New Roman"/>
                <w:color w:val="auto"/>
                <w:kern w:val="0"/>
                <w:sz w:val="24"/>
                <w:szCs w:val="24"/>
                <w:highlight w:val="none"/>
                <w:lang w:val="en-US" w:eastAsia="zh-CN"/>
              </w:rPr>
              <w:t>3</w:t>
            </w:r>
            <w:r>
              <w:rPr>
                <w:rFonts w:hint="default" w:ascii="Times New Roman" w:hAnsi="Times New Roman" w:cs="Times New Roman"/>
                <w:color w:val="auto"/>
                <w:kern w:val="0"/>
                <w:sz w:val="24"/>
                <w:szCs w:val="24"/>
                <w:highlight w:val="none"/>
              </w:rPr>
              <w:t>）</w:t>
            </w:r>
            <w:r>
              <w:rPr>
                <w:rFonts w:hint="default" w:ascii="Times New Roman" w:hAnsi="Times New Roman" w:cs="Times New Roman"/>
                <w:color w:val="auto"/>
                <w:sz w:val="24"/>
                <w:szCs w:val="24"/>
                <w:highlight w:val="none"/>
              </w:rPr>
              <w:t>与国家、地方</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eastAsia="zh-CN"/>
              </w:rPr>
              <w:t>新污染物治理</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文件的对照分析</w:t>
            </w:r>
          </w:p>
          <w:p w14:paraId="7034DF80">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表1-</w:t>
            </w:r>
            <w:r>
              <w:rPr>
                <w:rFonts w:hint="eastAsia" w:ascii="Times New Roman" w:hAnsi="Times New Roman" w:eastAsia="宋体" w:cs="Times New Roman"/>
                <w:b/>
                <w:color w:val="auto"/>
                <w:sz w:val="24"/>
                <w:szCs w:val="24"/>
                <w:lang w:val="en-US" w:eastAsia="zh-CN"/>
              </w:rPr>
              <w:t>9</w:t>
            </w:r>
            <w:r>
              <w:rPr>
                <w:rFonts w:hint="default" w:ascii="Times New Roman" w:hAnsi="Times New Roman" w:eastAsia="宋体" w:cs="Times New Roman"/>
                <w:b/>
                <w:color w:val="auto"/>
                <w:sz w:val="24"/>
                <w:szCs w:val="24"/>
                <w:lang w:val="en-US" w:eastAsia="zh-CN"/>
              </w:rPr>
              <w:t>与</w:t>
            </w:r>
            <w:r>
              <w:rPr>
                <w:rFonts w:hint="eastAsia" w:ascii="Times New Roman" w:hAnsi="Times New Roman" w:eastAsia="宋体" w:cs="Times New Roman"/>
                <w:b/>
                <w:color w:val="auto"/>
                <w:sz w:val="24"/>
                <w:szCs w:val="24"/>
                <w:lang w:val="en-US" w:eastAsia="zh-CN"/>
              </w:rPr>
              <w:t>“</w:t>
            </w:r>
            <w:r>
              <w:rPr>
                <w:rFonts w:hint="default" w:ascii="Times New Roman" w:hAnsi="Times New Roman" w:eastAsia="宋体" w:cs="Times New Roman"/>
                <w:b/>
                <w:color w:val="auto"/>
                <w:sz w:val="24"/>
                <w:szCs w:val="24"/>
                <w:lang w:val="en-US" w:eastAsia="zh-CN"/>
              </w:rPr>
              <w:t>新污染物治理</w:t>
            </w:r>
            <w:r>
              <w:rPr>
                <w:rFonts w:hint="eastAsia" w:ascii="Times New Roman" w:hAnsi="Times New Roman" w:eastAsia="宋体" w:cs="Times New Roman"/>
                <w:b/>
                <w:color w:val="auto"/>
                <w:sz w:val="24"/>
                <w:szCs w:val="24"/>
                <w:lang w:val="en-US" w:eastAsia="zh-CN"/>
              </w:rPr>
              <w:t>”</w:t>
            </w:r>
            <w:r>
              <w:rPr>
                <w:rFonts w:hint="default" w:ascii="Times New Roman" w:hAnsi="Times New Roman" w:eastAsia="宋体" w:cs="Times New Roman"/>
                <w:b/>
                <w:color w:val="auto"/>
                <w:sz w:val="24"/>
                <w:szCs w:val="24"/>
                <w:lang w:val="en-US" w:eastAsia="zh-CN"/>
              </w:rPr>
              <w:t>文件的相符性分析</w:t>
            </w:r>
          </w:p>
          <w:tbl>
            <w:tblPr>
              <w:tblStyle w:val="36"/>
              <w:tblW w:w="82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0"/>
              <w:gridCol w:w="810"/>
              <w:gridCol w:w="4245"/>
              <w:gridCol w:w="1590"/>
              <w:gridCol w:w="684"/>
            </w:tblGrid>
            <w:tr w14:paraId="68B53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52" w:type="pct"/>
                  <w:vAlign w:val="center"/>
                </w:tcPr>
                <w:p w14:paraId="7673D29E">
                  <w:pPr>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文件名称</w:t>
                  </w:r>
                </w:p>
              </w:tc>
              <w:tc>
                <w:tcPr>
                  <w:tcW w:w="3067" w:type="pct"/>
                  <w:gridSpan w:val="2"/>
                  <w:vAlign w:val="center"/>
                </w:tcPr>
                <w:p w14:paraId="1C7EBC5B">
                  <w:pPr>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文件要求</w:t>
                  </w:r>
                </w:p>
              </w:tc>
              <w:tc>
                <w:tcPr>
                  <w:tcW w:w="964" w:type="pct"/>
                  <w:vAlign w:val="center"/>
                </w:tcPr>
                <w:p w14:paraId="60231BF3">
                  <w:pPr>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本项目情况</w:t>
                  </w:r>
                </w:p>
              </w:tc>
              <w:tc>
                <w:tcPr>
                  <w:tcW w:w="415" w:type="pct"/>
                  <w:vAlign w:val="center"/>
                </w:tcPr>
                <w:p w14:paraId="23B156EA">
                  <w:pPr>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相符性</w:t>
                  </w:r>
                </w:p>
              </w:tc>
            </w:tr>
            <w:tr w14:paraId="6AB10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552" w:type="pct"/>
                  <w:vMerge w:val="restart"/>
                  <w:vAlign w:val="center"/>
                </w:tcPr>
                <w:p w14:paraId="36040C7F">
                  <w:pPr>
                    <w:jc w:val="center"/>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1、《省生态环境厅关于加强重点管控新污染物及优先控制化学品环境管理工作的通知》（苏环办〔2023〕314号））</w:t>
                  </w:r>
                </w:p>
              </w:tc>
              <w:tc>
                <w:tcPr>
                  <w:tcW w:w="491" w:type="pct"/>
                  <w:vAlign w:val="center"/>
                </w:tcPr>
                <w:p w14:paraId="12880655">
                  <w:pPr>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color w:val="auto"/>
                      <w:sz w:val="21"/>
                      <w:szCs w:val="21"/>
                      <w:lang w:val="zh-CN"/>
                    </w:rPr>
                    <w:t>一、落实《重点管控新污染物清单》环境风险管控措施。</w:t>
                  </w:r>
                </w:p>
              </w:tc>
              <w:tc>
                <w:tcPr>
                  <w:tcW w:w="2576" w:type="pct"/>
                  <w:vAlign w:val="center"/>
                </w:tcPr>
                <w:p w14:paraId="6CCEBBDE">
                  <w:pPr>
                    <w:spacing w:beforeLines="0" w:afterLines="0"/>
                    <w:jc w:val="left"/>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color w:val="auto"/>
                      <w:sz w:val="21"/>
                      <w:szCs w:val="21"/>
                      <w:lang w:val="zh-CN"/>
                    </w:rPr>
                    <w:t>按照《重点管控新污染物清单（2023年版）》要求，对列入清单的重点管控新污染物，采取相应的禁止、限制、限排、环境监测、隐患排查、环境风险评估等环境风险管控措施。涉重点管控新污染物的企业依照《环境监管重点单位名录管理办法》纳入环境监管重点单位。针对重点管控新污染物清单中环境风险管控措施的落实情况，会同有关部门每年至少组织开展一次联合执法或联合检查，依法严厉打击已淘汰持久性有机污染物等管控物质的非法生产和加工使用行为。</w:t>
                  </w:r>
                </w:p>
              </w:tc>
              <w:tc>
                <w:tcPr>
                  <w:tcW w:w="964" w:type="pct"/>
                  <w:vMerge w:val="restart"/>
                  <w:vAlign w:val="center"/>
                </w:tcPr>
                <w:p w14:paraId="06C856CC">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eastAsia="zh-CN"/>
                    </w:rPr>
                    <w:t>本项目从事高端医用设备的生产</w:t>
                  </w:r>
                  <w:r>
                    <w:rPr>
                      <w:rFonts w:hint="default" w:ascii="Times New Roman" w:hAnsi="Times New Roman" w:cs="Times New Roman"/>
                      <w:color w:val="auto"/>
                      <w:sz w:val="21"/>
                      <w:szCs w:val="21"/>
                      <w:highlight w:val="none"/>
                      <w:lang w:eastAsia="zh-CN"/>
                    </w:rPr>
                    <w:t>，</w:t>
                  </w:r>
                  <w:r>
                    <w:rPr>
                      <w:rFonts w:hint="eastAsia" w:cs="Times New Roman"/>
                      <w:color w:val="auto"/>
                      <w:sz w:val="21"/>
                      <w:szCs w:val="21"/>
                      <w:highlight w:val="none"/>
                      <w:lang w:eastAsia="zh-CN"/>
                    </w:rPr>
                    <w:t>所用原辅料</w:t>
                  </w:r>
                  <w:r>
                    <w:rPr>
                      <w:rFonts w:hint="default" w:ascii="Times New Roman" w:hAnsi="Times New Roman" w:cs="Times New Roman"/>
                      <w:color w:val="auto"/>
                      <w:sz w:val="21"/>
                      <w:szCs w:val="21"/>
                      <w:highlight w:val="none"/>
                      <w:lang w:eastAsia="zh-CN"/>
                    </w:rPr>
                    <w:t>未列入</w:t>
                  </w:r>
                  <w:r>
                    <w:rPr>
                      <w:rFonts w:hint="default" w:ascii="Times New Roman" w:hAnsi="Times New Roman" w:cs="Times New Roman"/>
                      <w:color w:val="auto"/>
                      <w:sz w:val="21"/>
                      <w:szCs w:val="21"/>
                      <w:lang w:val="zh-CN"/>
                    </w:rPr>
                    <w:t>《重点管控新污染物清单（2023年版）》</w:t>
                  </w:r>
                  <w:r>
                    <w:rPr>
                      <w:rFonts w:hint="eastAsia" w:cs="Times New Roman"/>
                      <w:color w:val="auto"/>
                      <w:sz w:val="21"/>
                      <w:szCs w:val="21"/>
                      <w:lang w:val="zh-CN"/>
                    </w:rPr>
                    <w:t>、《</w:t>
                  </w:r>
                  <w:r>
                    <w:rPr>
                      <w:rFonts w:hint="default" w:ascii="Times New Roman" w:hAnsi="Times New Roman" w:cs="Times New Roman"/>
                      <w:color w:val="auto"/>
                      <w:sz w:val="21"/>
                      <w:szCs w:val="21"/>
                      <w:lang w:val="zh-CN"/>
                    </w:rPr>
                    <w:t>优先控制化学品名录</w:t>
                  </w:r>
                  <w:r>
                    <w:rPr>
                      <w:rFonts w:hint="eastAsia" w:cs="Times New Roman"/>
                      <w:color w:val="auto"/>
                      <w:sz w:val="21"/>
                      <w:szCs w:val="21"/>
                      <w:lang w:val="zh-CN"/>
                    </w:rPr>
                    <w:t>》、</w:t>
                  </w:r>
                  <w:r>
                    <w:rPr>
                      <w:rFonts w:hint="default" w:ascii="Times New Roman" w:hAnsi="Times New Roman" w:cs="Times New Roman"/>
                      <w:color w:val="auto"/>
                      <w:sz w:val="21"/>
                      <w:szCs w:val="21"/>
                      <w:lang w:val="zh-CN"/>
                    </w:rPr>
                    <w:t>《有毒有害水污染物名录》</w:t>
                  </w:r>
                  <w:r>
                    <w:rPr>
                      <w:rFonts w:hint="eastAsia" w:ascii="Times New Roman" w:hAnsi="Times New Roman" w:cs="Times New Roman"/>
                      <w:color w:val="auto"/>
                      <w:sz w:val="21"/>
                      <w:szCs w:val="21"/>
                      <w:lang w:val="zh-CN"/>
                    </w:rPr>
                    <w:t>、</w:t>
                  </w:r>
                  <w:r>
                    <w:rPr>
                      <w:rFonts w:hint="default" w:ascii="Times New Roman" w:hAnsi="Times New Roman" w:cs="Times New Roman"/>
                      <w:color w:val="auto"/>
                      <w:sz w:val="21"/>
                      <w:szCs w:val="21"/>
                      <w:lang w:val="zh-CN"/>
                    </w:rPr>
                    <w:t>《有毒有害大气污染物名录》</w:t>
                  </w:r>
                  <w:r>
                    <w:rPr>
                      <w:rFonts w:hint="eastAsia" w:ascii="Times New Roman" w:hAnsi="Times New Roman" w:cs="Times New Roman"/>
                      <w:color w:val="auto"/>
                      <w:sz w:val="21"/>
                      <w:szCs w:val="21"/>
                      <w:lang w:val="zh-CN"/>
                    </w:rPr>
                    <w:t>等名录中</w:t>
                  </w:r>
                  <w:r>
                    <w:rPr>
                      <w:rFonts w:hint="default" w:ascii="Times New Roman" w:hAnsi="Times New Roman" w:cs="Times New Roman"/>
                      <w:color w:val="auto"/>
                      <w:sz w:val="21"/>
                      <w:szCs w:val="21"/>
                      <w:highlight w:val="none"/>
                      <w:lang w:eastAsia="zh-CN"/>
                    </w:rPr>
                    <w:t>。</w:t>
                  </w:r>
                </w:p>
              </w:tc>
              <w:tc>
                <w:tcPr>
                  <w:tcW w:w="415" w:type="pct"/>
                  <w:vAlign w:val="center"/>
                </w:tcPr>
                <w:p w14:paraId="1DCA96B2">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相符</w:t>
                  </w:r>
                </w:p>
              </w:tc>
            </w:tr>
            <w:tr w14:paraId="405D6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552" w:type="pct"/>
                  <w:vMerge w:val="continue"/>
                  <w:vAlign w:val="center"/>
                </w:tcPr>
                <w:p w14:paraId="1EA28492">
                  <w:pPr>
                    <w:jc w:val="center"/>
                    <w:rPr>
                      <w:rFonts w:hint="default" w:ascii="Times New Roman" w:hAnsi="Times New Roman" w:cs="Times New Roman" w:eastAsiaTheme="minorEastAsia"/>
                      <w:b/>
                      <w:bCs/>
                      <w:color w:val="auto"/>
                      <w:sz w:val="21"/>
                      <w:szCs w:val="21"/>
                      <w:highlight w:val="none"/>
                    </w:rPr>
                  </w:pPr>
                </w:p>
              </w:tc>
              <w:tc>
                <w:tcPr>
                  <w:tcW w:w="491" w:type="pct"/>
                  <w:shd w:val="clear" w:color="auto" w:fill="auto"/>
                  <w:vAlign w:val="center"/>
                </w:tcPr>
                <w:p w14:paraId="60BD1600">
                  <w:pPr>
                    <w:jc w:val="center"/>
                    <w:rPr>
                      <w:rFonts w:hint="default" w:ascii="Times New Roman" w:hAnsi="Times New Roman" w:cs="Times New Roman" w:eastAsiaTheme="minorEastAsia"/>
                      <w:bCs/>
                      <w:color w:val="auto"/>
                      <w:kern w:val="2"/>
                      <w:sz w:val="21"/>
                      <w:szCs w:val="21"/>
                      <w:highlight w:val="none"/>
                      <w:lang w:val="zh-CN" w:eastAsia="zh-CN" w:bidi="ar-SA"/>
                    </w:rPr>
                  </w:pPr>
                  <w:r>
                    <w:rPr>
                      <w:rFonts w:hint="default" w:ascii="Times New Roman" w:hAnsi="Times New Roman" w:cs="Times New Roman"/>
                      <w:color w:val="auto"/>
                      <w:sz w:val="21"/>
                      <w:szCs w:val="21"/>
                      <w:lang w:val="zh-CN"/>
                    </w:rPr>
                    <w:t>二、落实《优先控制化学品名录》环境风险管控措施。</w:t>
                  </w:r>
                </w:p>
              </w:tc>
              <w:tc>
                <w:tcPr>
                  <w:tcW w:w="2576" w:type="pct"/>
                  <w:shd w:val="clear" w:color="auto" w:fill="auto"/>
                  <w:vAlign w:val="center"/>
                </w:tcPr>
                <w:p w14:paraId="5830160D">
                  <w:pPr>
                    <w:spacing w:beforeLines="0" w:afterLines="0"/>
                    <w:jc w:val="left"/>
                    <w:rPr>
                      <w:rFonts w:hint="default" w:ascii="Times New Roman" w:hAnsi="Times New Roman" w:cs="Times New Roman" w:eastAsiaTheme="minorEastAsia"/>
                      <w:bCs/>
                      <w:color w:val="auto"/>
                      <w:kern w:val="2"/>
                      <w:sz w:val="21"/>
                      <w:szCs w:val="21"/>
                      <w:highlight w:val="none"/>
                      <w:lang w:val="zh-CN" w:eastAsia="zh-CN" w:bidi="ar-SA"/>
                    </w:rPr>
                  </w:pPr>
                  <w:r>
                    <w:rPr>
                      <w:rFonts w:hint="default" w:ascii="Times New Roman" w:hAnsi="Times New Roman" w:cs="Times New Roman"/>
                      <w:color w:val="auto"/>
                      <w:sz w:val="21"/>
                      <w:szCs w:val="21"/>
                      <w:lang w:val="zh-CN"/>
                    </w:rPr>
                    <w:t>对列入《优先控制化学品名录》的化学品，针对其产生环境与健康风险的主要环节，依据相关政策法规，结合经济技术可行性，采取纳入排污许可制度管理、实行限制措施（限制使用、鼓励替代）、实施清洁生产审核及信息公开等一种或几种风险管控措施，最大限度降低化学品的生产、使用对人类健康和环境的重大影响。针对《优先控制化学品名录（第一批）》《优先控制化学品名录（第二批）》中化学品环境风险管控措施的落实情况，会同有关部门每年至少组织开展一次跨部门联合检查。</w:t>
                  </w:r>
                </w:p>
              </w:tc>
              <w:tc>
                <w:tcPr>
                  <w:tcW w:w="964" w:type="pct"/>
                  <w:vMerge w:val="continue"/>
                  <w:shd w:val="clear" w:color="auto" w:fill="auto"/>
                  <w:vAlign w:val="center"/>
                </w:tcPr>
                <w:p w14:paraId="27A5D068">
                  <w:pPr>
                    <w:jc w:val="center"/>
                    <w:rPr>
                      <w:rFonts w:hint="default" w:ascii="Times New Roman" w:hAnsi="Times New Roman" w:eastAsia="宋体" w:cs="Times New Roman"/>
                      <w:color w:val="auto"/>
                      <w:kern w:val="2"/>
                      <w:sz w:val="21"/>
                      <w:szCs w:val="21"/>
                      <w:highlight w:val="none"/>
                      <w:lang w:val="en-US" w:eastAsia="zh-CN" w:bidi="ar-SA"/>
                    </w:rPr>
                  </w:pPr>
                </w:p>
              </w:tc>
              <w:tc>
                <w:tcPr>
                  <w:tcW w:w="415" w:type="pct"/>
                  <w:shd w:val="clear" w:color="auto" w:fill="auto"/>
                  <w:vAlign w:val="center"/>
                </w:tcPr>
                <w:p w14:paraId="006683E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相符</w:t>
                  </w:r>
                </w:p>
              </w:tc>
            </w:tr>
            <w:tr w14:paraId="6918B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552" w:type="pct"/>
                  <w:vMerge w:val="continue"/>
                  <w:vAlign w:val="center"/>
                </w:tcPr>
                <w:p w14:paraId="4A7FF6F6">
                  <w:pPr>
                    <w:jc w:val="center"/>
                    <w:rPr>
                      <w:rFonts w:hint="default" w:ascii="Times New Roman" w:hAnsi="Times New Roman" w:cs="Times New Roman" w:eastAsiaTheme="minorEastAsia"/>
                      <w:b/>
                      <w:bCs/>
                      <w:color w:val="auto"/>
                      <w:sz w:val="21"/>
                      <w:szCs w:val="21"/>
                      <w:highlight w:val="none"/>
                    </w:rPr>
                  </w:pPr>
                </w:p>
              </w:tc>
              <w:tc>
                <w:tcPr>
                  <w:tcW w:w="491" w:type="pct"/>
                  <w:vAlign w:val="center"/>
                </w:tcPr>
                <w:p w14:paraId="11BC0ABE">
                  <w:pPr>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三、落实《有毒有害水污染物名录》《有毒有害大气污染物名录》要求。</w:t>
                  </w:r>
                </w:p>
              </w:tc>
              <w:tc>
                <w:tcPr>
                  <w:tcW w:w="2576" w:type="pct"/>
                  <w:vAlign w:val="center"/>
                </w:tcPr>
                <w:p w14:paraId="2BC750A5">
                  <w:pPr>
                    <w:spacing w:beforeLines="0" w:afterLines="0"/>
                    <w:jc w:val="left"/>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建立排放《有毒有害水污染物名录》所列有毒有害水污染物的企业事业单位和其他生产经营者清单。依据《中华人民共和国水污染防治法》，涉及排放名录中所列有毒有害水污染物的企业事业单位和其他生产经营者，要对排污口和周边环境进行监测，评估环境风险，排查环境安全隐患，并公开有毒有害水污染物信息，采取有效措施防范环境风险。依据《中华人民共和国大气污染防治法》，涉及排放名录中所列有毒有害大气污染物的企业事业单位，要按照国家有关规定建设环境风险预警体系，对排放口和周边环境进行定期监测，评估环境风险，排查环境安全隐患，并采取有效措施防范环境风险。每年组织开展企业环境监测情况及企业有毒有害水、大气污染物信息公开情况检查。</w:t>
                  </w:r>
                </w:p>
              </w:tc>
              <w:tc>
                <w:tcPr>
                  <w:tcW w:w="964" w:type="pct"/>
                  <w:vMerge w:val="continue"/>
                  <w:vAlign w:val="center"/>
                </w:tcPr>
                <w:p w14:paraId="05D59428">
                  <w:pPr>
                    <w:jc w:val="center"/>
                    <w:rPr>
                      <w:rFonts w:hint="default" w:ascii="Times New Roman" w:hAnsi="Times New Roman" w:cs="Times New Roman"/>
                      <w:color w:val="auto"/>
                      <w:sz w:val="21"/>
                      <w:szCs w:val="21"/>
                      <w:highlight w:val="none"/>
                    </w:rPr>
                  </w:pPr>
                </w:p>
              </w:tc>
              <w:tc>
                <w:tcPr>
                  <w:tcW w:w="415" w:type="pct"/>
                  <w:shd w:val="clear" w:color="auto" w:fill="auto"/>
                  <w:vAlign w:val="center"/>
                </w:tcPr>
                <w:p w14:paraId="57B563F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相符</w:t>
                  </w:r>
                </w:p>
              </w:tc>
            </w:tr>
            <w:tr w14:paraId="22ACC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552" w:type="pct"/>
                  <w:vMerge w:val="restart"/>
                  <w:vAlign w:val="center"/>
                </w:tcPr>
                <w:p w14:paraId="0E2076DD">
                  <w:pPr>
                    <w:jc w:val="center"/>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2、《关于加强重点行业涉新污染物建设项目环境影响评价工作的意见》（环环评〔2025〕28号）</w:t>
                  </w:r>
                </w:p>
              </w:tc>
              <w:tc>
                <w:tcPr>
                  <w:tcW w:w="491" w:type="pct"/>
                  <w:vAlign w:val="center"/>
                </w:tcPr>
                <w:p w14:paraId="535B8E68">
                  <w:pPr>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一、突出管理重点</w:t>
                  </w:r>
                </w:p>
              </w:tc>
              <w:tc>
                <w:tcPr>
                  <w:tcW w:w="2576" w:type="pct"/>
                  <w:vAlign w:val="center"/>
                </w:tcPr>
                <w:p w14:paraId="5A05DED4">
                  <w:pPr>
                    <w:spacing w:beforeLines="0" w:afterLines="0"/>
                    <w:jc w:val="left"/>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重点关注重点管控新污染物清单、有毒有害污染物名录、优先控制化学品名录以及《关于持久性有机污染物的斯德哥尔摩公约》（简称《斯德哥尔摩公约》）附件中已发布环境质量标准、污染物排放标准、环境监测方法标准或其他具有污染治理技术的污染物。</w:t>
                  </w:r>
                </w:p>
                <w:p w14:paraId="51EEC250">
                  <w:pPr>
                    <w:spacing w:beforeLines="0" w:afterLines="0"/>
                    <w:jc w:val="left"/>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重点关注石化、涂料、纺织印染、橡胶、农药、医药等重点行业建设项目，在建设项目环评工作中做好上述新污染物识别，涉及上述新污染物的，执行本意见要求；不涉及新污染物的，无需开展相关工作。</w:t>
                  </w:r>
                </w:p>
              </w:tc>
              <w:tc>
                <w:tcPr>
                  <w:tcW w:w="964" w:type="pct"/>
                  <w:vAlign w:val="center"/>
                </w:tcPr>
                <w:p w14:paraId="1B697C17">
                  <w:pPr>
                    <w:jc w:val="center"/>
                    <w:rPr>
                      <w:rFonts w:hint="default" w:ascii="Times New Roman" w:hAnsi="Times New Roman" w:cs="Times New Roman"/>
                      <w:color w:val="auto"/>
                      <w:sz w:val="21"/>
                      <w:szCs w:val="21"/>
                      <w:highlight w:val="none"/>
                      <w:lang w:eastAsia="zh-CN"/>
                    </w:rPr>
                  </w:pPr>
                  <w:r>
                    <w:rPr>
                      <w:rFonts w:hint="eastAsia" w:cs="Times New Roman"/>
                      <w:color w:val="auto"/>
                      <w:sz w:val="21"/>
                      <w:szCs w:val="21"/>
                      <w:highlight w:val="none"/>
                      <w:lang w:eastAsia="zh-CN"/>
                    </w:rPr>
                    <w:t>本项目从事高端医用设备的生产</w:t>
                  </w:r>
                  <w:r>
                    <w:rPr>
                      <w:rFonts w:hint="default" w:ascii="Times New Roman" w:hAnsi="Times New Roman" w:cs="Times New Roman"/>
                      <w:color w:val="auto"/>
                      <w:sz w:val="21"/>
                      <w:szCs w:val="21"/>
                      <w:highlight w:val="none"/>
                      <w:lang w:eastAsia="zh-CN"/>
                    </w:rPr>
                    <w:t>，</w:t>
                  </w:r>
                  <w:r>
                    <w:rPr>
                      <w:rFonts w:hint="eastAsia" w:cs="Times New Roman"/>
                      <w:color w:val="auto"/>
                      <w:sz w:val="21"/>
                      <w:szCs w:val="21"/>
                      <w:highlight w:val="none"/>
                      <w:lang w:eastAsia="zh-CN"/>
                    </w:rPr>
                    <w:t>所用原辅料</w:t>
                  </w:r>
                  <w:r>
                    <w:rPr>
                      <w:rFonts w:hint="default" w:ascii="Times New Roman" w:hAnsi="Times New Roman" w:cs="Times New Roman"/>
                      <w:color w:val="auto"/>
                      <w:sz w:val="21"/>
                      <w:szCs w:val="21"/>
                      <w:highlight w:val="none"/>
                      <w:lang w:eastAsia="zh-CN"/>
                    </w:rPr>
                    <w:t>未列入</w:t>
                  </w:r>
                  <w:r>
                    <w:rPr>
                      <w:rFonts w:hint="default" w:ascii="Times New Roman" w:hAnsi="Times New Roman" w:cs="Times New Roman"/>
                      <w:color w:val="auto"/>
                      <w:sz w:val="21"/>
                      <w:szCs w:val="21"/>
                      <w:lang w:val="zh-CN"/>
                    </w:rPr>
                    <w:t>《斯德哥尔摩公约》</w:t>
                  </w:r>
                  <w:r>
                    <w:rPr>
                      <w:rFonts w:hint="eastAsia" w:ascii="Times New Roman" w:hAnsi="Times New Roman" w:cs="Times New Roman"/>
                      <w:color w:val="auto"/>
                      <w:sz w:val="21"/>
                      <w:szCs w:val="21"/>
                      <w:lang w:val="zh-CN"/>
                    </w:rPr>
                    <w:t>、</w:t>
                  </w:r>
                  <w:r>
                    <w:rPr>
                      <w:rFonts w:hint="default" w:ascii="Times New Roman" w:hAnsi="Times New Roman" w:cs="Times New Roman"/>
                      <w:color w:val="auto"/>
                      <w:sz w:val="21"/>
                      <w:szCs w:val="21"/>
                      <w:lang w:val="zh-CN"/>
                    </w:rPr>
                    <w:t>《重点管控新污染物清单（2023年版）》</w:t>
                  </w:r>
                  <w:r>
                    <w:rPr>
                      <w:rFonts w:hint="eastAsia" w:cs="Times New Roman"/>
                      <w:color w:val="auto"/>
                      <w:sz w:val="21"/>
                      <w:szCs w:val="21"/>
                      <w:lang w:val="zh-CN"/>
                    </w:rPr>
                    <w:t>、《</w:t>
                  </w:r>
                  <w:r>
                    <w:rPr>
                      <w:rFonts w:hint="default" w:ascii="Times New Roman" w:hAnsi="Times New Roman" w:cs="Times New Roman"/>
                      <w:color w:val="auto"/>
                      <w:sz w:val="21"/>
                      <w:szCs w:val="21"/>
                      <w:lang w:val="zh-CN"/>
                    </w:rPr>
                    <w:t>优先控制化学品名录</w:t>
                  </w:r>
                  <w:r>
                    <w:rPr>
                      <w:rFonts w:hint="eastAsia" w:cs="Times New Roman"/>
                      <w:color w:val="auto"/>
                      <w:sz w:val="21"/>
                      <w:szCs w:val="21"/>
                      <w:lang w:val="zh-CN"/>
                    </w:rPr>
                    <w:t>》、</w:t>
                  </w:r>
                  <w:r>
                    <w:rPr>
                      <w:rFonts w:hint="default" w:ascii="Times New Roman" w:hAnsi="Times New Roman" w:cs="Times New Roman"/>
                      <w:color w:val="auto"/>
                      <w:sz w:val="21"/>
                      <w:szCs w:val="21"/>
                      <w:lang w:val="zh-CN"/>
                    </w:rPr>
                    <w:t>《有毒有害水污染物名录》</w:t>
                  </w:r>
                  <w:r>
                    <w:rPr>
                      <w:rFonts w:hint="eastAsia" w:ascii="Times New Roman" w:hAnsi="Times New Roman" w:cs="Times New Roman"/>
                      <w:color w:val="auto"/>
                      <w:sz w:val="21"/>
                      <w:szCs w:val="21"/>
                      <w:lang w:val="zh-CN"/>
                    </w:rPr>
                    <w:t>、</w:t>
                  </w:r>
                  <w:r>
                    <w:rPr>
                      <w:rFonts w:hint="default" w:ascii="Times New Roman" w:hAnsi="Times New Roman" w:cs="Times New Roman"/>
                      <w:color w:val="auto"/>
                      <w:sz w:val="21"/>
                      <w:szCs w:val="21"/>
                      <w:lang w:val="zh-CN"/>
                    </w:rPr>
                    <w:t>《有毒有害大气污染物名录》</w:t>
                  </w:r>
                  <w:r>
                    <w:rPr>
                      <w:rFonts w:hint="eastAsia" w:ascii="Times New Roman" w:hAnsi="Times New Roman" w:cs="Times New Roman"/>
                      <w:color w:val="auto"/>
                      <w:sz w:val="21"/>
                      <w:szCs w:val="21"/>
                      <w:lang w:val="zh-CN"/>
                    </w:rPr>
                    <w:t>等名录中</w:t>
                  </w:r>
                  <w:r>
                    <w:rPr>
                      <w:rFonts w:hint="default" w:ascii="Times New Roman" w:hAnsi="Times New Roman" w:cs="Times New Roman"/>
                      <w:color w:val="auto"/>
                      <w:sz w:val="21"/>
                      <w:szCs w:val="21"/>
                      <w:highlight w:val="none"/>
                      <w:lang w:eastAsia="zh-CN"/>
                    </w:rPr>
                    <w:t>。</w:t>
                  </w:r>
                </w:p>
              </w:tc>
              <w:tc>
                <w:tcPr>
                  <w:tcW w:w="415" w:type="pct"/>
                  <w:shd w:val="clear" w:color="auto" w:fill="auto"/>
                  <w:vAlign w:val="center"/>
                </w:tcPr>
                <w:p w14:paraId="1C15BC9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相符</w:t>
                  </w:r>
                </w:p>
              </w:tc>
            </w:tr>
            <w:tr w14:paraId="3FA91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552" w:type="pct"/>
                  <w:vMerge w:val="continue"/>
                  <w:vAlign w:val="center"/>
                </w:tcPr>
                <w:p w14:paraId="6BCD4893">
                  <w:pPr>
                    <w:jc w:val="center"/>
                    <w:rPr>
                      <w:rFonts w:hint="default" w:ascii="Times New Roman" w:hAnsi="Times New Roman" w:cs="Times New Roman"/>
                      <w:color w:val="0000FF"/>
                      <w:sz w:val="21"/>
                      <w:szCs w:val="21"/>
                      <w:highlight w:val="none"/>
                    </w:rPr>
                  </w:pPr>
                </w:p>
              </w:tc>
              <w:tc>
                <w:tcPr>
                  <w:tcW w:w="491" w:type="pct"/>
                  <w:vAlign w:val="center"/>
                </w:tcPr>
                <w:p w14:paraId="77812D1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lang w:val="zh-CN"/>
                    </w:rPr>
                    <w:t>二、禁止审批不符合新污染物管控要求的建设项目</w:t>
                  </w:r>
                </w:p>
              </w:tc>
              <w:tc>
                <w:tcPr>
                  <w:tcW w:w="2576" w:type="pct"/>
                  <w:vAlign w:val="center"/>
                </w:tcPr>
                <w:p w14:paraId="19940987">
                  <w:pPr>
                    <w:spacing w:beforeLines="0" w:afterLine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lang w:val="zh-CN"/>
                    </w:rPr>
                    <w:t>各级环评审批部门在受理和审批建设项目环评文件时，应落实重点管控新污染物清单、产业结构调整指导目录、《斯德哥尔摩公约》、生态环境分区管控方案和项目所在园区规划环评等有关管控要求。对照不予审批环评的项目类别（见附表），严格审核建设项目原辅材料和产品，对于以禁止生产、加工使用的新污染物作为原辅料或产品的建设项目，依法不予审批。</w:t>
                  </w:r>
                </w:p>
              </w:tc>
              <w:tc>
                <w:tcPr>
                  <w:tcW w:w="964" w:type="pct"/>
                  <w:vAlign w:val="center"/>
                </w:tcPr>
                <w:p w14:paraId="154815DE">
                  <w:pPr>
                    <w:numPr>
                      <w:ilvl w:val="0"/>
                      <w:numId w:val="0"/>
                    </w:numPr>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本项目的建设符合国家及地方相关产业政策要求，不属于不予审批环评的项目类别。</w:t>
                  </w:r>
                </w:p>
              </w:tc>
              <w:tc>
                <w:tcPr>
                  <w:tcW w:w="415" w:type="pct"/>
                  <w:vAlign w:val="center"/>
                </w:tcPr>
                <w:p w14:paraId="70552E6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lang w:val="en-US" w:eastAsia="zh-CN"/>
                    </w:rPr>
                    <w:t>不属于“不予审批环评的项目类别”</w:t>
                  </w:r>
                </w:p>
              </w:tc>
            </w:tr>
            <w:tr w14:paraId="3E67A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52" w:type="pct"/>
                  <w:vMerge w:val="continue"/>
                  <w:vAlign w:val="center"/>
                </w:tcPr>
                <w:p w14:paraId="26C212C9">
                  <w:pPr>
                    <w:jc w:val="left"/>
                    <w:rPr>
                      <w:rFonts w:hint="default" w:ascii="Times New Roman" w:hAnsi="Times New Roman" w:cs="Times New Roman"/>
                      <w:b/>
                      <w:color w:val="0000FF"/>
                      <w:sz w:val="21"/>
                      <w:szCs w:val="21"/>
                      <w:highlight w:val="none"/>
                    </w:rPr>
                  </w:pPr>
                </w:p>
              </w:tc>
              <w:tc>
                <w:tcPr>
                  <w:tcW w:w="491" w:type="pct"/>
                  <w:shd w:val="clear" w:color="auto" w:fill="auto"/>
                  <w:vAlign w:val="center"/>
                </w:tcPr>
                <w:p w14:paraId="1E74973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三、加强重点行业涉新污染物建设项目环评</w:t>
                  </w:r>
                </w:p>
              </w:tc>
              <w:tc>
                <w:tcPr>
                  <w:tcW w:w="2576" w:type="pct"/>
                  <w:vAlign w:val="center"/>
                </w:tcPr>
                <w:p w14:paraId="453787DD">
                  <w:pPr>
                    <w:spacing w:beforeLines="0" w:afterLines="0"/>
                    <w:jc w:val="left"/>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建设单位和环评技术单位在开展涉新污染物重点行业建设项目环评工作时，应高度重视新污染物防控，根据新污染物识别结果，结合现行环境影响评价技术导则和建设项目环境影响报告表编制技术指南相关要求，重点做好以下工作。</w:t>
                  </w:r>
                </w:p>
                <w:p w14:paraId="4DBD9C58">
                  <w:pPr>
                    <w:spacing w:beforeLines="0" w:afterLines="0"/>
                    <w:jc w:val="left"/>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一）优化原料、工艺和治理措施，从源头减少新污染物产生。建设项目应尽可能开发、使用低毒低害和无毒无害原料，减少产品中有毒有害物质含量；应采用清洁的生产工艺，提高资源利用率，从源头避免或削减新污染物产生。强化治理措施，已有污染防治技术的新污染物，应采取可行污染防治技术，加大治理力度，减轻新污染物排放对环境的影响。鼓励建设项目开展有毒有害化学物质绿色替代、新污染物减排以及污水污泥、废液废渣中新污染物治理等技术示范。</w:t>
                  </w:r>
                </w:p>
                <w:p w14:paraId="49CAA43A">
                  <w:pPr>
                    <w:spacing w:beforeLines="0" w:afterLines="0"/>
                    <w:jc w:val="left"/>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二）核算新污染物产排污情况。环评文件应给出所有列入重点管控新污染物清单、有毒有害污染物名录和优先控制化学品名录的化学物质生产或使用的数量、品种、用途，涉及化学反应的，分析主副反应中新污染物的迁移转化情况；将涉及的新污染物纳入评价因子；核算各环节新污染物的产生和排放情况。改建、扩建项目还应梳理现有工程新污染物排放情况，鼓励采用靶向及非靶向检测技术对废水、废气及废渣中的新污染物进行筛查。</w:t>
                  </w:r>
                </w:p>
                <w:p w14:paraId="5A75A9E6">
                  <w:pPr>
                    <w:spacing w:beforeLines="0" w:afterLines="0"/>
                    <w:jc w:val="left"/>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三）对已发布污染物排放标准的新污染物严格排放达标要求。新建项目产生并排放已有排放标准新污染物的，应采取措施确保排放达标。涉及新污染物排放的改建、扩建项目，应对现有项目废气、废水排放口新污染物排放情况进行监测，对排放不能达标的，应提出整改措施。对可能涉及新污染物的废母液、精馏残渣、抗生素菌渣、废反应基和废培养基、污泥等固体废物，应根据国家危险废物名录进行判定，未列入名录的固体废物应提出项目运行后按危险废物鉴别标准进行鉴别的要求，属于危险废物的按照危险废物污染环境防治相关要求进行管理。对涉及新污染物的生产、贮存、运输、处置等装置、设备设施及场所，应按相关国家标准提出防腐蚀、防渗漏、防扬散等土壤和地下水污染防治措施。</w:t>
                  </w:r>
                </w:p>
                <w:p w14:paraId="545EAB21">
                  <w:pPr>
                    <w:spacing w:beforeLines="0" w:afterLines="0"/>
                    <w:jc w:val="left"/>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四）对环境质量标准规定的新污染物做好环境质量现状和影响评价。建设项目现状评价因子和预测评价因子筛选应考虑涉及的新污染物，充分利用国家和地方新污染物环境监测试点成果，收集评价范围内和建设项目相关的新污染物环境质量历史监测资料（包括环境空气、周边地表水体及相应底泥/沉积物、土壤和地下水、周边海域海水及沉积物/生物体等），没有相关监测数据的，进行补充监测。对环境质量标准规定的新污染物，根据相关环境质量标准进行现状评价，环境质量标准未规定但已有环境监测方法标准的，应给出监测值。将相应已有环境质量标准的新污染物纳入环境影响预测因子并预测评价其环境影响。</w:t>
                  </w:r>
                </w:p>
                <w:p w14:paraId="5C8823AB">
                  <w:pPr>
                    <w:spacing w:beforeLines="0" w:afterLines="0"/>
                    <w:jc w:val="left"/>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五）强化新污染物排放情况跟踪监测。应在涉及新污染物的建设项目环评文件中，明确提出将相应的新污染物纳入监测计划要求；对既未发布污染物排放标准，也无污染防治技术，但已有环境监测方法标准的新污染物，应加强日常监控和监测，掌握新污染物排放情况。将周边环境的相应新污染物监测纳入环境监测计划，做好跟踪监测。</w:t>
                  </w:r>
                </w:p>
                <w:p w14:paraId="3692F976">
                  <w:pPr>
                    <w:spacing w:beforeLines="0" w:afterLine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lang w:val="zh-CN"/>
                    </w:rPr>
                    <w:t>（六）提出新化学物质环境管理登记要求。对照《中国现有化学物质名录》，原辅材料或产品属于新化学物质的，或将实施新用途环境管理的现有化学物质，用于允许用途以外的其他工业用途的，应在环评文件中提出按相关规定办理新化学物质环境管理登记的要求。</w:t>
                  </w:r>
                </w:p>
              </w:tc>
              <w:tc>
                <w:tcPr>
                  <w:tcW w:w="964" w:type="pct"/>
                  <w:shd w:val="clear" w:color="auto" w:fill="auto"/>
                  <w:vAlign w:val="center"/>
                </w:tcPr>
                <w:p w14:paraId="121AD248">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eastAsia="zh-CN"/>
                    </w:rPr>
                    <w:t>本项目从事高端医用设备的生产</w:t>
                  </w:r>
                  <w:r>
                    <w:rPr>
                      <w:rFonts w:hint="default" w:ascii="Times New Roman" w:hAnsi="Times New Roman" w:cs="Times New Roman"/>
                      <w:color w:val="auto"/>
                      <w:sz w:val="21"/>
                      <w:szCs w:val="21"/>
                      <w:highlight w:val="none"/>
                      <w:lang w:eastAsia="zh-CN"/>
                    </w:rPr>
                    <w:t>，</w:t>
                  </w:r>
                  <w:r>
                    <w:rPr>
                      <w:rFonts w:hint="eastAsia" w:cs="Times New Roman"/>
                      <w:color w:val="auto"/>
                      <w:sz w:val="21"/>
                      <w:szCs w:val="21"/>
                      <w:highlight w:val="none"/>
                      <w:lang w:eastAsia="zh-CN"/>
                    </w:rPr>
                    <w:t>所用原辅料</w:t>
                  </w:r>
                  <w:r>
                    <w:rPr>
                      <w:rFonts w:hint="default" w:ascii="Times New Roman" w:hAnsi="Times New Roman" w:cs="Times New Roman"/>
                      <w:color w:val="auto"/>
                      <w:sz w:val="21"/>
                      <w:szCs w:val="21"/>
                      <w:highlight w:val="none"/>
                      <w:lang w:eastAsia="zh-CN"/>
                    </w:rPr>
                    <w:t>未列入</w:t>
                  </w:r>
                  <w:r>
                    <w:rPr>
                      <w:rFonts w:hint="default" w:ascii="Times New Roman" w:hAnsi="Times New Roman" w:cs="Times New Roman"/>
                      <w:color w:val="auto"/>
                      <w:sz w:val="21"/>
                      <w:szCs w:val="21"/>
                      <w:lang w:val="zh-CN"/>
                    </w:rPr>
                    <w:t>《斯德哥尔摩公约》</w:t>
                  </w:r>
                  <w:r>
                    <w:rPr>
                      <w:rFonts w:hint="eastAsia" w:ascii="Times New Roman" w:hAnsi="Times New Roman" w:cs="Times New Roman"/>
                      <w:color w:val="auto"/>
                      <w:sz w:val="21"/>
                      <w:szCs w:val="21"/>
                      <w:lang w:val="zh-CN"/>
                    </w:rPr>
                    <w:t>、</w:t>
                  </w:r>
                  <w:r>
                    <w:rPr>
                      <w:rFonts w:hint="default" w:ascii="Times New Roman" w:hAnsi="Times New Roman" w:cs="Times New Roman"/>
                      <w:color w:val="auto"/>
                      <w:sz w:val="21"/>
                      <w:szCs w:val="21"/>
                      <w:lang w:val="zh-CN"/>
                    </w:rPr>
                    <w:t>《重点管控新污染物清单（2023年版）》</w:t>
                  </w:r>
                  <w:r>
                    <w:rPr>
                      <w:rFonts w:hint="eastAsia" w:cs="Times New Roman"/>
                      <w:color w:val="auto"/>
                      <w:sz w:val="21"/>
                      <w:szCs w:val="21"/>
                      <w:lang w:val="zh-CN"/>
                    </w:rPr>
                    <w:t>、《</w:t>
                  </w:r>
                  <w:r>
                    <w:rPr>
                      <w:rFonts w:hint="default" w:ascii="Times New Roman" w:hAnsi="Times New Roman" w:cs="Times New Roman"/>
                      <w:color w:val="auto"/>
                      <w:sz w:val="21"/>
                      <w:szCs w:val="21"/>
                      <w:lang w:val="zh-CN"/>
                    </w:rPr>
                    <w:t>优先控制化学品名录</w:t>
                  </w:r>
                  <w:r>
                    <w:rPr>
                      <w:rFonts w:hint="eastAsia" w:cs="Times New Roman"/>
                      <w:color w:val="auto"/>
                      <w:sz w:val="21"/>
                      <w:szCs w:val="21"/>
                      <w:lang w:val="zh-CN"/>
                    </w:rPr>
                    <w:t>》、</w:t>
                  </w:r>
                  <w:r>
                    <w:rPr>
                      <w:rFonts w:hint="default" w:ascii="Times New Roman" w:hAnsi="Times New Roman" w:cs="Times New Roman"/>
                      <w:color w:val="auto"/>
                      <w:sz w:val="21"/>
                      <w:szCs w:val="21"/>
                      <w:lang w:val="zh-CN"/>
                    </w:rPr>
                    <w:t>《有毒有害水污染物名录》</w:t>
                  </w:r>
                  <w:r>
                    <w:rPr>
                      <w:rFonts w:hint="eastAsia" w:ascii="Times New Roman" w:hAnsi="Times New Roman" w:cs="Times New Roman"/>
                      <w:color w:val="auto"/>
                      <w:sz w:val="21"/>
                      <w:szCs w:val="21"/>
                      <w:lang w:val="zh-CN"/>
                    </w:rPr>
                    <w:t>、</w:t>
                  </w:r>
                  <w:r>
                    <w:rPr>
                      <w:rFonts w:hint="default" w:ascii="Times New Roman" w:hAnsi="Times New Roman" w:cs="Times New Roman"/>
                      <w:color w:val="auto"/>
                      <w:sz w:val="21"/>
                      <w:szCs w:val="21"/>
                      <w:lang w:val="zh-CN"/>
                    </w:rPr>
                    <w:t>《有毒有害大气污染物名录》</w:t>
                  </w:r>
                  <w:r>
                    <w:rPr>
                      <w:rFonts w:hint="eastAsia" w:ascii="Times New Roman" w:hAnsi="Times New Roman" w:cs="Times New Roman"/>
                      <w:color w:val="auto"/>
                      <w:sz w:val="21"/>
                      <w:szCs w:val="21"/>
                      <w:lang w:val="zh-CN"/>
                    </w:rPr>
                    <w:t>等名录中</w:t>
                  </w:r>
                  <w:r>
                    <w:rPr>
                      <w:rFonts w:hint="default" w:ascii="Times New Roman" w:hAnsi="Times New Roman" w:cs="Times New Roman"/>
                      <w:color w:val="auto"/>
                      <w:sz w:val="21"/>
                      <w:szCs w:val="21"/>
                      <w:highlight w:val="none"/>
                      <w:lang w:eastAsia="zh-CN"/>
                    </w:rPr>
                    <w:t>。</w:t>
                  </w:r>
                </w:p>
              </w:tc>
              <w:tc>
                <w:tcPr>
                  <w:tcW w:w="415" w:type="pct"/>
                  <w:vAlign w:val="center"/>
                </w:tcPr>
                <w:p w14:paraId="25B76125">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相符</w:t>
                  </w:r>
                </w:p>
              </w:tc>
            </w:tr>
          </w:tbl>
          <w:p w14:paraId="61D2C21E">
            <w:pPr>
              <w:rPr>
                <w:rFonts w:hint="default"/>
                <w:color w:val="FF0000"/>
                <w:lang w:val="en-US" w:eastAsia="zh-CN"/>
              </w:rPr>
            </w:pPr>
          </w:p>
        </w:tc>
      </w:tr>
    </w:tbl>
    <w:p w14:paraId="4C58722E">
      <w:pPr>
        <w:spacing w:line="360" w:lineRule="auto"/>
        <w:ind w:firstLine="482" w:firstLineChars="200"/>
        <w:rPr>
          <w:rFonts w:hint="eastAsia"/>
          <w:b/>
          <w:bCs/>
          <w:color w:val="FF0000"/>
          <w:kern w:val="0"/>
          <w:sz w:val="24"/>
        </w:rPr>
        <w:sectPr>
          <w:pgSz w:w="11906" w:h="16838"/>
          <w:pgMar w:top="1440" w:right="1800" w:bottom="1713"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0F18569">
      <w:pPr>
        <w:pStyle w:val="4"/>
        <w:rPr>
          <w:rFonts w:eastAsiaTheme="minorEastAsia"/>
          <w:color w:val="auto"/>
        </w:rPr>
      </w:pPr>
      <w:bookmarkStart w:id="5" w:name="_Toc28015"/>
      <w:bookmarkStart w:id="6" w:name="_Toc29074"/>
      <w:r>
        <w:rPr>
          <w:rFonts w:eastAsiaTheme="minorEastAsia"/>
          <w:color w:val="auto"/>
        </w:rPr>
        <w:t>二、建设项目</w:t>
      </w:r>
      <w:r>
        <w:rPr>
          <w:rFonts w:hint="eastAsia" w:eastAsiaTheme="minorEastAsia"/>
          <w:color w:val="auto"/>
        </w:rPr>
        <w:t>工程分析</w:t>
      </w:r>
      <w:bookmarkEnd w:id="5"/>
      <w:bookmarkEnd w:id="6"/>
    </w:p>
    <w:tbl>
      <w:tblPr>
        <w:tblStyle w:val="35"/>
        <w:tblW w:w="89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1"/>
        <w:gridCol w:w="8513"/>
      </w:tblGrid>
      <w:tr w14:paraId="72955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15" w:hRule="atLeast"/>
          <w:jc w:val="center"/>
        </w:trPr>
        <w:tc>
          <w:tcPr>
            <w:tcW w:w="451" w:type="dxa"/>
            <w:vAlign w:val="center"/>
          </w:tcPr>
          <w:p w14:paraId="60350B79">
            <w:pPr>
              <w:jc w:val="center"/>
              <w:rPr>
                <w:color w:val="FF0000"/>
              </w:rPr>
            </w:pPr>
            <w:r>
              <w:rPr>
                <w:rFonts w:ascii="Times New Roman" w:hAnsi="Times New Roman"/>
                <w:color w:val="auto"/>
                <w:sz w:val="21"/>
                <w:szCs w:val="21"/>
              </w:rPr>
              <w:t>建设内容</w:t>
            </w:r>
          </w:p>
        </w:tc>
        <w:tc>
          <w:tcPr>
            <w:tcW w:w="8513" w:type="dxa"/>
          </w:tcPr>
          <w:p w14:paraId="35FB158C">
            <w:pPr>
              <w:snapToGrid w:val="0"/>
              <w:spacing w:line="360" w:lineRule="auto"/>
              <w:ind w:left="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1、项目概况</w:t>
            </w:r>
          </w:p>
          <w:p w14:paraId="0F3036BF">
            <w:pPr>
              <w:pStyle w:val="43"/>
              <w:ind w:firstLine="480" w:firstLineChars="200"/>
              <w:jc w:val="both"/>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德采实实验室科技（常州）有限公司</w:t>
            </w:r>
            <w:r>
              <w:rPr>
                <w:rFonts w:hint="default" w:ascii="Times New Roman" w:hAnsi="Times New Roman" w:eastAsia="宋体" w:cs="Times New Roman"/>
                <w:color w:val="auto"/>
                <w:kern w:val="0"/>
                <w:sz w:val="24"/>
                <w:szCs w:val="24"/>
                <w:lang w:val="en-US" w:eastAsia="zh-CN" w:bidi="ar-SA"/>
              </w:rPr>
              <w:t>成立于2025年11月03日，注册地位于常州市新北区赣江路320号1幢1层，公司类型为有限责任公司（外国法人独资）。经营范围包括一般项目：技术服务、技术开发、技术咨询、技术交流、技术转让、技术推广；实验分析仪器制造；实验分析仪器销售；第一类医疗器械生产；专用设备制造（不含许可类专业设备制造）；第一类医疗器械销售；通用设备制造（不含特种设备制造）；制冷、空调设备销售；制冷、空调设备制造；泵及真空设备制造；通用设备修理；专用设备修理；仪器仪表修理；信息技术咨询服务（除依法须经批准的项目外，凭营业执照依法自主开展经营活动）（营业执照见附件3）。</w:t>
            </w:r>
          </w:p>
          <w:p w14:paraId="6613D00B">
            <w:pPr>
              <w:spacing w:line="360" w:lineRule="auto"/>
              <w:ind w:firstLine="480" w:firstLineChars="200"/>
              <w:rPr>
                <w:rFonts w:hint="eastAsia" w:cs="Times New Roman"/>
                <w:color w:val="FF0000"/>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为满足公司发展需要，</w:t>
            </w:r>
            <w:r>
              <w:rPr>
                <w:rFonts w:hint="eastAsia" w:cs="Times New Roman"/>
                <w:color w:val="auto"/>
                <w:kern w:val="0"/>
                <w:sz w:val="24"/>
                <w:szCs w:val="24"/>
                <w:lang w:val="en-US" w:eastAsia="zh-CN" w:bidi="ar-SA"/>
              </w:rPr>
              <w:t>德采实实验室科技（常州）有限公司</w:t>
            </w:r>
            <w:r>
              <w:rPr>
                <w:rFonts w:hint="default" w:ascii="Times New Roman" w:hAnsi="Times New Roman" w:eastAsia="宋体" w:cs="Times New Roman"/>
                <w:color w:val="auto"/>
                <w:kern w:val="0"/>
                <w:sz w:val="24"/>
                <w:szCs w:val="24"/>
                <w:lang w:val="en-US" w:eastAsia="zh-CN" w:bidi="ar-SA"/>
              </w:rPr>
              <w:t>拟投资</w:t>
            </w:r>
            <w:r>
              <w:rPr>
                <w:rFonts w:hint="eastAsia" w:cs="Times New Roman"/>
                <w:color w:val="auto"/>
                <w:kern w:val="0"/>
                <w:sz w:val="24"/>
                <w:szCs w:val="24"/>
                <w:lang w:val="en-US" w:eastAsia="zh-CN" w:bidi="ar-SA"/>
              </w:rPr>
              <w:t>8</w:t>
            </w:r>
            <w:r>
              <w:rPr>
                <w:rFonts w:hint="default" w:ascii="Times New Roman" w:hAnsi="Times New Roman" w:eastAsia="宋体" w:cs="Times New Roman"/>
                <w:color w:val="auto"/>
                <w:kern w:val="0"/>
                <w:sz w:val="24"/>
                <w:szCs w:val="24"/>
                <w:lang w:val="en-US" w:eastAsia="zh-CN" w:bidi="ar-SA"/>
              </w:rPr>
              <w:t>00万元，</w:t>
            </w:r>
            <w:r>
              <w:rPr>
                <w:rFonts w:hint="eastAsia" w:cs="Times New Roman"/>
                <w:color w:val="auto"/>
                <w:kern w:val="0"/>
                <w:sz w:val="24"/>
                <w:szCs w:val="24"/>
                <w:lang w:val="en-US" w:eastAsia="zh-CN" w:bidi="ar-SA"/>
              </w:rPr>
              <w:t>建设“Sigma高端医用设备生产项目”</w:t>
            </w:r>
            <w:r>
              <w:rPr>
                <w:rFonts w:hint="default" w:ascii="Times New Roman" w:hAnsi="Times New Roman" w:eastAsia="宋体" w:cs="Times New Roman"/>
                <w:color w:val="auto"/>
                <w:kern w:val="0"/>
                <w:sz w:val="24"/>
                <w:szCs w:val="24"/>
                <w:lang w:val="en-US" w:eastAsia="zh-CN" w:bidi="ar-SA"/>
              </w:rPr>
              <w:t>，主要建设内容及规模为：</w:t>
            </w:r>
            <w:r>
              <w:rPr>
                <w:rFonts w:hint="eastAsia" w:cs="Times New Roman"/>
                <w:color w:val="auto"/>
                <w:kern w:val="0"/>
                <w:sz w:val="24"/>
                <w:szCs w:val="24"/>
                <w:lang w:val="en-US" w:eastAsia="zh-CN" w:bidi="ar-SA"/>
              </w:rPr>
              <w:t>租用常州上鸿科技服务有限公司现有厂房，建筑面积1088平方米，购置发泡机、焊接设备等主辅设备，建成后形成年产高端医用离心机400台、冻干机60台的生产能力。</w:t>
            </w:r>
          </w:p>
          <w:p w14:paraId="75306F18">
            <w:pPr>
              <w:spacing w:line="360" w:lineRule="auto"/>
              <w:ind w:firstLine="480" w:firstLineChars="200"/>
              <w:rPr>
                <w:rFonts w:hint="default" w:ascii="Times New Roman" w:hAnsi="Times New Roman" w:eastAsia="宋体" w:cs="Times New Roman"/>
                <w:color w:val="auto"/>
                <w:sz w:val="24"/>
                <w:szCs w:val="24"/>
                <w:lang w:val="en-US" w:eastAsia="zh-CN"/>
              </w:rPr>
            </w:pPr>
            <w:r>
              <w:rPr>
                <w:color w:val="auto"/>
                <w:sz w:val="24"/>
                <w:szCs w:val="24"/>
              </w:rPr>
              <w:t>根据《建设项</w:t>
            </w:r>
            <w:r>
              <w:rPr>
                <w:rFonts w:ascii="Times New Roman" w:hAnsi="Times New Roman" w:eastAsia="宋体" w:cs="Times New Roman"/>
                <w:color w:val="auto"/>
                <w:sz w:val="24"/>
                <w:szCs w:val="24"/>
              </w:rPr>
              <w:t>目环境影响评价分类管理名录》（2021年修订），确定本项目环境影响评价类别属于</w:t>
            </w:r>
            <w:r>
              <w:rPr>
                <w:rFonts w:hint="eastAsia" w:cs="Times New Roman"/>
                <w:color w:val="auto"/>
                <w:sz w:val="24"/>
                <w:szCs w:val="24"/>
                <w:lang w:eastAsia="zh-CN"/>
              </w:rPr>
              <w:t>“</w:t>
            </w:r>
            <w:r>
              <w:rPr>
                <w:rFonts w:hint="eastAsia" w:cs="Times New Roman"/>
                <w:color w:val="auto"/>
                <w:sz w:val="24"/>
                <w:szCs w:val="24"/>
                <w:lang w:val="en-US" w:eastAsia="zh-CN"/>
              </w:rPr>
              <w:t>三十一、通用设备制造业34、69其他通用设备制造业349、其他（仅分割、焊接、组装的除外；年用非溶剂型低VOCs含量涂料10吨以下的除外）</w:t>
            </w:r>
            <w:r>
              <w:rPr>
                <w:rFonts w:hint="eastAsia" w:cs="Times New Roman"/>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，需编制环境影响报告表。因此，</w:t>
            </w:r>
            <w:r>
              <w:rPr>
                <w:rFonts w:hint="eastAsia" w:cs="Times New Roman"/>
                <w:color w:val="auto"/>
                <w:kern w:val="0"/>
                <w:sz w:val="24"/>
                <w:szCs w:val="24"/>
                <w:lang w:val="en-US" w:eastAsia="zh-CN" w:bidi="ar-SA"/>
              </w:rPr>
              <w:t>德采实实验室科技（常州）有限公司</w:t>
            </w:r>
            <w:r>
              <w:rPr>
                <w:rFonts w:hint="default" w:ascii="Times New Roman" w:hAnsi="Times New Roman" w:eastAsia="宋体" w:cs="Times New Roman"/>
                <w:color w:val="auto"/>
                <w:sz w:val="24"/>
                <w:szCs w:val="24"/>
                <w:lang w:val="en-US" w:eastAsia="zh-CN"/>
              </w:rPr>
              <w:t>现委托</w:t>
            </w:r>
            <w:r>
              <w:rPr>
                <w:rFonts w:hint="eastAsia" w:ascii="Times New Roman" w:hAnsi="Times New Roman" w:eastAsia="宋体" w:cs="Times New Roman"/>
                <w:color w:val="auto"/>
                <w:sz w:val="24"/>
                <w:szCs w:val="24"/>
                <w:lang w:val="en-US" w:eastAsia="zh-CN"/>
              </w:rPr>
              <w:t>常州华开环境技术服务有限公司</w:t>
            </w:r>
            <w:r>
              <w:rPr>
                <w:rFonts w:hint="default" w:ascii="Times New Roman" w:hAnsi="Times New Roman" w:eastAsia="宋体" w:cs="Times New Roman"/>
                <w:color w:val="auto"/>
                <w:sz w:val="24"/>
                <w:szCs w:val="24"/>
                <w:lang w:val="en-US" w:eastAsia="zh-CN"/>
              </w:rPr>
              <w:t>对</w:t>
            </w:r>
            <w:r>
              <w:rPr>
                <w:rFonts w:hint="eastAsia" w:cs="Times New Roman"/>
                <w:color w:val="auto"/>
                <w:sz w:val="24"/>
                <w:szCs w:val="24"/>
                <w:lang w:val="en-US" w:eastAsia="zh-CN"/>
              </w:rPr>
              <w:t>“Sigma高端医用设备生产项目”</w:t>
            </w:r>
            <w:r>
              <w:rPr>
                <w:rFonts w:hint="default" w:ascii="Times New Roman" w:hAnsi="Times New Roman" w:eastAsia="宋体" w:cs="Times New Roman"/>
                <w:color w:val="auto"/>
                <w:sz w:val="24"/>
                <w:szCs w:val="24"/>
                <w:lang w:val="en-US" w:eastAsia="zh-CN"/>
              </w:rPr>
              <w:t>进行环境影响评价，编制环境影响报告表，提交审批部门审批作为项目管理依据。</w:t>
            </w:r>
          </w:p>
          <w:p w14:paraId="581E3775">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2、主体工程</w:t>
            </w:r>
            <w:r>
              <w:rPr>
                <w:rFonts w:hint="eastAsia" w:cs="Times New Roman"/>
                <w:color w:val="auto"/>
                <w:sz w:val="24"/>
                <w:szCs w:val="24"/>
                <w:lang w:val="en-US" w:eastAsia="zh-CN"/>
              </w:rPr>
              <w:t>及产品方案</w:t>
            </w:r>
          </w:p>
          <w:p w14:paraId="1A111AC0">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w:t>
            </w:r>
            <w:r>
              <w:rPr>
                <w:rFonts w:hint="eastAsia" w:cs="Times New Roman"/>
                <w:color w:val="auto"/>
                <w:sz w:val="24"/>
                <w:szCs w:val="24"/>
                <w:lang w:val="en-US" w:eastAsia="zh-CN"/>
              </w:rPr>
              <w:t>从事</w:t>
            </w:r>
            <w:r>
              <w:rPr>
                <w:rFonts w:hint="eastAsia" w:cs="Times New Roman"/>
                <w:color w:val="auto"/>
                <w:kern w:val="0"/>
                <w:sz w:val="24"/>
                <w:szCs w:val="24"/>
                <w:lang w:val="en-US" w:eastAsia="zh-CN" w:bidi="ar-SA"/>
              </w:rPr>
              <w:t>高端医用离心机、冻干</w:t>
            </w:r>
            <w:r>
              <w:rPr>
                <w:rFonts w:hint="eastAsia" w:ascii="Times New Roman" w:hAnsi="Times New Roman" w:eastAsia="宋体" w:cs="Times New Roman"/>
                <w:color w:val="auto"/>
                <w:kern w:val="0"/>
                <w:sz w:val="24"/>
                <w:szCs w:val="24"/>
                <w:lang w:val="en-US" w:eastAsia="zh-CN" w:bidi="ar-SA"/>
              </w:rPr>
              <w:t>机的生产，主要用于‌医疗、临床检验等研究领域，主</w:t>
            </w:r>
            <w:r>
              <w:rPr>
                <w:rFonts w:hint="eastAsia" w:ascii="Times New Roman" w:hAnsi="Times New Roman" w:eastAsia="宋体" w:cs="Times New Roman"/>
                <w:color w:val="auto"/>
                <w:sz w:val="24"/>
                <w:szCs w:val="24"/>
                <w:lang w:val="en-US" w:eastAsia="zh-CN"/>
              </w:rPr>
              <w:t>体工程见表2-1。</w:t>
            </w:r>
          </w:p>
          <w:p w14:paraId="5F34500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auto"/>
                <w:kern w:val="0"/>
                <w:sz w:val="24"/>
                <w:szCs w:val="28"/>
              </w:rPr>
            </w:pPr>
            <w:r>
              <w:rPr>
                <w:rFonts w:hint="eastAsia" w:ascii="Times New Roman" w:hAnsi="Times New Roman" w:eastAsia="宋体" w:cs="Times New Roman"/>
                <w:b/>
                <w:color w:val="auto"/>
                <w:kern w:val="0"/>
                <w:sz w:val="24"/>
                <w:szCs w:val="28"/>
              </w:rPr>
              <w:t>表2-</w:t>
            </w:r>
            <w:r>
              <w:rPr>
                <w:rFonts w:hint="eastAsia" w:ascii="Times New Roman" w:hAnsi="Times New Roman" w:eastAsia="宋体" w:cs="Times New Roman"/>
                <w:b/>
                <w:color w:val="auto"/>
                <w:kern w:val="0"/>
                <w:sz w:val="24"/>
                <w:szCs w:val="28"/>
                <w:lang w:val="en-US" w:eastAsia="zh-CN"/>
              </w:rPr>
              <w:t>1</w:t>
            </w:r>
            <w:r>
              <w:rPr>
                <w:rFonts w:hint="eastAsia" w:ascii="Times New Roman" w:hAnsi="Times New Roman" w:eastAsia="宋体" w:cs="Times New Roman"/>
                <w:b/>
                <w:color w:val="auto"/>
                <w:kern w:val="0"/>
                <w:sz w:val="24"/>
                <w:szCs w:val="28"/>
              </w:rPr>
              <w:t>主体工程</w:t>
            </w:r>
            <w:r>
              <w:rPr>
                <w:rFonts w:hint="eastAsia" w:ascii="Times New Roman" w:hAnsi="Times New Roman" w:eastAsia="宋体" w:cs="Times New Roman"/>
                <w:b/>
                <w:color w:val="auto"/>
                <w:kern w:val="0"/>
                <w:sz w:val="24"/>
                <w:szCs w:val="28"/>
                <w:lang w:val="en-US" w:eastAsia="zh-CN"/>
              </w:rPr>
              <w:t>及产品方案</w:t>
            </w:r>
            <w:r>
              <w:rPr>
                <w:rFonts w:hint="eastAsia" w:ascii="Times New Roman" w:hAnsi="Times New Roman" w:eastAsia="宋体" w:cs="Times New Roman"/>
                <w:b/>
                <w:color w:val="auto"/>
                <w:kern w:val="0"/>
                <w:sz w:val="24"/>
                <w:szCs w:val="28"/>
              </w:rPr>
              <w:t>表</w:t>
            </w:r>
          </w:p>
          <w:tbl>
            <w:tblPr>
              <w:tblStyle w:val="35"/>
              <w:tblW w:w="84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2690"/>
              <w:gridCol w:w="1984"/>
              <w:gridCol w:w="1969"/>
              <w:gridCol w:w="1774"/>
            </w:tblGrid>
            <w:tr w14:paraId="56916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65" w:hRule="atLeast"/>
                <w:jc w:val="center"/>
              </w:trPr>
              <w:tc>
                <w:tcPr>
                  <w:tcW w:w="2690" w:type="dxa"/>
                  <w:vAlign w:val="center"/>
                </w:tcPr>
                <w:p w14:paraId="0CB2A88F">
                  <w:pPr>
                    <w:jc w:val="center"/>
                    <w:rPr>
                      <w:rFonts w:hint="eastAsia" w:eastAsiaTheme="minorEastAsia"/>
                      <w:b/>
                      <w:color w:val="auto"/>
                      <w:szCs w:val="21"/>
                    </w:rPr>
                  </w:pPr>
                  <w:r>
                    <w:rPr>
                      <w:rFonts w:hint="eastAsia" w:eastAsiaTheme="minorEastAsia"/>
                      <w:b/>
                      <w:color w:val="auto"/>
                      <w:szCs w:val="21"/>
                    </w:rPr>
                    <w:t>主体工程名称</w:t>
                  </w:r>
                </w:p>
                <w:p w14:paraId="2BBE9369">
                  <w:pPr>
                    <w:jc w:val="center"/>
                    <w:rPr>
                      <w:rFonts w:eastAsiaTheme="minorEastAsia"/>
                      <w:b/>
                      <w:color w:val="auto"/>
                      <w:szCs w:val="21"/>
                    </w:rPr>
                  </w:pPr>
                  <w:r>
                    <w:rPr>
                      <w:rFonts w:hint="eastAsia" w:eastAsiaTheme="minorEastAsia"/>
                      <w:b/>
                      <w:color w:val="auto"/>
                      <w:szCs w:val="21"/>
                    </w:rPr>
                    <w:t>（车间、生产装置或生产</w:t>
                  </w:r>
                  <w:r>
                    <w:rPr>
                      <w:rFonts w:hint="eastAsia" w:eastAsiaTheme="minorEastAsia"/>
                      <w:b/>
                      <w:color w:val="auto"/>
                      <w:szCs w:val="21"/>
                      <w:lang w:eastAsia="zh-CN"/>
                    </w:rPr>
                    <w:t>）</w:t>
                  </w:r>
                </w:p>
              </w:tc>
              <w:tc>
                <w:tcPr>
                  <w:tcW w:w="1984" w:type="dxa"/>
                  <w:vAlign w:val="center"/>
                </w:tcPr>
                <w:p w14:paraId="31BFBFF6">
                  <w:pPr>
                    <w:adjustRightInd w:val="0"/>
                    <w:snapToGrid w:val="0"/>
                    <w:jc w:val="center"/>
                    <w:rPr>
                      <w:rFonts w:hint="default" w:eastAsiaTheme="minorEastAsia"/>
                      <w:b/>
                      <w:bCs w:val="0"/>
                      <w:color w:val="auto"/>
                      <w:szCs w:val="21"/>
                      <w:lang w:val="en-US" w:eastAsia="zh-CN"/>
                    </w:rPr>
                  </w:pPr>
                  <w:r>
                    <w:rPr>
                      <w:rFonts w:hint="eastAsia" w:eastAsiaTheme="minorEastAsia"/>
                      <w:b/>
                      <w:color w:val="auto"/>
                      <w:szCs w:val="21"/>
                    </w:rPr>
                    <w:t>产品名称</w:t>
                  </w:r>
                </w:p>
              </w:tc>
              <w:tc>
                <w:tcPr>
                  <w:tcW w:w="1969" w:type="dxa"/>
                  <w:vAlign w:val="center"/>
                </w:tcPr>
                <w:p w14:paraId="5C7BE14F">
                  <w:pPr>
                    <w:adjustRightInd w:val="0"/>
                    <w:snapToGrid w:val="0"/>
                    <w:jc w:val="center"/>
                    <w:rPr>
                      <w:rFonts w:hint="eastAsia" w:eastAsiaTheme="minorEastAsia"/>
                      <w:b/>
                      <w:bCs w:val="0"/>
                      <w:color w:val="auto"/>
                      <w:szCs w:val="21"/>
                      <w:lang w:val="en-US" w:eastAsia="zh-CN"/>
                    </w:rPr>
                  </w:pPr>
                  <w:r>
                    <w:rPr>
                      <w:rFonts w:hint="eastAsia" w:eastAsiaTheme="minorEastAsia"/>
                      <w:b/>
                      <w:bCs w:val="0"/>
                      <w:color w:val="auto"/>
                      <w:szCs w:val="21"/>
                      <w:lang w:val="en-US" w:eastAsia="zh-CN"/>
                    </w:rPr>
                    <w:t>年设计能力（台）</w:t>
                  </w:r>
                </w:p>
              </w:tc>
              <w:tc>
                <w:tcPr>
                  <w:tcW w:w="1774" w:type="dxa"/>
                  <w:vAlign w:val="center"/>
                </w:tcPr>
                <w:p w14:paraId="35AE9046">
                  <w:pPr>
                    <w:jc w:val="center"/>
                    <w:rPr>
                      <w:rFonts w:eastAsiaTheme="minorEastAsia"/>
                      <w:b/>
                      <w:color w:val="auto"/>
                      <w:szCs w:val="21"/>
                    </w:rPr>
                  </w:pPr>
                  <w:r>
                    <w:rPr>
                      <w:rFonts w:hint="eastAsia" w:eastAsiaTheme="minorEastAsia"/>
                      <w:b/>
                      <w:color w:val="auto"/>
                      <w:szCs w:val="21"/>
                    </w:rPr>
                    <w:t>年运行时间（h）</w:t>
                  </w:r>
                </w:p>
              </w:tc>
            </w:tr>
            <w:tr w14:paraId="43FBE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2690" w:type="dxa"/>
                  <w:vMerge w:val="restart"/>
                  <w:shd w:val="clear" w:color="auto" w:fill="auto"/>
                  <w:vAlign w:val="center"/>
                </w:tcPr>
                <w:p w14:paraId="78D7DE0D">
                  <w:pPr>
                    <w:jc w:val="center"/>
                    <w:rPr>
                      <w:rFonts w:hint="eastAsia"/>
                      <w:color w:val="auto"/>
                      <w:sz w:val="21"/>
                      <w:szCs w:val="21"/>
                      <w:lang w:val="en-US" w:eastAsia="zh-CN"/>
                    </w:rPr>
                  </w:pPr>
                  <w:r>
                    <w:rPr>
                      <w:rFonts w:hint="eastAsia"/>
                      <w:color w:val="auto"/>
                      <w:sz w:val="21"/>
                      <w:szCs w:val="21"/>
                      <w:lang w:val="en-US" w:eastAsia="zh-CN"/>
                    </w:rPr>
                    <w:t>生产车间</w:t>
                  </w:r>
                </w:p>
                <w:p w14:paraId="0D9BD620">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租赁</w:t>
                  </w:r>
                  <w:r>
                    <w:rPr>
                      <w:rFonts w:hint="eastAsia" w:ascii="Times New Roman" w:hAnsi="Times New Roman" w:eastAsia="宋体" w:cs="Times New Roman"/>
                      <w:color w:val="auto"/>
                      <w:sz w:val="21"/>
                      <w:szCs w:val="21"/>
                      <w:lang w:val="en-US" w:eastAsia="zh-CN"/>
                    </w:rPr>
                    <w:t>建</w:t>
                  </w:r>
                  <w:r>
                    <w:rPr>
                      <w:rFonts w:hint="eastAsia"/>
                      <w:color w:val="auto"/>
                      <w:sz w:val="21"/>
                      <w:szCs w:val="21"/>
                      <w:lang w:val="en-US" w:eastAsia="zh-CN"/>
                    </w:rPr>
                    <w:t>筑面积1088m</w:t>
                  </w:r>
                  <w:r>
                    <w:rPr>
                      <w:rFonts w:hint="eastAsia"/>
                      <w:color w:val="auto"/>
                      <w:sz w:val="21"/>
                      <w:szCs w:val="21"/>
                      <w:vertAlign w:val="superscript"/>
                      <w:lang w:val="en-US" w:eastAsia="zh-CN"/>
                    </w:rPr>
                    <w:t>2</w:t>
                  </w:r>
                  <w:r>
                    <w:rPr>
                      <w:rFonts w:hint="eastAsia"/>
                      <w:color w:val="auto"/>
                      <w:sz w:val="21"/>
                      <w:szCs w:val="21"/>
                      <w:lang w:val="en-US" w:eastAsia="zh-CN"/>
                    </w:rPr>
                    <w:t>）</w:t>
                  </w:r>
                </w:p>
              </w:tc>
              <w:tc>
                <w:tcPr>
                  <w:tcW w:w="1984" w:type="dxa"/>
                  <w:vAlign w:val="center"/>
                </w:tcPr>
                <w:p w14:paraId="6FF4D4C2">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高端医用离心机</w:t>
                  </w:r>
                </w:p>
              </w:tc>
              <w:tc>
                <w:tcPr>
                  <w:tcW w:w="1969" w:type="dxa"/>
                  <w:shd w:val="clear" w:color="auto" w:fill="auto"/>
                  <w:vAlign w:val="center"/>
                </w:tcPr>
                <w:p w14:paraId="4C0C8859">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400</w:t>
                  </w:r>
                </w:p>
              </w:tc>
              <w:tc>
                <w:tcPr>
                  <w:tcW w:w="1774" w:type="dxa"/>
                  <w:vAlign w:val="center"/>
                </w:tcPr>
                <w:p w14:paraId="4E599BFA">
                  <w:pPr>
                    <w:jc w:val="center"/>
                    <w:rPr>
                      <w:rFonts w:hint="default" w:eastAsiaTheme="minorEastAsia"/>
                      <w:b w:val="0"/>
                      <w:bCs w:val="0"/>
                      <w:color w:val="auto"/>
                      <w:sz w:val="21"/>
                      <w:szCs w:val="21"/>
                      <w:lang w:val="en-US" w:eastAsia="zh-CN"/>
                    </w:rPr>
                  </w:pPr>
                  <w:r>
                    <w:rPr>
                      <w:rFonts w:hint="eastAsia" w:eastAsiaTheme="minorEastAsia"/>
                      <w:b w:val="0"/>
                      <w:bCs w:val="0"/>
                      <w:color w:val="auto"/>
                      <w:sz w:val="21"/>
                      <w:szCs w:val="21"/>
                      <w:lang w:val="en-US" w:eastAsia="zh-CN"/>
                    </w:rPr>
                    <w:t>2400</w:t>
                  </w:r>
                </w:p>
              </w:tc>
            </w:tr>
            <w:tr w14:paraId="2B5D6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2690" w:type="dxa"/>
                  <w:vMerge w:val="continue"/>
                  <w:shd w:val="clear" w:color="auto" w:fill="auto"/>
                  <w:vAlign w:val="center"/>
                </w:tcPr>
                <w:p w14:paraId="6EB75AF3">
                  <w:pPr>
                    <w:jc w:val="center"/>
                    <w:rPr>
                      <w:rFonts w:hint="eastAsia" w:ascii="Times New Roman" w:hAnsi="Times New Roman" w:eastAsia="宋体" w:cs="Times New Roman"/>
                      <w:color w:val="FF0000"/>
                      <w:sz w:val="21"/>
                      <w:szCs w:val="21"/>
                      <w:lang w:val="en-US" w:eastAsia="zh-CN"/>
                    </w:rPr>
                  </w:pPr>
                </w:p>
              </w:tc>
              <w:tc>
                <w:tcPr>
                  <w:tcW w:w="1984" w:type="dxa"/>
                  <w:vAlign w:val="center"/>
                </w:tcPr>
                <w:p w14:paraId="5BD4D344">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高端医用冻干机</w:t>
                  </w:r>
                </w:p>
              </w:tc>
              <w:tc>
                <w:tcPr>
                  <w:tcW w:w="1969" w:type="dxa"/>
                  <w:shd w:val="clear" w:color="auto" w:fill="auto"/>
                  <w:vAlign w:val="center"/>
                </w:tcPr>
                <w:p w14:paraId="22C946EA">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1774" w:type="dxa"/>
                  <w:vAlign w:val="center"/>
                </w:tcPr>
                <w:p w14:paraId="4D0374A6">
                  <w:pPr>
                    <w:jc w:val="center"/>
                    <w:rPr>
                      <w:rFonts w:hint="eastAsia" w:eastAsiaTheme="minorEastAsia"/>
                      <w:b w:val="0"/>
                      <w:bCs w:val="0"/>
                      <w:color w:val="auto"/>
                      <w:sz w:val="21"/>
                      <w:szCs w:val="21"/>
                      <w:lang w:val="en-US" w:eastAsia="zh-CN"/>
                    </w:rPr>
                  </w:pPr>
                  <w:r>
                    <w:rPr>
                      <w:rFonts w:hint="eastAsia" w:eastAsiaTheme="minorEastAsia"/>
                      <w:b w:val="0"/>
                      <w:bCs w:val="0"/>
                      <w:color w:val="auto"/>
                      <w:sz w:val="21"/>
                      <w:szCs w:val="21"/>
                      <w:lang w:val="en-US" w:eastAsia="zh-CN"/>
                    </w:rPr>
                    <w:t>2400</w:t>
                  </w:r>
                </w:p>
              </w:tc>
            </w:tr>
          </w:tbl>
          <w:p w14:paraId="4CD2869B">
            <w:pPr>
              <w:adjustRightInd w:val="0"/>
              <w:snapToGrid w:val="0"/>
              <w:spacing w:line="360" w:lineRule="auto"/>
              <w:ind w:firstLine="200" w:firstLineChars="200"/>
              <w:jc w:val="left"/>
              <w:rPr>
                <w:color w:val="FF0000"/>
                <w:sz w:val="10"/>
                <w:szCs w:val="10"/>
              </w:rPr>
            </w:pPr>
          </w:p>
          <w:p w14:paraId="55FDFCD4">
            <w:pPr>
              <w:keepNext w:val="0"/>
              <w:keepLines w:val="0"/>
              <w:pageBreakBefore w:val="0"/>
              <w:widowControl w:val="0"/>
              <w:kinsoku/>
              <w:wordWrap/>
              <w:overflowPunct/>
              <w:topLinePunct w:val="0"/>
              <w:autoSpaceDE/>
              <w:autoSpaceDN/>
              <w:bidi w:val="0"/>
              <w:spacing w:line="360" w:lineRule="auto"/>
              <w:ind w:left="0" w:firstLine="480" w:firstLineChars="200"/>
              <w:jc w:val="both"/>
              <w:textAlignment w:val="auto"/>
              <w:rPr>
                <w:rFonts w:hint="eastAsia" w:eastAsiaTheme="minorEastAsia"/>
                <w:color w:val="FF0000"/>
                <w:sz w:val="24"/>
                <w:szCs w:val="24"/>
                <w:lang w:val="en-US" w:eastAsia="zh-CN"/>
              </w:rPr>
            </w:pPr>
          </w:p>
          <w:p w14:paraId="3FB63398">
            <w:pPr>
              <w:keepNext w:val="0"/>
              <w:keepLines w:val="0"/>
              <w:pageBreakBefore w:val="0"/>
              <w:widowControl w:val="0"/>
              <w:kinsoku/>
              <w:wordWrap/>
              <w:overflowPunct/>
              <w:topLinePunct w:val="0"/>
              <w:autoSpaceDE/>
              <w:autoSpaceDN/>
              <w:bidi w:val="0"/>
              <w:spacing w:line="360" w:lineRule="auto"/>
              <w:ind w:left="0" w:firstLine="480" w:firstLineChars="200"/>
              <w:jc w:val="both"/>
              <w:textAlignment w:val="auto"/>
              <w:rPr>
                <w:rFonts w:eastAsiaTheme="minorEastAsia"/>
                <w:color w:val="auto"/>
                <w:sz w:val="24"/>
                <w:szCs w:val="24"/>
              </w:rPr>
            </w:pPr>
            <w:r>
              <w:rPr>
                <w:rFonts w:hint="eastAsia" w:eastAsiaTheme="minorEastAsia"/>
                <w:color w:val="auto"/>
                <w:sz w:val="24"/>
                <w:szCs w:val="24"/>
                <w:lang w:val="en-US" w:eastAsia="zh-CN"/>
              </w:rPr>
              <w:t>3</w:t>
            </w:r>
            <w:r>
              <w:rPr>
                <w:rFonts w:hint="eastAsia" w:eastAsiaTheme="minorEastAsia"/>
                <w:color w:val="auto"/>
                <w:sz w:val="24"/>
                <w:szCs w:val="24"/>
              </w:rPr>
              <w:t>、</w:t>
            </w:r>
            <w:r>
              <w:rPr>
                <w:rFonts w:eastAsiaTheme="minorEastAsia"/>
                <w:color w:val="auto"/>
                <w:sz w:val="24"/>
                <w:szCs w:val="24"/>
              </w:rPr>
              <w:t>公用及辅助工程</w:t>
            </w:r>
          </w:p>
          <w:p w14:paraId="161433A9">
            <w:pPr>
              <w:keepNext w:val="0"/>
              <w:keepLines w:val="0"/>
              <w:pageBreakBefore w:val="0"/>
              <w:widowControl w:val="0"/>
              <w:numPr>
                <w:ilvl w:val="1"/>
                <w:numId w:val="0"/>
              </w:numPr>
              <w:tabs>
                <w:tab w:val="left" w:pos="1134"/>
              </w:tabs>
              <w:kinsoku/>
              <w:wordWrap/>
              <w:overflowPunct/>
              <w:topLinePunct w:val="0"/>
              <w:autoSpaceDE/>
              <w:autoSpaceDN/>
              <w:bidi w:val="0"/>
              <w:adjustRightInd w:val="0"/>
              <w:snapToGrid w:val="0"/>
              <w:spacing w:line="360" w:lineRule="auto"/>
              <w:ind w:left="0" w:leftChars="0" w:firstLine="480" w:firstLineChars="200"/>
              <w:jc w:val="both"/>
              <w:textAlignment w:val="auto"/>
              <w:rPr>
                <w:rFonts w:eastAsiaTheme="minorEastAsia"/>
                <w:color w:val="auto"/>
                <w:sz w:val="24"/>
                <w:szCs w:val="24"/>
              </w:rPr>
            </w:pPr>
            <w:r>
              <w:rPr>
                <w:rFonts w:hint="eastAsia" w:ascii="Times New Roman" w:hAnsi="Times New Roman" w:cs="Times New Roman" w:eastAsiaTheme="minorEastAsia"/>
                <w:color w:val="auto"/>
                <w:kern w:val="2"/>
                <w:sz w:val="24"/>
                <w:szCs w:val="24"/>
                <w:lang w:val="en-US" w:eastAsia="zh-CN" w:bidi="ar-SA"/>
              </w:rPr>
              <w:t>（1）</w:t>
            </w:r>
            <w:r>
              <w:rPr>
                <w:rFonts w:eastAsiaTheme="minorEastAsia"/>
                <w:color w:val="auto"/>
                <w:sz w:val="24"/>
                <w:szCs w:val="24"/>
              </w:rPr>
              <w:t>给水</w:t>
            </w:r>
          </w:p>
          <w:p w14:paraId="4533313F">
            <w:pPr>
              <w:snapToGrid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本项目自来水用量</w:t>
            </w:r>
            <w:r>
              <w:rPr>
                <w:rFonts w:hint="eastAsia" w:ascii="Times New Roman" w:hAnsi="Times New Roman" w:cs="Times New Roman" w:eastAsiaTheme="minorEastAsia"/>
                <w:color w:val="auto"/>
                <w:sz w:val="24"/>
                <w:szCs w:val="24"/>
                <w:lang w:val="en-US" w:eastAsia="zh-CN"/>
              </w:rPr>
              <w:t>为</w:t>
            </w:r>
            <w:r>
              <w:rPr>
                <w:rFonts w:hint="eastAsia" w:cs="Times New Roman" w:eastAsiaTheme="minorEastAsia"/>
                <w:color w:val="auto"/>
                <w:sz w:val="24"/>
                <w:szCs w:val="24"/>
                <w:lang w:val="en-US" w:eastAsia="zh-CN"/>
              </w:rPr>
              <w:t>720</w:t>
            </w:r>
            <w:r>
              <w:rPr>
                <w:rFonts w:hint="default" w:ascii="Times New Roman" w:hAnsi="Times New Roman" w:cs="Times New Roman" w:eastAsiaTheme="minorEastAsia"/>
                <w:color w:val="auto"/>
                <w:sz w:val="24"/>
                <w:szCs w:val="24"/>
              </w:rPr>
              <w:t>m³/a，</w:t>
            </w:r>
            <w:r>
              <w:rPr>
                <w:rFonts w:hint="eastAsia" w:cs="Times New Roman" w:eastAsiaTheme="minorEastAsia"/>
                <w:color w:val="auto"/>
                <w:sz w:val="24"/>
                <w:szCs w:val="24"/>
                <w:lang w:val="en-US" w:eastAsia="zh-CN"/>
              </w:rPr>
              <w:t>均为员工生活用水</w:t>
            </w:r>
            <w:r>
              <w:rPr>
                <w:rFonts w:hint="eastAsia" w:cs="Times New Roman" w:eastAsiaTheme="minorEastAsia"/>
                <w:color w:val="auto"/>
                <w:sz w:val="24"/>
                <w:szCs w:val="24"/>
                <w:lang w:eastAsia="zh-CN"/>
              </w:rPr>
              <w:t>，</w:t>
            </w:r>
            <w:r>
              <w:rPr>
                <w:rFonts w:hint="eastAsia" w:cs="Times New Roman" w:eastAsiaTheme="minorEastAsia"/>
                <w:color w:val="auto"/>
                <w:sz w:val="24"/>
                <w:szCs w:val="24"/>
                <w:lang w:val="en-US" w:eastAsia="zh-CN"/>
              </w:rPr>
              <w:t>均</w:t>
            </w:r>
            <w:r>
              <w:rPr>
                <w:rFonts w:hint="default" w:ascii="Times New Roman" w:hAnsi="Times New Roman" w:cs="Times New Roman" w:eastAsiaTheme="minorEastAsia"/>
                <w:color w:val="auto"/>
                <w:sz w:val="24"/>
                <w:szCs w:val="24"/>
              </w:rPr>
              <w:t>来自当地市政自来水管网，可满足需要。</w:t>
            </w:r>
          </w:p>
          <w:p w14:paraId="47628DB4">
            <w:pPr>
              <w:keepNext w:val="0"/>
              <w:keepLines w:val="0"/>
              <w:pageBreakBefore w:val="0"/>
              <w:widowControl w:val="0"/>
              <w:numPr>
                <w:ilvl w:val="1"/>
                <w:numId w:val="0"/>
              </w:numPr>
              <w:tabs>
                <w:tab w:val="left" w:pos="1134"/>
              </w:tabs>
              <w:kinsoku/>
              <w:wordWrap/>
              <w:overflowPunct/>
              <w:topLinePunct w:val="0"/>
              <w:autoSpaceDE/>
              <w:autoSpaceDN/>
              <w:bidi w:val="0"/>
              <w:adjustRightInd w:val="0"/>
              <w:snapToGrid w:val="0"/>
              <w:spacing w:line="360" w:lineRule="auto"/>
              <w:ind w:left="0" w:leftChars="0" w:firstLine="480" w:firstLineChars="200"/>
              <w:jc w:val="both"/>
              <w:textAlignment w:val="auto"/>
              <w:rPr>
                <w:rFonts w:eastAsiaTheme="minorEastAsia"/>
                <w:color w:val="auto"/>
                <w:sz w:val="24"/>
                <w:szCs w:val="24"/>
              </w:rPr>
            </w:pPr>
            <w:r>
              <w:rPr>
                <w:rFonts w:hint="eastAsia" w:ascii="Times New Roman" w:hAnsi="Times New Roman" w:cs="Times New Roman" w:eastAsiaTheme="minorEastAsia"/>
                <w:color w:val="auto"/>
                <w:kern w:val="2"/>
                <w:sz w:val="24"/>
                <w:szCs w:val="24"/>
                <w:lang w:val="en-US" w:eastAsia="zh-CN" w:bidi="ar-SA"/>
              </w:rPr>
              <w:t>（2）</w:t>
            </w:r>
            <w:r>
              <w:rPr>
                <w:rFonts w:eastAsiaTheme="minorEastAsia"/>
                <w:color w:val="auto"/>
                <w:sz w:val="24"/>
                <w:szCs w:val="24"/>
              </w:rPr>
              <w:t>排水</w:t>
            </w:r>
          </w:p>
          <w:p w14:paraId="6F0AC870">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eastAsiaTheme="minorEastAsia"/>
                <w:color w:val="auto"/>
                <w:sz w:val="24"/>
                <w:szCs w:val="24"/>
              </w:rPr>
            </w:pPr>
            <w:r>
              <w:rPr>
                <w:rFonts w:hint="eastAsia" w:eastAsiaTheme="minorEastAsia"/>
                <w:color w:val="auto"/>
                <w:sz w:val="24"/>
                <w:szCs w:val="24"/>
                <w:lang w:val="en-US" w:eastAsia="zh-CN"/>
              </w:rPr>
              <w:t>园区</w:t>
            </w:r>
            <w:r>
              <w:rPr>
                <w:rFonts w:eastAsiaTheme="minorEastAsia"/>
                <w:color w:val="auto"/>
                <w:sz w:val="24"/>
                <w:szCs w:val="24"/>
              </w:rPr>
              <w:t>排水实施</w:t>
            </w:r>
            <w:r>
              <w:rPr>
                <w:rFonts w:hint="eastAsia" w:eastAsiaTheme="minorEastAsia"/>
                <w:color w:val="auto"/>
                <w:sz w:val="24"/>
                <w:szCs w:val="24"/>
                <w:lang w:eastAsia="zh-CN"/>
              </w:rPr>
              <w:t>“</w:t>
            </w:r>
            <w:r>
              <w:rPr>
                <w:rFonts w:eastAsiaTheme="minorEastAsia"/>
                <w:color w:val="auto"/>
                <w:sz w:val="24"/>
                <w:szCs w:val="24"/>
              </w:rPr>
              <w:t>雨污分流</w:t>
            </w:r>
            <w:r>
              <w:rPr>
                <w:rFonts w:hint="eastAsia" w:eastAsiaTheme="minorEastAsia"/>
                <w:color w:val="auto"/>
                <w:sz w:val="24"/>
                <w:szCs w:val="24"/>
                <w:lang w:eastAsia="zh-CN"/>
              </w:rPr>
              <w:t>”</w:t>
            </w:r>
            <w:r>
              <w:rPr>
                <w:rFonts w:eastAsiaTheme="minorEastAsia"/>
                <w:color w:val="auto"/>
                <w:sz w:val="24"/>
                <w:szCs w:val="24"/>
              </w:rPr>
              <w:t>，雨水依托</w:t>
            </w:r>
            <w:r>
              <w:rPr>
                <w:rFonts w:hint="eastAsia" w:eastAsiaTheme="minorEastAsia"/>
                <w:color w:val="auto"/>
                <w:sz w:val="24"/>
                <w:szCs w:val="24"/>
                <w:lang w:val="en-US" w:eastAsia="zh-CN"/>
              </w:rPr>
              <w:t>园区</w:t>
            </w:r>
            <w:r>
              <w:rPr>
                <w:rFonts w:eastAsiaTheme="minorEastAsia"/>
                <w:color w:val="auto"/>
                <w:sz w:val="24"/>
                <w:szCs w:val="24"/>
              </w:rPr>
              <w:t>现有雨水管网收集后排入市政雨水管网，就近排入地表水体。</w:t>
            </w:r>
          </w:p>
          <w:p w14:paraId="092619E3">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eastAsiaTheme="minorEastAsia"/>
                <w:color w:val="auto"/>
                <w:sz w:val="24"/>
                <w:szCs w:val="24"/>
              </w:rPr>
            </w:pPr>
            <w:r>
              <w:rPr>
                <w:rFonts w:hint="eastAsia" w:ascii="Times New Roman" w:hAnsi="Times New Roman" w:cs="Times New Roman" w:eastAsiaTheme="minorEastAsia"/>
                <w:color w:val="auto"/>
                <w:sz w:val="24"/>
                <w:szCs w:val="24"/>
                <w:lang w:val="en-US" w:eastAsia="zh-CN"/>
              </w:rPr>
              <w:t>本项目</w:t>
            </w:r>
            <w:r>
              <w:rPr>
                <w:rFonts w:hint="eastAsia" w:cs="Times New Roman" w:eastAsiaTheme="minorEastAsia"/>
                <w:color w:val="auto"/>
                <w:sz w:val="24"/>
                <w:szCs w:val="24"/>
                <w:lang w:val="en-US" w:eastAsia="zh-CN"/>
              </w:rPr>
              <w:t>无生产废水产生及排放，</w:t>
            </w:r>
            <w:r>
              <w:rPr>
                <w:bCs/>
                <w:color w:val="auto"/>
                <w:sz w:val="24"/>
              </w:rPr>
              <w:t>生活污水</w:t>
            </w:r>
            <w:r>
              <w:rPr>
                <w:rFonts w:hint="eastAsia"/>
                <w:bCs/>
                <w:color w:val="auto"/>
                <w:sz w:val="24"/>
                <w:lang w:val="en-US" w:eastAsia="zh-CN"/>
              </w:rPr>
              <w:t>经</w:t>
            </w:r>
            <w:r>
              <w:rPr>
                <w:rFonts w:hint="eastAsia"/>
                <w:color w:val="auto"/>
                <w:sz w:val="24"/>
                <w:lang w:val="en-US" w:eastAsia="zh-CN"/>
              </w:rPr>
              <w:t>园区</w:t>
            </w:r>
            <w:r>
              <w:rPr>
                <w:color w:val="auto"/>
                <w:sz w:val="24"/>
              </w:rPr>
              <w:t>化粪池预处理达接管要求后</w:t>
            </w:r>
            <w:r>
              <w:rPr>
                <w:rFonts w:hint="eastAsia"/>
                <w:color w:val="auto"/>
                <w:sz w:val="24"/>
                <w:szCs w:val="24"/>
              </w:rPr>
              <w:t>，</w:t>
            </w:r>
            <w:r>
              <w:rPr>
                <w:color w:val="auto"/>
                <w:sz w:val="24"/>
                <w:szCs w:val="24"/>
              </w:rPr>
              <w:t>接管排放至</w:t>
            </w:r>
            <w:r>
              <w:rPr>
                <w:rFonts w:hint="eastAsia" w:cs="Times New Roman"/>
                <w:color w:val="auto"/>
                <w:sz w:val="24"/>
                <w:szCs w:val="24"/>
                <w:lang w:val="en-US" w:eastAsia="zh-CN"/>
              </w:rPr>
              <w:t>常州市江边污水处理厂</w:t>
            </w:r>
            <w:r>
              <w:rPr>
                <w:rFonts w:hint="default" w:ascii="Times New Roman" w:hAnsi="Times New Roman" w:eastAsia="宋体" w:cs="Times New Roman"/>
                <w:color w:val="auto"/>
                <w:sz w:val="24"/>
                <w:szCs w:val="24"/>
                <w:lang w:eastAsia="zh-CN"/>
              </w:rPr>
              <w:t>集中处理，尾水最终排入</w:t>
            </w:r>
            <w:r>
              <w:rPr>
                <w:rFonts w:hint="eastAsia" w:cs="Times New Roman"/>
                <w:color w:val="auto"/>
                <w:sz w:val="24"/>
                <w:szCs w:val="24"/>
                <w:lang w:eastAsia="zh-CN"/>
              </w:rPr>
              <w:t>长江</w:t>
            </w:r>
            <w:r>
              <w:rPr>
                <w:color w:val="auto"/>
                <w:sz w:val="24"/>
              </w:rPr>
              <w:t>。</w:t>
            </w:r>
          </w:p>
          <w:p w14:paraId="38EFC3B2">
            <w:pPr>
              <w:keepNext w:val="0"/>
              <w:keepLines w:val="0"/>
              <w:pageBreakBefore w:val="0"/>
              <w:widowControl w:val="0"/>
              <w:numPr>
                <w:ilvl w:val="1"/>
                <w:numId w:val="0"/>
              </w:numPr>
              <w:tabs>
                <w:tab w:val="left" w:pos="1134"/>
              </w:tabs>
              <w:kinsoku/>
              <w:wordWrap/>
              <w:overflowPunct/>
              <w:topLinePunct w:val="0"/>
              <w:autoSpaceDE/>
              <w:autoSpaceDN/>
              <w:bidi w:val="0"/>
              <w:adjustRightInd w:val="0"/>
              <w:snapToGrid w:val="0"/>
              <w:spacing w:line="360" w:lineRule="auto"/>
              <w:ind w:left="0" w:leftChars="0" w:firstLine="480" w:firstLineChars="200"/>
              <w:jc w:val="both"/>
              <w:textAlignment w:val="auto"/>
              <w:rPr>
                <w:rFonts w:eastAsiaTheme="minorEastAsia"/>
                <w:color w:val="auto"/>
                <w:sz w:val="24"/>
                <w:szCs w:val="24"/>
              </w:rPr>
            </w:pPr>
            <w:r>
              <w:rPr>
                <w:rFonts w:hint="eastAsia" w:ascii="Times New Roman" w:hAnsi="Times New Roman" w:cs="Times New Roman" w:eastAsiaTheme="minorEastAsia"/>
                <w:color w:val="auto"/>
                <w:kern w:val="2"/>
                <w:sz w:val="24"/>
                <w:szCs w:val="24"/>
                <w:lang w:val="en-US" w:eastAsia="zh-CN" w:bidi="ar-SA"/>
              </w:rPr>
              <w:t>（</w:t>
            </w:r>
            <w:r>
              <w:rPr>
                <w:rFonts w:hint="eastAsia" w:cs="Times New Roman" w:eastAsiaTheme="minorEastAsia"/>
                <w:color w:val="auto"/>
                <w:kern w:val="2"/>
                <w:sz w:val="24"/>
                <w:szCs w:val="24"/>
                <w:lang w:val="en-US" w:eastAsia="zh-CN" w:bidi="ar-SA"/>
              </w:rPr>
              <w:t>3</w:t>
            </w:r>
            <w:r>
              <w:rPr>
                <w:rFonts w:hint="eastAsia" w:ascii="Times New Roman" w:hAnsi="Times New Roman" w:cs="Times New Roman" w:eastAsiaTheme="minorEastAsia"/>
                <w:color w:val="auto"/>
                <w:kern w:val="2"/>
                <w:sz w:val="24"/>
                <w:szCs w:val="24"/>
                <w:lang w:val="en-US" w:eastAsia="zh-CN" w:bidi="ar-SA"/>
              </w:rPr>
              <w:t>）</w:t>
            </w:r>
            <w:r>
              <w:rPr>
                <w:rFonts w:eastAsiaTheme="minorEastAsia"/>
                <w:color w:val="auto"/>
                <w:sz w:val="24"/>
                <w:szCs w:val="24"/>
              </w:rPr>
              <w:t>供电</w:t>
            </w:r>
          </w:p>
          <w:p w14:paraId="396033BC">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Times New Roman" w:hAnsi="Times New Roman" w:eastAsia="宋体" w:cs="Times New Roman"/>
                <w:color w:val="auto"/>
                <w:kern w:val="0"/>
                <w:sz w:val="24"/>
                <w:lang w:eastAsia="zh-CN"/>
              </w:rPr>
            </w:pPr>
            <w:r>
              <w:rPr>
                <w:rFonts w:hint="eastAsia" w:cs="Times New Roman"/>
                <w:color w:val="auto"/>
                <w:kern w:val="0"/>
                <w:sz w:val="24"/>
                <w:lang w:val="en-US" w:eastAsia="zh-CN"/>
              </w:rPr>
              <w:t>本</w:t>
            </w:r>
            <w:r>
              <w:rPr>
                <w:rFonts w:hint="eastAsia" w:ascii="Times New Roman" w:hAnsi="Times New Roman" w:eastAsia="宋体" w:cs="Times New Roman"/>
                <w:color w:val="auto"/>
                <w:kern w:val="0"/>
                <w:sz w:val="24"/>
                <w:lang w:eastAsia="zh-CN"/>
              </w:rPr>
              <w:t>项目用电量约</w:t>
            </w:r>
            <w:r>
              <w:rPr>
                <w:rFonts w:hint="eastAsia" w:cs="Times New Roman"/>
                <w:color w:val="auto"/>
                <w:kern w:val="0"/>
                <w:sz w:val="24"/>
                <w:lang w:val="en-US" w:eastAsia="zh-CN"/>
              </w:rPr>
              <w:t>20</w:t>
            </w:r>
            <w:r>
              <w:rPr>
                <w:rFonts w:hint="eastAsia" w:ascii="Times New Roman" w:hAnsi="Times New Roman" w:eastAsia="宋体" w:cs="Times New Roman"/>
                <w:color w:val="auto"/>
                <w:kern w:val="0"/>
                <w:sz w:val="24"/>
                <w:lang w:eastAsia="zh-CN"/>
              </w:rPr>
              <w:t>万度/年，由当地市政电网提供，可满足需要。</w:t>
            </w:r>
          </w:p>
          <w:p w14:paraId="3D41C050">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color w:val="auto"/>
                <w:kern w:val="0"/>
                <w:sz w:val="24"/>
                <w:lang w:eastAsia="zh-CN"/>
              </w:rPr>
              <w:t>（</w:t>
            </w:r>
            <w:r>
              <w:rPr>
                <w:rFonts w:hint="eastAsia" w:cs="Times New Roman"/>
                <w:color w:val="auto"/>
                <w:kern w:val="0"/>
                <w:sz w:val="24"/>
                <w:lang w:val="en-US" w:eastAsia="zh-CN"/>
              </w:rPr>
              <w:t>4</w:t>
            </w:r>
            <w:r>
              <w:rPr>
                <w:rFonts w:hint="eastAsia" w:ascii="Times New Roman" w:hAnsi="Times New Roman" w:eastAsia="宋体" w:cs="Times New Roman"/>
                <w:color w:val="auto"/>
                <w:kern w:val="0"/>
                <w:sz w:val="24"/>
                <w:lang w:eastAsia="zh-CN"/>
              </w:rPr>
              <w:t>）绿化</w:t>
            </w:r>
          </w:p>
          <w:p w14:paraId="28EA88EF">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color w:val="auto"/>
                <w:kern w:val="0"/>
                <w:sz w:val="24"/>
                <w:lang w:eastAsia="zh-CN"/>
              </w:rPr>
              <w:t>本项目依托</w:t>
            </w:r>
            <w:r>
              <w:rPr>
                <w:rFonts w:hint="eastAsia" w:cs="Times New Roman"/>
                <w:color w:val="auto"/>
                <w:kern w:val="0"/>
                <w:sz w:val="24"/>
                <w:lang w:val="en-US" w:eastAsia="zh-CN"/>
              </w:rPr>
              <w:t>园区</w:t>
            </w:r>
            <w:r>
              <w:rPr>
                <w:rFonts w:hint="eastAsia" w:ascii="Times New Roman" w:hAnsi="Times New Roman" w:eastAsia="宋体" w:cs="Times New Roman"/>
                <w:color w:val="auto"/>
                <w:kern w:val="0"/>
                <w:sz w:val="24"/>
                <w:lang w:eastAsia="zh-CN"/>
              </w:rPr>
              <w:t>现有绿化，绿化覆盖率可达</w:t>
            </w:r>
            <w:r>
              <w:rPr>
                <w:rFonts w:hint="eastAsia" w:cs="Times New Roman"/>
                <w:color w:val="auto"/>
                <w:kern w:val="0"/>
                <w:sz w:val="24"/>
                <w:lang w:val="en-US" w:eastAsia="zh-CN"/>
              </w:rPr>
              <w:t>10</w:t>
            </w:r>
            <w:r>
              <w:rPr>
                <w:rFonts w:hint="eastAsia" w:ascii="Times New Roman" w:hAnsi="Times New Roman" w:eastAsia="宋体" w:cs="Times New Roman"/>
                <w:color w:val="auto"/>
                <w:kern w:val="0"/>
                <w:sz w:val="24"/>
                <w:lang w:eastAsia="zh-CN"/>
              </w:rPr>
              <w:t>%以上。</w:t>
            </w:r>
          </w:p>
          <w:p w14:paraId="23CCA89B">
            <w:pPr>
              <w:snapToGrid w:val="0"/>
              <w:spacing w:line="360" w:lineRule="auto"/>
              <w:ind w:firstLine="480" w:firstLineChars="200"/>
              <w:rPr>
                <w:rFonts w:hint="eastAsia" w:eastAsia="宋体"/>
                <w:color w:val="auto"/>
                <w:kern w:val="0"/>
                <w:sz w:val="24"/>
                <w:lang w:eastAsia="zh-CN"/>
              </w:rPr>
            </w:pPr>
            <w:r>
              <w:rPr>
                <w:rFonts w:hint="eastAsia" w:eastAsia="宋体"/>
                <w:color w:val="auto"/>
                <w:kern w:val="0"/>
                <w:sz w:val="24"/>
                <w:lang w:eastAsia="zh-CN"/>
              </w:rPr>
              <w:t>（</w:t>
            </w:r>
            <w:r>
              <w:rPr>
                <w:rFonts w:hint="eastAsia" w:eastAsia="宋体"/>
                <w:color w:val="auto"/>
                <w:kern w:val="0"/>
                <w:sz w:val="24"/>
                <w:lang w:val="en-US" w:eastAsia="zh-CN"/>
              </w:rPr>
              <w:t>5</w:t>
            </w:r>
            <w:r>
              <w:rPr>
                <w:rFonts w:hint="eastAsia" w:eastAsia="宋体"/>
                <w:color w:val="auto"/>
                <w:kern w:val="0"/>
                <w:sz w:val="24"/>
                <w:lang w:eastAsia="zh-CN"/>
              </w:rPr>
              <w:t>）压缩空气</w:t>
            </w:r>
          </w:p>
          <w:p w14:paraId="52D37213">
            <w:pPr>
              <w:snapToGrid w:val="0"/>
              <w:spacing w:line="360" w:lineRule="auto"/>
              <w:ind w:firstLine="480" w:firstLineChars="200"/>
              <w:rPr>
                <w:rFonts w:hint="default" w:eastAsia="宋体"/>
                <w:color w:val="auto"/>
                <w:kern w:val="0"/>
                <w:sz w:val="24"/>
                <w:lang w:eastAsia="zh-CN"/>
              </w:rPr>
            </w:pPr>
            <w:r>
              <w:rPr>
                <w:rFonts w:hint="eastAsia" w:eastAsia="宋体"/>
                <w:color w:val="auto"/>
                <w:kern w:val="0"/>
                <w:sz w:val="24"/>
                <w:lang w:eastAsia="zh-CN"/>
              </w:rPr>
              <w:t>本项目</w:t>
            </w:r>
            <w:r>
              <w:rPr>
                <w:rFonts w:hint="eastAsia" w:eastAsia="宋体"/>
                <w:color w:val="auto"/>
                <w:kern w:val="0"/>
                <w:sz w:val="24"/>
                <w:lang w:val="en-US" w:eastAsia="zh-CN"/>
              </w:rPr>
              <w:t>设置</w:t>
            </w:r>
            <w:r>
              <w:rPr>
                <w:rFonts w:hint="eastAsia"/>
                <w:color w:val="auto"/>
                <w:kern w:val="0"/>
                <w:sz w:val="24"/>
                <w:lang w:val="en-US" w:eastAsia="zh-CN"/>
              </w:rPr>
              <w:t>1</w:t>
            </w:r>
            <w:r>
              <w:rPr>
                <w:rFonts w:hint="eastAsia" w:eastAsia="宋体"/>
                <w:color w:val="auto"/>
                <w:kern w:val="0"/>
                <w:sz w:val="24"/>
                <w:lang w:eastAsia="zh-CN"/>
              </w:rPr>
              <w:t>台空压机，用于制备压缩空气，制备能力为</w:t>
            </w:r>
            <w:r>
              <w:rPr>
                <w:rFonts w:hint="eastAsia" w:eastAsia="宋体"/>
                <w:color w:val="auto"/>
                <w:kern w:val="0"/>
                <w:sz w:val="24"/>
                <w:lang w:val="en-US" w:eastAsia="zh-CN"/>
              </w:rPr>
              <w:t>0.9m</w:t>
            </w:r>
            <w:r>
              <w:rPr>
                <w:rFonts w:hint="eastAsia" w:eastAsia="宋体"/>
                <w:color w:val="auto"/>
                <w:kern w:val="0"/>
                <w:sz w:val="24"/>
                <w:vertAlign w:val="superscript"/>
                <w:lang w:val="en-US" w:eastAsia="zh-CN"/>
              </w:rPr>
              <w:t>3</w:t>
            </w:r>
            <w:r>
              <w:rPr>
                <w:rFonts w:hint="eastAsia" w:eastAsia="宋体"/>
                <w:color w:val="auto"/>
                <w:kern w:val="0"/>
                <w:sz w:val="24"/>
                <w:lang w:val="en-US" w:eastAsia="zh-CN"/>
              </w:rPr>
              <w:t>/min</w:t>
            </w:r>
            <w:r>
              <w:rPr>
                <w:rFonts w:hint="eastAsia" w:eastAsia="宋体"/>
                <w:color w:val="auto"/>
                <w:kern w:val="0"/>
                <w:sz w:val="24"/>
                <w:lang w:eastAsia="zh-CN"/>
              </w:rPr>
              <w:t>，并配备</w:t>
            </w:r>
            <w:r>
              <w:rPr>
                <w:rFonts w:hint="eastAsia"/>
                <w:color w:val="auto"/>
                <w:kern w:val="0"/>
                <w:sz w:val="24"/>
                <w:lang w:val="en-US" w:eastAsia="zh-CN"/>
              </w:rPr>
              <w:t>1</w:t>
            </w:r>
            <w:r>
              <w:rPr>
                <w:rFonts w:hint="eastAsia" w:eastAsia="宋体"/>
                <w:color w:val="auto"/>
                <w:kern w:val="0"/>
                <w:sz w:val="24"/>
                <w:lang w:val="en-US" w:eastAsia="zh-CN"/>
              </w:rPr>
              <w:t>个</w:t>
            </w:r>
            <w:r>
              <w:rPr>
                <w:rFonts w:hint="eastAsia" w:eastAsia="宋体"/>
                <w:color w:val="auto"/>
                <w:kern w:val="0"/>
                <w:sz w:val="24"/>
                <w:lang w:eastAsia="zh-CN"/>
              </w:rPr>
              <w:t>储气罐，容量为</w:t>
            </w:r>
            <w:r>
              <w:rPr>
                <w:rFonts w:hint="eastAsia" w:eastAsia="宋体"/>
                <w:color w:val="auto"/>
                <w:kern w:val="0"/>
                <w:sz w:val="24"/>
                <w:lang w:val="en-US" w:eastAsia="zh-CN"/>
              </w:rPr>
              <w:t>1m</w:t>
            </w:r>
            <w:r>
              <w:rPr>
                <w:rFonts w:hint="eastAsia" w:eastAsia="宋体"/>
                <w:color w:val="auto"/>
                <w:kern w:val="0"/>
                <w:sz w:val="24"/>
                <w:vertAlign w:val="superscript"/>
                <w:lang w:val="en-US" w:eastAsia="zh-CN"/>
              </w:rPr>
              <w:t>3</w:t>
            </w:r>
            <w:r>
              <w:rPr>
                <w:rFonts w:hint="eastAsia" w:eastAsia="宋体"/>
                <w:color w:val="auto"/>
                <w:kern w:val="0"/>
                <w:sz w:val="24"/>
                <w:lang w:eastAsia="zh-CN"/>
              </w:rPr>
              <w:t>，为</w:t>
            </w:r>
            <w:r>
              <w:rPr>
                <w:rFonts w:hint="eastAsia"/>
                <w:color w:val="auto"/>
                <w:kern w:val="0"/>
                <w:sz w:val="24"/>
                <w:lang w:val="en-US" w:eastAsia="zh-CN"/>
              </w:rPr>
              <w:t>生产设备</w:t>
            </w:r>
            <w:r>
              <w:rPr>
                <w:rFonts w:hint="eastAsia" w:eastAsia="宋体"/>
                <w:color w:val="auto"/>
                <w:kern w:val="0"/>
                <w:sz w:val="24"/>
                <w:lang w:eastAsia="zh-CN"/>
              </w:rPr>
              <w:t>提供空气动力</w:t>
            </w:r>
            <w:r>
              <w:rPr>
                <w:rFonts w:hint="default" w:ascii="Times New Roman" w:hAnsi="Times New Roman" w:cs="Times New Roman" w:eastAsiaTheme="minorEastAsia"/>
                <w:color w:val="auto"/>
                <w:sz w:val="24"/>
                <w:szCs w:val="24"/>
              </w:rPr>
              <w:t>，可满足要求。</w:t>
            </w:r>
          </w:p>
          <w:p w14:paraId="100EC8E3">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w:t>
            </w:r>
            <w:r>
              <w:rPr>
                <w:rFonts w:hint="eastAsia" w:cs="Times New Roman"/>
                <w:color w:val="auto"/>
                <w:kern w:val="0"/>
                <w:sz w:val="24"/>
                <w:lang w:val="en-US" w:eastAsia="zh-CN"/>
              </w:rPr>
              <w:t>6</w:t>
            </w:r>
            <w:r>
              <w:rPr>
                <w:rFonts w:hint="eastAsia" w:ascii="Times New Roman" w:hAnsi="Times New Roman" w:eastAsia="宋体" w:cs="Times New Roman"/>
                <w:color w:val="auto"/>
                <w:kern w:val="0"/>
                <w:sz w:val="24"/>
                <w:lang w:val="en-US" w:eastAsia="zh-CN"/>
              </w:rPr>
              <w:t>）特种气体</w:t>
            </w:r>
          </w:p>
          <w:p w14:paraId="41F5F4BF">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Times New Roman" w:hAnsi="Times New Roman" w:eastAsia="宋体" w:cs="Times New Roman"/>
                <w:color w:val="auto"/>
                <w:kern w:val="0"/>
                <w:sz w:val="24"/>
                <w:lang w:val="en-US" w:eastAsia="zh-CN"/>
              </w:rPr>
            </w:pPr>
            <w:r>
              <w:rPr>
                <w:rFonts w:hint="eastAsia" w:cs="Times New Roman"/>
                <w:color w:val="auto"/>
                <w:kern w:val="0"/>
                <w:sz w:val="24"/>
                <w:lang w:val="en-US" w:eastAsia="zh-CN"/>
              </w:rPr>
              <w:t>本项目焊接工段需使用丙烷、氧气，特种气体</w:t>
            </w:r>
            <w:r>
              <w:rPr>
                <w:rFonts w:hint="default" w:ascii="Times New Roman" w:hAnsi="Times New Roman" w:eastAsia="宋体" w:cs="Times New Roman"/>
                <w:color w:val="auto"/>
                <w:kern w:val="0"/>
                <w:sz w:val="24"/>
                <w:lang w:val="en-US" w:eastAsia="zh-CN"/>
              </w:rPr>
              <w:t>采用钢瓶装，</w:t>
            </w:r>
            <w:r>
              <w:rPr>
                <w:rFonts w:hint="eastAsia" w:cs="Times New Roman"/>
                <w:color w:val="auto"/>
                <w:kern w:val="0"/>
                <w:sz w:val="24"/>
                <w:lang w:val="en-US" w:eastAsia="zh-CN"/>
              </w:rPr>
              <w:t>丙烷钢瓶规格为72升/瓶，氧气钢瓶</w:t>
            </w:r>
            <w:r>
              <w:rPr>
                <w:rFonts w:hint="default" w:ascii="Times New Roman" w:hAnsi="Times New Roman" w:eastAsia="宋体" w:cs="Times New Roman"/>
                <w:color w:val="auto"/>
                <w:kern w:val="0"/>
                <w:sz w:val="24"/>
                <w:lang w:val="en-US" w:eastAsia="zh-CN"/>
              </w:rPr>
              <w:t>规格为</w:t>
            </w:r>
            <w:r>
              <w:rPr>
                <w:rFonts w:hint="eastAsia" w:cs="Times New Roman"/>
                <w:color w:val="auto"/>
                <w:kern w:val="0"/>
                <w:sz w:val="24"/>
                <w:lang w:val="en-US" w:eastAsia="zh-CN"/>
              </w:rPr>
              <w:t>4</w:t>
            </w:r>
            <w:r>
              <w:rPr>
                <w:rFonts w:hint="eastAsia" w:ascii="Times New Roman" w:hAnsi="Times New Roman" w:eastAsia="宋体" w:cs="Times New Roman"/>
                <w:color w:val="auto"/>
                <w:kern w:val="0"/>
                <w:sz w:val="24"/>
                <w:lang w:val="en-US" w:eastAsia="zh-CN"/>
              </w:rPr>
              <w:t>0升</w:t>
            </w:r>
            <w:r>
              <w:rPr>
                <w:rFonts w:hint="default" w:ascii="Times New Roman" w:hAnsi="Times New Roman" w:eastAsia="宋体" w:cs="Times New Roman"/>
                <w:color w:val="auto"/>
                <w:kern w:val="0"/>
                <w:sz w:val="24"/>
                <w:lang w:val="en-US" w:eastAsia="zh-CN"/>
              </w:rPr>
              <w:t>/瓶。特种气体按照国家有关规定进行管理和使用，每次使用完毕后由供气厂方负责到厂内补充、置换。</w:t>
            </w:r>
          </w:p>
          <w:p w14:paraId="2894DE5A">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color w:val="auto"/>
                <w:kern w:val="0"/>
                <w:sz w:val="24"/>
                <w:lang w:val="en-US" w:eastAsia="zh-CN"/>
              </w:rPr>
              <w:t>4</w:t>
            </w:r>
            <w:r>
              <w:rPr>
                <w:rFonts w:hint="eastAsia" w:ascii="Times New Roman" w:hAnsi="Times New Roman" w:eastAsia="宋体" w:cs="Times New Roman"/>
                <w:color w:val="auto"/>
                <w:kern w:val="0"/>
                <w:sz w:val="24"/>
                <w:lang w:eastAsia="zh-CN"/>
              </w:rPr>
              <w:t>、环保工程</w:t>
            </w:r>
          </w:p>
          <w:p w14:paraId="5D580D7E">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（1）废水</w:t>
            </w:r>
          </w:p>
          <w:p w14:paraId="212A2805">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ascii="Times New Roman" w:hAnsi="Times New Roman" w:cs="Times New Roman"/>
                <w:bCs/>
                <w:color w:val="auto"/>
                <w:sz w:val="24"/>
              </w:rPr>
            </w:pPr>
            <w:r>
              <w:rPr>
                <w:rFonts w:hint="eastAsia" w:ascii="Times New Roman" w:hAnsi="Times New Roman" w:cs="Times New Roman" w:eastAsiaTheme="minorEastAsia"/>
                <w:color w:val="auto"/>
                <w:sz w:val="24"/>
                <w:szCs w:val="24"/>
                <w:lang w:val="en-US" w:eastAsia="zh-CN"/>
              </w:rPr>
              <w:t>本项</w:t>
            </w:r>
            <w:r>
              <w:rPr>
                <w:rFonts w:hint="eastAsia" w:ascii="Times New Roman" w:hAnsi="Times New Roman" w:cs="Times New Roman"/>
                <w:bCs/>
                <w:color w:val="auto"/>
                <w:sz w:val="24"/>
                <w:lang w:val="en-US" w:eastAsia="zh-CN"/>
              </w:rPr>
              <w:t>目</w:t>
            </w:r>
            <w:r>
              <w:rPr>
                <w:rFonts w:ascii="Times New Roman" w:hAnsi="Times New Roman" w:cs="Times New Roman"/>
                <w:bCs/>
                <w:color w:val="auto"/>
                <w:sz w:val="24"/>
              </w:rPr>
              <w:t>生活污水</w:t>
            </w:r>
            <w:r>
              <w:rPr>
                <w:rFonts w:hint="eastAsia" w:ascii="Times New Roman" w:hAnsi="Times New Roman" w:cs="Times New Roman"/>
                <w:bCs/>
                <w:color w:val="auto"/>
                <w:sz w:val="24"/>
                <w:lang w:val="en-US" w:eastAsia="zh-CN"/>
              </w:rPr>
              <w:t>经园区</w:t>
            </w:r>
            <w:r>
              <w:rPr>
                <w:rFonts w:ascii="Times New Roman" w:hAnsi="Times New Roman" w:cs="Times New Roman"/>
                <w:bCs/>
                <w:color w:val="auto"/>
                <w:sz w:val="24"/>
              </w:rPr>
              <w:t>化粪池预处理达接管要求后</w:t>
            </w:r>
            <w:r>
              <w:rPr>
                <w:rFonts w:hint="eastAsia" w:ascii="Times New Roman" w:hAnsi="Times New Roman" w:cs="Times New Roman"/>
                <w:bCs/>
                <w:color w:val="auto"/>
                <w:sz w:val="24"/>
              </w:rPr>
              <w:t>，</w:t>
            </w:r>
            <w:r>
              <w:rPr>
                <w:rFonts w:ascii="Times New Roman" w:hAnsi="Times New Roman" w:cs="Times New Roman"/>
                <w:bCs/>
                <w:color w:val="auto"/>
                <w:sz w:val="24"/>
              </w:rPr>
              <w:t>接管排放至</w:t>
            </w:r>
            <w:r>
              <w:rPr>
                <w:rFonts w:hint="eastAsia" w:ascii="Times New Roman" w:hAnsi="Times New Roman" w:cs="Times New Roman"/>
                <w:bCs/>
                <w:color w:val="auto"/>
                <w:sz w:val="24"/>
                <w:lang w:val="en-US" w:eastAsia="zh-CN"/>
              </w:rPr>
              <w:t>常州市江边污水处理厂</w:t>
            </w:r>
            <w:r>
              <w:rPr>
                <w:rFonts w:hint="default" w:ascii="Times New Roman" w:hAnsi="Times New Roman" w:cs="Times New Roman"/>
                <w:bCs/>
                <w:color w:val="auto"/>
                <w:sz w:val="24"/>
                <w:lang w:eastAsia="zh-CN"/>
              </w:rPr>
              <w:t>集中处理，尾水最终排入</w:t>
            </w:r>
            <w:r>
              <w:rPr>
                <w:rFonts w:hint="eastAsia" w:ascii="Times New Roman" w:hAnsi="Times New Roman" w:cs="Times New Roman"/>
                <w:bCs/>
                <w:color w:val="auto"/>
                <w:sz w:val="24"/>
                <w:lang w:eastAsia="zh-CN"/>
              </w:rPr>
              <w:t>长江</w:t>
            </w:r>
            <w:r>
              <w:rPr>
                <w:rFonts w:ascii="Times New Roman" w:hAnsi="Times New Roman" w:cs="Times New Roman"/>
                <w:bCs/>
                <w:color w:val="auto"/>
                <w:sz w:val="24"/>
              </w:rPr>
              <w:t>。</w:t>
            </w:r>
          </w:p>
          <w:p w14:paraId="66E377F8">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rPr>
                <w:rFonts w:hint="eastAsia" w:ascii="Times New Roman" w:hAnsi="Times New Roman" w:cs="Times New Roman"/>
                <w:bCs/>
                <w:color w:val="auto"/>
                <w:sz w:val="24"/>
                <w:lang w:val="en-US" w:eastAsia="zh-CN"/>
              </w:rPr>
            </w:pPr>
            <w:r>
              <w:rPr>
                <w:rFonts w:hint="eastAsia" w:ascii="Times New Roman" w:hAnsi="Times New Roman" w:cs="Times New Roman"/>
                <w:bCs/>
                <w:color w:val="auto"/>
                <w:sz w:val="24"/>
                <w:lang w:val="en-US" w:eastAsia="zh-CN"/>
              </w:rPr>
              <w:t>（2）废气</w:t>
            </w:r>
          </w:p>
          <w:p w14:paraId="6225D311">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rPr>
                <w:rFonts w:hint="eastAsia" w:ascii="Times New Roman" w:hAnsi="Times New Roman" w:cs="Times New Roman"/>
                <w:bCs/>
                <w:color w:val="auto"/>
                <w:sz w:val="24"/>
                <w:lang w:val="en-US" w:eastAsia="zh-CN"/>
              </w:rPr>
            </w:pPr>
            <w:r>
              <w:rPr>
                <w:rFonts w:hint="eastAsia" w:ascii="Times New Roman" w:hAnsi="Times New Roman" w:cs="Times New Roman"/>
                <w:bCs/>
                <w:color w:val="auto"/>
                <w:sz w:val="24"/>
                <w:lang w:val="en-US" w:eastAsia="zh-CN"/>
              </w:rPr>
              <w:t>本项目发泡废气经风管收集后经TA001废气收集及处理系统（两级活性炭）处理后通过</w:t>
            </w:r>
            <w:r>
              <w:rPr>
                <w:rFonts w:hint="eastAsia" w:cs="Times New Roman"/>
                <w:bCs/>
                <w:color w:val="auto"/>
                <w:sz w:val="24"/>
                <w:lang w:val="en-US" w:eastAsia="zh-CN"/>
              </w:rPr>
              <w:t>40米</w:t>
            </w:r>
            <w:r>
              <w:rPr>
                <w:rFonts w:hint="eastAsia" w:ascii="Times New Roman" w:hAnsi="Times New Roman" w:cs="Times New Roman"/>
                <w:bCs/>
                <w:color w:val="auto"/>
                <w:sz w:val="24"/>
                <w:lang w:val="en-US" w:eastAsia="zh-CN"/>
              </w:rPr>
              <w:t>高排气筒（DA001）高空排放</w:t>
            </w:r>
            <w:r>
              <w:rPr>
                <w:rFonts w:hint="eastAsia" w:cs="Times New Roman"/>
                <w:bCs/>
                <w:color w:val="auto"/>
                <w:sz w:val="24"/>
                <w:lang w:val="en-US" w:eastAsia="zh-CN"/>
              </w:rPr>
              <w:t>；焊接烟尘经移动式焊烟净化器处理后无组织排放</w:t>
            </w:r>
            <w:r>
              <w:rPr>
                <w:rFonts w:hint="eastAsia" w:ascii="Times New Roman" w:hAnsi="Times New Roman" w:cs="Times New Roman"/>
                <w:bCs/>
                <w:color w:val="auto"/>
                <w:sz w:val="24"/>
                <w:lang w:val="en-US" w:eastAsia="zh-CN"/>
              </w:rPr>
              <w:t>。</w:t>
            </w:r>
          </w:p>
          <w:p w14:paraId="2DC32E1D">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w:t>
            </w:r>
            <w:r>
              <w:rPr>
                <w:rFonts w:hint="eastAsia" w:cs="Times New Roman" w:eastAsiaTheme="minorEastAsia"/>
                <w:color w:val="auto"/>
                <w:sz w:val="24"/>
                <w:szCs w:val="24"/>
                <w:lang w:val="en-US" w:eastAsia="zh-CN"/>
              </w:rPr>
              <w:t>3</w:t>
            </w:r>
            <w:r>
              <w:rPr>
                <w:rFonts w:hint="eastAsia" w:ascii="Times New Roman" w:hAnsi="Times New Roman" w:cs="Times New Roman" w:eastAsiaTheme="minorEastAsia"/>
                <w:color w:val="auto"/>
                <w:sz w:val="24"/>
                <w:szCs w:val="24"/>
                <w:lang w:val="en-US" w:eastAsia="zh-CN"/>
              </w:rPr>
              <w:t>）固废</w:t>
            </w:r>
          </w:p>
          <w:p w14:paraId="4999F58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Theme="minorEastAsia"/>
                <w:color w:val="auto"/>
                <w:sz w:val="24"/>
                <w:szCs w:val="24"/>
              </w:rPr>
            </w:pPr>
            <w:r>
              <w:rPr>
                <w:rFonts w:hint="eastAsia" w:eastAsiaTheme="minorEastAsia"/>
                <w:color w:val="auto"/>
                <w:sz w:val="24"/>
                <w:szCs w:val="24"/>
              </w:rPr>
              <w:t>本项目拟于</w:t>
            </w:r>
            <w:r>
              <w:rPr>
                <w:rFonts w:hint="eastAsia" w:eastAsiaTheme="minorEastAsia"/>
                <w:color w:val="auto"/>
                <w:sz w:val="24"/>
                <w:szCs w:val="24"/>
                <w:lang w:val="en-US" w:eastAsia="zh-CN"/>
              </w:rPr>
              <w:t>生产车间内</w:t>
            </w:r>
            <w:r>
              <w:rPr>
                <w:rFonts w:hint="eastAsia" w:eastAsiaTheme="minorEastAsia"/>
                <w:color w:val="auto"/>
                <w:sz w:val="24"/>
                <w:szCs w:val="24"/>
              </w:rPr>
              <w:t>设1个</w:t>
            </w:r>
            <w:r>
              <w:rPr>
                <w:rFonts w:hint="eastAsia" w:eastAsiaTheme="minorEastAsia"/>
                <w:color w:val="auto"/>
                <w:sz w:val="24"/>
                <w:szCs w:val="24"/>
                <w:lang w:val="en-US" w:eastAsia="zh-CN"/>
              </w:rPr>
              <w:t>10</w:t>
            </w:r>
            <w:r>
              <w:rPr>
                <w:rFonts w:hint="eastAsia" w:eastAsiaTheme="minorEastAsia"/>
                <w:color w:val="auto"/>
                <w:sz w:val="24"/>
                <w:szCs w:val="24"/>
              </w:rPr>
              <w:t>m</w:t>
            </w:r>
            <w:r>
              <w:rPr>
                <w:rFonts w:hint="eastAsia" w:eastAsiaTheme="minorEastAsia"/>
                <w:color w:val="auto"/>
                <w:sz w:val="24"/>
                <w:szCs w:val="24"/>
                <w:vertAlign w:val="superscript"/>
              </w:rPr>
              <w:t>2</w:t>
            </w:r>
            <w:r>
              <w:rPr>
                <w:rFonts w:hint="eastAsia" w:eastAsiaTheme="minorEastAsia"/>
                <w:color w:val="auto"/>
                <w:sz w:val="24"/>
                <w:szCs w:val="24"/>
                <w:vertAlign w:val="baseline"/>
                <w:lang w:val="en-US" w:eastAsia="zh-CN"/>
              </w:rPr>
              <w:t>的</w:t>
            </w:r>
            <w:r>
              <w:rPr>
                <w:rFonts w:hint="eastAsia" w:eastAsiaTheme="minorEastAsia"/>
                <w:color w:val="auto"/>
                <w:sz w:val="24"/>
                <w:szCs w:val="24"/>
              </w:rPr>
              <w:t>一般工业固废堆场</w:t>
            </w:r>
            <w:r>
              <w:rPr>
                <w:rFonts w:hint="eastAsia" w:eastAsiaTheme="minorEastAsia"/>
                <w:color w:val="auto"/>
                <w:sz w:val="24"/>
                <w:szCs w:val="24"/>
                <w:lang w:eastAsia="zh-CN"/>
              </w:rPr>
              <w:t>、</w:t>
            </w:r>
            <w:r>
              <w:rPr>
                <w:rFonts w:hint="eastAsia" w:eastAsiaTheme="minorEastAsia"/>
                <w:color w:val="auto"/>
                <w:sz w:val="24"/>
                <w:szCs w:val="24"/>
                <w:lang w:val="en-US" w:eastAsia="zh-CN"/>
              </w:rPr>
              <w:t>1个12m</w:t>
            </w:r>
            <w:r>
              <w:rPr>
                <w:rFonts w:hint="eastAsia" w:eastAsiaTheme="minorEastAsia"/>
                <w:color w:val="auto"/>
                <w:sz w:val="24"/>
                <w:szCs w:val="24"/>
                <w:vertAlign w:val="superscript"/>
                <w:lang w:val="en-US" w:eastAsia="zh-CN"/>
              </w:rPr>
              <w:t>2</w:t>
            </w:r>
            <w:r>
              <w:rPr>
                <w:rFonts w:hint="eastAsia" w:eastAsiaTheme="minorEastAsia"/>
                <w:color w:val="auto"/>
                <w:sz w:val="24"/>
                <w:szCs w:val="24"/>
                <w:vertAlign w:val="baseline"/>
                <w:lang w:val="en-US" w:eastAsia="zh-CN"/>
              </w:rPr>
              <w:t>的危废仓库，</w:t>
            </w:r>
            <w:r>
              <w:rPr>
                <w:rFonts w:hint="eastAsia" w:eastAsiaTheme="minorEastAsia"/>
                <w:color w:val="auto"/>
                <w:sz w:val="24"/>
                <w:szCs w:val="24"/>
              </w:rPr>
              <w:t>可满足环境管理要求。</w:t>
            </w:r>
          </w:p>
          <w:p w14:paraId="41B2F6FC">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eastAsiaTheme="minorEastAsia"/>
                <w:color w:val="auto"/>
                <w:sz w:val="24"/>
                <w:szCs w:val="24"/>
              </w:rPr>
            </w:pPr>
            <w:r>
              <w:rPr>
                <w:rFonts w:hint="eastAsia" w:eastAsiaTheme="minorEastAsia"/>
                <w:color w:val="auto"/>
                <w:sz w:val="24"/>
                <w:szCs w:val="24"/>
              </w:rPr>
              <w:t>（</w:t>
            </w:r>
            <w:r>
              <w:rPr>
                <w:rFonts w:hint="eastAsia" w:eastAsiaTheme="minorEastAsia"/>
                <w:color w:val="auto"/>
                <w:sz w:val="24"/>
                <w:szCs w:val="24"/>
                <w:lang w:val="en-US" w:eastAsia="zh-CN"/>
              </w:rPr>
              <w:t>4</w:t>
            </w:r>
            <w:r>
              <w:rPr>
                <w:rFonts w:hint="eastAsia" w:eastAsiaTheme="minorEastAsia"/>
                <w:color w:val="auto"/>
                <w:sz w:val="24"/>
                <w:szCs w:val="24"/>
              </w:rPr>
              <w:t>）噪声</w:t>
            </w:r>
          </w:p>
          <w:p w14:paraId="1AAD3C3D">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eastAsiaTheme="minorEastAsia"/>
                <w:color w:val="auto"/>
                <w:sz w:val="24"/>
                <w:szCs w:val="24"/>
              </w:rPr>
            </w:pPr>
            <w:r>
              <w:rPr>
                <w:rFonts w:hint="eastAsia" w:ascii="Times New Roman" w:hAnsi="Times New Roman" w:cs="Times New Roman" w:eastAsiaTheme="minorEastAsia"/>
                <w:bCs/>
                <w:color w:val="auto"/>
                <w:sz w:val="24"/>
                <w:szCs w:val="24"/>
                <w:lang w:eastAsia="zh-CN"/>
              </w:rPr>
              <w:t>本项目高</w:t>
            </w:r>
            <w:r>
              <w:rPr>
                <w:rFonts w:hint="eastAsia" w:eastAsiaTheme="minorEastAsia"/>
                <w:bCs/>
                <w:color w:val="auto"/>
                <w:sz w:val="24"/>
                <w:szCs w:val="24"/>
                <w:lang w:eastAsia="zh-CN"/>
              </w:rPr>
              <w:t>噪声设备为</w:t>
            </w:r>
            <w:r>
              <w:rPr>
                <w:rFonts w:hint="eastAsia" w:eastAsiaTheme="minorEastAsia"/>
                <w:bCs/>
                <w:color w:val="auto"/>
                <w:sz w:val="24"/>
                <w:szCs w:val="24"/>
                <w:lang w:val="en-US" w:eastAsia="zh-CN"/>
              </w:rPr>
              <w:t>发泡机（1台）、冷媒充注机（2台）、空压机（1台）、风机（1台）</w:t>
            </w:r>
            <w:r>
              <w:rPr>
                <w:rFonts w:hint="eastAsia" w:eastAsiaTheme="minorEastAsia"/>
                <w:bCs/>
                <w:color w:val="auto"/>
                <w:sz w:val="24"/>
                <w:szCs w:val="24"/>
              </w:rPr>
              <w:t>，单台设备</w:t>
            </w:r>
            <w:r>
              <w:rPr>
                <w:rFonts w:eastAsiaTheme="minorEastAsia"/>
                <w:bCs/>
                <w:color w:val="auto"/>
                <w:sz w:val="24"/>
                <w:szCs w:val="24"/>
              </w:rPr>
              <w:t>噪声源强为8</w:t>
            </w:r>
            <w:r>
              <w:rPr>
                <w:rFonts w:hint="eastAsia" w:eastAsiaTheme="minorEastAsia"/>
                <w:bCs/>
                <w:color w:val="auto"/>
                <w:sz w:val="24"/>
                <w:szCs w:val="24"/>
              </w:rPr>
              <w:t>0</w:t>
            </w:r>
            <w:r>
              <w:rPr>
                <w:rFonts w:eastAsiaTheme="minorEastAsia"/>
                <w:bCs/>
                <w:color w:val="auto"/>
                <w:sz w:val="24"/>
                <w:szCs w:val="24"/>
              </w:rPr>
              <w:t>～</w:t>
            </w:r>
            <w:r>
              <w:rPr>
                <w:rFonts w:hint="eastAsia" w:eastAsiaTheme="minorEastAsia"/>
                <w:bCs/>
                <w:color w:val="auto"/>
                <w:sz w:val="24"/>
                <w:szCs w:val="24"/>
                <w:lang w:val="en-US" w:eastAsia="zh-CN"/>
              </w:rPr>
              <w:t>90</w:t>
            </w:r>
            <w:r>
              <w:rPr>
                <w:rFonts w:eastAsiaTheme="minorEastAsia"/>
                <w:bCs/>
                <w:color w:val="auto"/>
                <w:sz w:val="24"/>
                <w:szCs w:val="24"/>
              </w:rPr>
              <w:t>dB（A）</w:t>
            </w:r>
            <w:r>
              <w:rPr>
                <w:rFonts w:hint="eastAsia" w:eastAsiaTheme="minorEastAsia"/>
                <w:bCs/>
                <w:color w:val="auto"/>
                <w:sz w:val="24"/>
                <w:szCs w:val="24"/>
              </w:rPr>
              <w:t>，通过合理平面布局，对机械噪声采取隔声、减震、安装隔声垫等降噪措施治理。</w:t>
            </w:r>
          </w:p>
          <w:p w14:paraId="7EEE3A2E">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eastAsiaTheme="minorEastAsia"/>
                <w:b/>
                <w:bCs/>
                <w:color w:val="auto"/>
                <w:sz w:val="24"/>
                <w:szCs w:val="24"/>
              </w:rPr>
            </w:pPr>
            <w:r>
              <w:rPr>
                <w:rFonts w:eastAsiaTheme="minorEastAsia"/>
                <w:color w:val="auto"/>
                <w:sz w:val="24"/>
                <w:szCs w:val="24"/>
              </w:rPr>
              <w:t>本项目环保投资</w:t>
            </w:r>
            <w:r>
              <w:rPr>
                <w:rFonts w:hint="eastAsia" w:eastAsiaTheme="minorEastAsia"/>
                <w:color w:val="auto"/>
                <w:sz w:val="24"/>
                <w:szCs w:val="24"/>
                <w:lang w:val="en-US" w:eastAsia="zh-CN"/>
              </w:rPr>
              <w:t>16</w:t>
            </w:r>
            <w:r>
              <w:rPr>
                <w:rFonts w:eastAsiaTheme="minorEastAsia"/>
                <w:color w:val="auto"/>
                <w:sz w:val="24"/>
                <w:szCs w:val="24"/>
              </w:rPr>
              <w:t>万元，占总投资额的</w:t>
            </w:r>
            <w:r>
              <w:rPr>
                <w:rFonts w:hint="eastAsia" w:eastAsiaTheme="minorEastAsia"/>
                <w:color w:val="auto"/>
                <w:sz w:val="24"/>
                <w:szCs w:val="24"/>
                <w:lang w:val="en-US" w:eastAsia="zh-CN"/>
              </w:rPr>
              <w:t>2</w:t>
            </w:r>
            <w:r>
              <w:rPr>
                <w:rFonts w:hint="default" w:ascii="Times New Roman" w:hAnsi="Times New Roman" w:cs="Times New Roman" w:eastAsiaTheme="minorEastAsia"/>
                <w:color w:val="auto"/>
                <w:sz w:val="24"/>
                <w:szCs w:val="24"/>
                <w:lang w:val="en-GB"/>
              </w:rPr>
              <w:t>％</w:t>
            </w:r>
            <w:r>
              <w:rPr>
                <w:rFonts w:eastAsiaTheme="minorEastAsia"/>
                <w:color w:val="auto"/>
                <w:sz w:val="24"/>
                <w:szCs w:val="24"/>
              </w:rPr>
              <w:t>，具体环保投资估算情况见表</w:t>
            </w:r>
            <w:r>
              <w:rPr>
                <w:rFonts w:hint="eastAsia" w:eastAsiaTheme="minorEastAsia"/>
                <w:color w:val="auto"/>
                <w:sz w:val="24"/>
                <w:szCs w:val="24"/>
              </w:rPr>
              <w:t>2</w:t>
            </w:r>
            <w:r>
              <w:rPr>
                <w:rFonts w:hint="eastAsia" w:eastAsiaTheme="minorEastAsia"/>
                <w:color w:val="auto"/>
                <w:sz w:val="24"/>
                <w:szCs w:val="24"/>
                <w:lang w:val="en-US" w:eastAsia="zh-CN"/>
              </w:rPr>
              <w:t>-2</w:t>
            </w:r>
            <w:r>
              <w:rPr>
                <w:rFonts w:eastAsiaTheme="minorEastAsia"/>
                <w:color w:val="auto"/>
                <w:sz w:val="24"/>
                <w:szCs w:val="24"/>
              </w:rPr>
              <w:t>。</w:t>
            </w:r>
          </w:p>
          <w:p w14:paraId="6276B468">
            <w:pPr>
              <w:spacing w:line="324" w:lineRule="auto"/>
              <w:jc w:val="center"/>
              <w:rPr>
                <w:rFonts w:eastAsiaTheme="minorEastAsia"/>
                <w:b/>
                <w:bCs/>
                <w:color w:val="auto"/>
                <w:sz w:val="24"/>
                <w:szCs w:val="24"/>
              </w:rPr>
            </w:pPr>
            <w:r>
              <w:rPr>
                <w:rFonts w:eastAsiaTheme="minorEastAsia"/>
                <w:b/>
                <w:bCs/>
                <w:color w:val="auto"/>
                <w:sz w:val="24"/>
                <w:szCs w:val="24"/>
              </w:rPr>
              <w:t>表</w:t>
            </w:r>
            <w:r>
              <w:rPr>
                <w:rFonts w:hint="eastAsia" w:eastAsiaTheme="minorEastAsia"/>
                <w:b/>
                <w:bCs/>
                <w:color w:val="auto"/>
                <w:sz w:val="24"/>
                <w:szCs w:val="24"/>
              </w:rPr>
              <w:t>2</w:t>
            </w:r>
            <w:r>
              <w:rPr>
                <w:rFonts w:eastAsiaTheme="minorEastAsia"/>
                <w:b/>
                <w:bCs/>
                <w:color w:val="auto"/>
                <w:sz w:val="24"/>
                <w:szCs w:val="24"/>
              </w:rPr>
              <w:t>-</w:t>
            </w:r>
            <w:r>
              <w:rPr>
                <w:rFonts w:hint="eastAsia" w:eastAsiaTheme="minorEastAsia"/>
                <w:b/>
                <w:bCs/>
                <w:color w:val="auto"/>
                <w:sz w:val="24"/>
                <w:szCs w:val="24"/>
                <w:lang w:val="en-US" w:eastAsia="zh-CN"/>
              </w:rPr>
              <w:t>2</w:t>
            </w:r>
            <w:r>
              <w:rPr>
                <w:rFonts w:eastAsiaTheme="minorEastAsia"/>
                <w:b/>
                <w:bCs/>
                <w:color w:val="auto"/>
                <w:sz w:val="24"/>
                <w:szCs w:val="24"/>
              </w:rPr>
              <w:t>环保投资估算情况一览表</w:t>
            </w:r>
          </w:p>
          <w:tbl>
            <w:tblPr>
              <w:tblStyle w:val="35"/>
              <w:tblW w:w="83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458"/>
              <w:gridCol w:w="1458"/>
              <w:gridCol w:w="1091"/>
              <w:gridCol w:w="779"/>
              <w:gridCol w:w="1371"/>
              <w:gridCol w:w="1261"/>
            </w:tblGrid>
            <w:tr w14:paraId="123EE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39" w:type="dxa"/>
                  <w:shd w:val="clear" w:color="auto" w:fill="auto"/>
                  <w:vAlign w:val="center"/>
                </w:tcPr>
                <w:p w14:paraId="47721FB2">
                  <w:pPr>
                    <w:adjustRightInd w:val="0"/>
                    <w:snapToGrid w:val="0"/>
                    <w:jc w:val="center"/>
                    <w:rPr>
                      <w:rFonts w:eastAsiaTheme="minorEastAsia"/>
                      <w:b/>
                      <w:color w:val="auto"/>
                      <w:szCs w:val="21"/>
                    </w:rPr>
                  </w:pPr>
                  <w:r>
                    <w:rPr>
                      <w:rFonts w:eastAsiaTheme="minorEastAsia"/>
                      <w:b/>
                      <w:color w:val="auto"/>
                      <w:szCs w:val="21"/>
                    </w:rPr>
                    <w:t>污染源</w:t>
                  </w:r>
                </w:p>
              </w:tc>
              <w:tc>
                <w:tcPr>
                  <w:tcW w:w="2916" w:type="dxa"/>
                  <w:gridSpan w:val="2"/>
                  <w:shd w:val="clear" w:color="auto" w:fill="auto"/>
                  <w:vAlign w:val="center"/>
                </w:tcPr>
                <w:p w14:paraId="0F63429E">
                  <w:pPr>
                    <w:adjustRightInd w:val="0"/>
                    <w:snapToGrid w:val="0"/>
                    <w:jc w:val="center"/>
                    <w:rPr>
                      <w:rFonts w:eastAsiaTheme="minorEastAsia"/>
                      <w:b/>
                      <w:color w:val="auto"/>
                      <w:szCs w:val="21"/>
                    </w:rPr>
                  </w:pPr>
                  <w:r>
                    <w:rPr>
                      <w:rFonts w:eastAsiaTheme="minorEastAsia"/>
                      <w:b/>
                      <w:color w:val="auto"/>
                      <w:szCs w:val="21"/>
                    </w:rPr>
                    <w:t>环保设施名称</w:t>
                  </w:r>
                </w:p>
              </w:tc>
              <w:tc>
                <w:tcPr>
                  <w:tcW w:w="1091" w:type="dxa"/>
                  <w:shd w:val="clear" w:color="auto" w:fill="auto"/>
                  <w:vAlign w:val="center"/>
                </w:tcPr>
                <w:p w14:paraId="47277FAE">
                  <w:pPr>
                    <w:adjustRightInd w:val="0"/>
                    <w:snapToGrid w:val="0"/>
                    <w:jc w:val="center"/>
                    <w:rPr>
                      <w:rFonts w:eastAsiaTheme="minorEastAsia"/>
                      <w:b/>
                      <w:color w:val="auto"/>
                      <w:szCs w:val="21"/>
                    </w:rPr>
                  </w:pPr>
                  <w:r>
                    <w:rPr>
                      <w:rFonts w:eastAsiaTheme="minorEastAsia"/>
                      <w:b/>
                      <w:color w:val="auto"/>
                      <w:szCs w:val="21"/>
                    </w:rPr>
                    <w:t>环保投资（万元）</w:t>
                  </w:r>
                </w:p>
              </w:tc>
              <w:tc>
                <w:tcPr>
                  <w:tcW w:w="779" w:type="dxa"/>
                  <w:shd w:val="clear" w:color="auto" w:fill="auto"/>
                  <w:vAlign w:val="center"/>
                </w:tcPr>
                <w:p w14:paraId="30A5CC7D">
                  <w:pPr>
                    <w:adjustRightInd w:val="0"/>
                    <w:snapToGrid w:val="0"/>
                    <w:jc w:val="center"/>
                    <w:rPr>
                      <w:rFonts w:eastAsiaTheme="minorEastAsia"/>
                      <w:b/>
                      <w:color w:val="auto"/>
                      <w:szCs w:val="21"/>
                    </w:rPr>
                  </w:pPr>
                  <w:r>
                    <w:rPr>
                      <w:rFonts w:eastAsiaTheme="minorEastAsia"/>
                      <w:b/>
                      <w:color w:val="auto"/>
                      <w:szCs w:val="21"/>
                    </w:rPr>
                    <w:t>数量</w:t>
                  </w:r>
                </w:p>
              </w:tc>
              <w:tc>
                <w:tcPr>
                  <w:tcW w:w="1371" w:type="dxa"/>
                  <w:shd w:val="clear" w:color="auto" w:fill="auto"/>
                  <w:vAlign w:val="center"/>
                </w:tcPr>
                <w:p w14:paraId="58305A78">
                  <w:pPr>
                    <w:adjustRightInd w:val="0"/>
                    <w:snapToGrid w:val="0"/>
                    <w:jc w:val="center"/>
                    <w:rPr>
                      <w:rFonts w:eastAsiaTheme="minorEastAsia"/>
                      <w:b/>
                      <w:color w:val="auto"/>
                      <w:szCs w:val="21"/>
                    </w:rPr>
                  </w:pPr>
                  <w:r>
                    <w:rPr>
                      <w:rFonts w:eastAsiaTheme="minorEastAsia"/>
                      <w:b/>
                      <w:color w:val="auto"/>
                      <w:szCs w:val="21"/>
                    </w:rPr>
                    <w:t>处理能力</w:t>
                  </w:r>
                </w:p>
              </w:tc>
              <w:tc>
                <w:tcPr>
                  <w:tcW w:w="1261" w:type="dxa"/>
                  <w:shd w:val="clear" w:color="auto" w:fill="auto"/>
                  <w:vAlign w:val="center"/>
                </w:tcPr>
                <w:p w14:paraId="774CF956">
                  <w:pPr>
                    <w:snapToGrid w:val="0"/>
                    <w:jc w:val="center"/>
                    <w:rPr>
                      <w:rFonts w:eastAsiaTheme="minorEastAsia"/>
                      <w:b/>
                      <w:bCs/>
                      <w:color w:val="auto"/>
                      <w:szCs w:val="21"/>
                    </w:rPr>
                  </w:pPr>
                  <w:r>
                    <w:rPr>
                      <w:rFonts w:eastAsiaTheme="minorEastAsia"/>
                      <w:b/>
                      <w:bCs/>
                      <w:color w:val="auto"/>
                      <w:szCs w:val="21"/>
                    </w:rPr>
                    <w:t>处理效果</w:t>
                  </w:r>
                </w:p>
              </w:tc>
            </w:tr>
            <w:tr w14:paraId="1AE82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9" w:type="dxa"/>
                  <w:vMerge w:val="restart"/>
                  <w:shd w:val="clear" w:color="auto" w:fill="auto"/>
                  <w:vAlign w:val="center"/>
                </w:tcPr>
                <w:p w14:paraId="7A23D312">
                  <w:pPr>
                    <w:snapToGrid w:val="0"/>
                    <w:jc w:val="center"/>
                    <w:rPr>
                      <w:rFonts w:hint="eastAsia" w:eastAsiaTheme="minorEastAsia"/>
                      <w:color w:val="auto"/>
                      <w:szCs w:val="21"/>
                      <w:lang w:val="en-US" w:eastAsia="zh-CN"/>
                    </w:rPr>
                  </w:pPr>
                  <w:r>
                    <w:rPr>
                      <w:rFonts w:hint="eastAsia" w:eastAsiaTheme="minorEastAsia"/>
                      <w:color w:val="auto"/>
                      <w:szCs w:val="21"/>
                      <w:lang w:val="en-US" w:eastAsia="zh-CN"/>
                    </w:rPr>
                    <w:t>废气</w:t>
                  </w:r>
                </w:p>
              </w:tc>
              <w:tc>
                <w:tcPr>
                  <w:tcW w:w="1458" w:type="dxa"/>
                  <w:vMerge w:val="restart"/>
                  <w:shd w:val="clear" w:color="auto" w:fill="auto"/>
                  <w:vAlign w:val="center"/>
                </w:tcPr>
                <w:p w14:paraId="47E82CC1">
                  <w:pPr>
                    <w:snapToGrid w:val="0"/>
                    <w:jc w:val="center"/>
                    <w:rPr>
                      <w:rFonts w:hint="default" w:ascii="Times New Roman" w:hAnsi="Times New Roman" w:cs="Times New Roman" w:eastAsiaTheme="minorEastAsia"/>
                      <w:color w:val="auto"/>
                      <w:szCs w:val="21"/>
                      <w:lang w:val="en-US" w:eastAsia="zh-CN"/>
                    </w:rPr>
                  </w:pPr>
                  <w:r>
                    <w:rPr>
                      <w:rFonts w:hint="eastAsia" w:cs="Times New Roman" w:eastAsiaTheme="minorEastAsia"/>
                      <w:color w:val="auto"/>
                      <w:szCs w:val="21"/>
                      <w:lang w:val="en-US" w:eastAsia="zh-CN"/>
                    </w:rPr>
                    <w:t>TA001废气收集及处理系统（两</w:t>
                  </w:r>
                  <w:r>
                    <w:rPr>
                      <w:rFonts w:hint="eastAsia" w:ascii="Times New Roman" w:hAnsi="Times New Roman" w:cs="Times New Roman" w:eastAsiaTheme="minorEastAsia"/>
                      <w:color w:val="auto"/>
                      <w:szCs w:val="21"/>
                      <w:lang w:val="en-US" w:eastAsia="zh-CN"/>
                    </w:rPr>
                    <w:t>级活性炭</w:t>
                  </w:r>
                  <w:r>
                    <w:rPr>
                      <w:rFonts w:hint="eastAsia" w:cs="Times New Roman" w:eastAsiaTheme="minorEastAsia"/>
                      <w:color w:val="auto"/>
                      <w:szCs w:val="21"/>
                      <w:lang w:val="en-US" w:eastAsia="zh-CN"/>
                    </w:rPr>
                    <w:t>）</w:t>
                  </w:r>
                </w:p>
              </w:tc>
              <w:tc>
                <w:tcPr>
                  <w:tcW w:w="1458" w:type="dxa"/>
                  <w:shd w:val="clear" w:color="auto" w:fill="auto"/>
                  <w:vAlign w:val="center"/>
                </w:tcPr>
                <w:p w14:paraId="050D2ED8">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风管</w:t>
                  </w:r>
                </w:p>
              </w:tc>
              <w:tc>
                <w:tcPr>
                  <w:tcW w:w="1091" w:type="dxa"/>
                  <w:shd w:val="clear" w:color="auto" w:fill="auto"/>
                  <w:vAlign w:val="center"/>
                </w:tcPr>
                <w:p w14:paraId="020D09B4">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1</w:t>
                  </w:r>
                </w:p>
              </w:tc>
              <w:tc>
                <w:tcPr>
                  <w:tcW w:w="779" w:type="dxa"/>
                  <w:shd w:val="clear" w:color="auto" w:fill="auto"/>
                  <w:vAlign w:val="center"/>
                </w:tcPr>
                <w:p w14:paraId="5B6B2455">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1套</w:t>
                  </w:r>
                </w:p>
              </w:tc>
              <w:tc>
                <w:tcPr>
                  <w:tcW w:w="1371" w:type="dxa"/>
                  <w:vMerge w:val="restart"/>
                  <w:shd w:val="clear" w:color="auto" w:fill="auto"/>
                  <w:vAlign w:val="center"/>
                </w:tcPr>
                <w:p w14:paraId="1C3236CF">
                  <w:pPr>
                    <w:jc w:val="center"/>
                    <w:rPr>
                      <w:rFonts w:hint="default" w:eastAsiaTheme="minorEastAsia"/>
                      <w:color w:val="auto"/>
                      <w:szCs w:val="21"/>
                      <w:lang w:val="en-US" w:eastAsia="zh-CN"/>
                    </w:rPr>
                  </w:pPr>
                  <w:r>
                    <w:rPr>
                      <w:rFonts w:hint="eastAsia" w:eastAsiaTheme="minorEastAsia"/>
                      <w:color w:val="auto"/>
                      <w:szCs w:val="21"/>
                      <w:lang w:val="en-US" w:eastAsia="zh-CN"/>
                    </w:rPr>
                    <w:t>4</w:t>
                  </w:r>
                  <w:r>
                    <w:rPr>
                      <w:rFonts w:hint="eastAsia" w:eastAsiaTheme="minorEastAsia"/>
                      <w:color w:val="auto"/>
                      <w:szCs w:val="21"/>
                    </w:rPr>
                    <w:t>000</w:t>
                  </w:r>
                  <w:r>
                    <w:rPr>
                      <w:rFonts w:eastAsiaTheme="minorEastAsia"/>
                      <w:color w:val="auto"/>
                      <w:szCs w:val="21"/>
                    </w:rPr>
                    <w:t>m</w:t>
                  </w:r>
                  <w:r>
                    <w:rPr>
                      <w:rFonts w:eastAsiaTheme="minorEastAsia"/>
                      <w:color w:val="auto"/>
                      <w:szCs w:val="21"/>
                      <w:vertAlign w:val="superscript"/>
                    </w:rPr>
                    <w:t>3</w:t>
                  </w:r>
                  <w:r>
                    <w:rPr>
                      <w:rFonts w:eastAsiaTheme="minorEastAsia"/>
                      <w:color w:val="auto"/>
                      <w:szCs w:val="21"/>
                    </w:rPr>
                    <w:t>/h</w:t>
                  </w:r>
                </w:p>
              </w:tc>
              <w:tc>
                <w:tcPr>
                  <w:tcW w:w="1261" w:type="dxa"/>
                  <w:vMerge w:val="restart"/>
                  <w:shd w:val="clear" w:color="auto" w:fill="auto"/>
                  <w:vAlign w:val="center"/>
                </w:tcPr>
                <w:p w14:paraId="3EAA04D7">
                  <w:pPr>
                    <w:jc w:val="center"/>
                    <w:rPr>
                      <w:rFonts w:hint="eastAsia" w:eastAsiaTheme="minorEastAsia"/>
                      <w:color w:val="auto"/>
                      <w:szCs w:val="21"/>
                      <w:lang w:val="en-US" w:eastAsia="zh-CN"/>
                    </w:rPr>
                  </w:pPr>
                  <w:r>
                    <w:rPr>
                      <w:rFonts w:hint="eastAsia" w:cs="Times New Roman"/>
                      <w:color w:val="auto"/>
                      <w:szCs w:val="21"/>
                      <w:lang w:val="en-US" w:eastAsia="zh-CN"/>
                    </w:rPr>
                    <w:t>非甲烷总烃</w:t>
                  </w:r>
                  <w:r>
                    <w:rPr>
                      <w:rFonts w:hint="eastAsia" w:eastAsiaTheme="minorEastAsia"/>
                      <w:color w:val="auto"/>
                      <w:szCs w:val="21"/>
                    </w:rPr>
                    <w:t>有组织</w:t>
                  </w:r>
                  <w:r>
                    <w:rPr>
                      <w:rFonts w:eastAsiaTheme="minorEastAsia"/>
                      <w:color w:val="auto"/>
                      <w:szCs w:val="21"/>
                    </w:rPr>
                    <w:t>达标排放</w:t>
                  </w:r>
                </w:p>
              </w:tc>
            </w:tr>
            <w:tr w14:paraId="3A040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39" w:type="dxa"/>
                  <w:vMerge w:val="continue"/>
                  <w:shd w:val="clear" w:color="auto" w:fill="auto"/>
                  <w:vAlign w:val="center"/>
                </w:tcPr>
                <w:p w14:paraId="0E16840C">
                  <w:pPr>
                    <w:snapToGrid w:val="0"/>
                    <w:jc w:val="center"/>
                    <w:rPr>
                      <w:color w:val="auto"/>
                    </w:rPr>
                  </w:pPr>
                </w:p>
              </w:tc>
              <w:tc>
                <w:tcPr>
                  <w:tcW w:w="1458" w:type="dxa"/>
                  <w:vMerge w:val="continue"/>
                  <w:shd w:val="clear" w:color="auto" w:fill="auto"/>
                  <w:vAlign w:val="center"/>
                </w:tcPr>
                <w:p w14:paraId="68A13825">
                  <w:pPr>
                    <w:snapToGrid w:val="0"/>
                    <w:jc w:val="center"/>
                    <w:rPr>
                      <w:color w:val="auto"/>
                    </w:rPr>
                  </w:pPr>
                </w:p>
              </w:tc>
              <w:tc>
                <w:tcPr>
                  <w:tcW w:w="1458" w:type="dxa"/>
                  <w:shd w:val="clear" w:color="auto" w:fill="auto"/>
                  <w:vAlign w:val="center"/>
                </w:tcPr>
                <w:p w14:paraId="6B569352">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活性炭吸附装置</w:t>
                  </w:r>
                </w:p>
              </w:tc>
              <w:tc>
                <w:tcPr>
                  <w:tcW w:w="1091" w:type="dxa"/>
                  <w:shd w:val="clear" w:color="auto" w:fill="auto"/>
                  <w:vAlign w:val="center"/>
                </w:tcPr>
                <w:p w14:paraId="4DABB4E9">
                  <w:pPr>
                    <w:jc w:val="center"/>
                    <w:rPr>
                      <w:rFonts w:hint="eastAsia"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5</w:t>
                  </w:r>
                </w:p>
              </w:tc>
              <w:tc>
                <w:tcPr>
                  <w:tcW w:w="779" w:type="dxa"/>
                  <w:shd w:val="clear" w:color="auto" w:fill="auto"/>
                  <w:vAlign w:val="center"/>
                </w:tcPr>
                <w:p w14:paraId="3FC524E7">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2</w:t>
                  </w:r>
                  <w:r>
                    <w:rPr>
                      <w:rFonts w:eastAsiaTheme="minorEastAsia"/>
                      <w:color w:val="auto"/>
                      <w:szCs w:val="21"/>
                    </w:rPr>
                    <w:t>台</w:t>
                  </w:r>
                </w:p>
              </w:tc>
              <w:tc>
                <w:tcPr>
                  <w:tcW w:w="1371" w:type="dxa"/>
                  <w:vMerge w:val="continue"/>
                  <w:shd w:val="clear" w:color="auto" w:fill="auto"/>
                  <w:vAlign w:val="center"/>
                </w:tcPr>
                <w:p w14:paraId="00207CC6">
                  <w:pPr>
                    <w:snapToGrid w:val="0"/>
                    <w:jc w:val="center"/>
                    <w:rPr>
                      <w:rFonts w:hint="eastAsia" w:ascii="Times New Roman" w:hAnsi="Times New Roman" w:cs="Times New Roman" w:eastAsiaTheme="minorEastAsia"/>
                      <w:color w:val="auto"/>
                      <w:szCs w:val="21"/>
                      <w:lang w:val="en-US" w:eastAsia="zh-CN"/>
                    </w:rPr>
                  </w:pPr>
                </w:p>
              </w:tc>
              <w:tc>
                <w:tcPr>
                  <w:tcW w:w="1261" w:type="dxa"/>
                  <w:vMerge w:val="continue"/>
                  <w:shd w:val="clear" w:color="auto" w:fill="auto"/>
                  <w:vAlign w:val="center"/>
                </w:tcPr>
                <w:p w14:paraId="6D727EAD">
                  <w:pPr>
                    <w:snapToGrid w:val="0"/>
                    <w:jc w:val="center"/>
                    <w:rPr>
                      <w:rFonts w:hint="eastAsia" w:ascii="Times New Roman" w:hAnsi="Times New Roman" w:cs="Times New Roman" w:eastAsiaTheme="minorEastAsia"/>
                      <w:color w:val="auto"/>
                      <w:szCs w:val="21"/>
                      <w:lang w:val="en-US" w:eastAsia="zh-CN"/>
                    </w:rPr>
                  </w:pPr>
                </w:p>
              </w:tc>
            </w:tr>
            <w:tr w14:paraId="3A3CD9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39" w:type="dxa"/>
                  <w:vMerge w:val="continue"/>
                  <w:shd w:val="clear" w:color="auto" w:fill="auto"/>
                  <w:vAlign w:val="center"/>
                </w:tcPr>
                <w:p w14:paraId="2FD045D2">
                  <w:pPr>
                    <w:snapToGrid w:val="0"/>
                    <w:jc w:val="center"/>
                    <w:rPr>
                      <w:rFonts w:hint="eastAsia" w:ascii="Times New Roman" w:hAnsi="Times New Roman" w:cs="Times New Roman" w:eastAsiaTheme="minorEastAsia"/>
                      <w:color w:val="auto"/>
                      <w:szCs w:val="21"/>
                      <w:lang w:val="en-US" w:eastAsia="zh-CN"/>
                    </w:rPr>
                  </w:pPr>
                </w:p>
              </w:tc>
              <w:tc>
                <w:tcPr>
                  <w:tcW w:w="1458" w:type="dxa"/>
                  <w:vMerge w:val="continue"/>
                  <w:shd w:val="clear" w:color="auto" w:fill="auto"/>
                  <w:vAlign w:val="center"/>
                </w:tcPr>
                <w:p w14:paraId="246CB87A">
                  <w:pPr>
                    <w:snapToGrid w:val="0"/>
                    <w:jc w:val="center"/>
                    <w:rPr>
                      <w:rFonts w:hint="eastAsia" w:ascii="Times New Roman" w:hAnsi="Times New Roman" w:cs="Times New Roman" w:eastAsiaTheme="minorEastAsia"/>
                      <w:color w:val="auto"/>
                      <w:szCs w:val="21"/>
                      <w:lang w:val="en-US" w:eastAsia="zh-CN"/>
                    </w:rPr>
                  </w:pPr>
                </w:p>
              </w:tc>
              <w:tc>
                <w:tcPr>
                  <w:tcW w:w="1458" w:type="dxa"/>
                  <w:shd w:val="clear" w:color="auto" w:fill="auto"/>
                  <w:vAlign w:val="center"/>
                </w:tcPr>
                <w:p w14:paraId="0707B2F7">
                  <w:pPr>
                    <w:jc w:val="center"/>
                    <w:rPr>
                      <w:rFonts w:hint="eastAsia" w:ascii="Times New Roman" w:hAnsi="Times New Roman" w:cs="Times New Roman" w:eastAsiaTheme="minorEastAsia"/>
                      <w:color w:val="auto"/>
                      <w:kern w:val="2"/>
                      <w:sz w:val="21"/>
                      <w:szCs w:val="21"/>
                      <w:lang w:val="en-US" w:eastAsia="zh-CN" w:bidi="ar-SA"/>
                    </w:rPr>
                  </w:pPr>
                  <w:r>
                    <w:rPr>
                      <w:rFonts w:eastAsiaTheme="minorEastAsia"/>
                      <w:color w:val="auto"/>
                      <w:szCs w:val="21"/>
                    </w:rPr>
                    <w:t>风机</w:t>
                  </w:r>
                </w:p>
              </w:tc>
              <w:tc>
                <w:tcPr>
                  <w:tcW w:w="1091" w:type="dxa"/>
                  <w:shd w:val="clear" w:color="auto" w:fill="auto"/>
                  <w:vAlign w:val="center"/>
                </w:tcPr>
                <w:p w14:paraId="4B77BD4C">
                  <w:pPr>
                    <w:jc w:val="center"/>
                    <w:rPr>
                      <w:rFonts w:hint="eastAsia"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3</w:t>
                  </w:r>
                </w:p>
              </w:tc>
              <w:tc>
                <w:tcPr>
                  <w:tcW w:w="779" w:type="dxa"/>
                  <w:shd w:val="clear" w:color="auto" w:fill="auto"/>
                  <w:vAlign w:val="center"/>
                </w:tcPr>
                <w:p w14:paraId="4B80409D">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rPr>
                    <w:t>1</w:t>
                  </w:r>
                  <w:r>
                    <w:rPr>
                      <w:rFonts w:eastAsiaTheme="minorEastAsia"/>
                      <w:color w:val="auto"/>
                      <w:szCs w:val="21"/>
                    </w:rPr>
                    <w:t>台</w:t>
                  </w:r>
                </w:p>
              </w:tc>
              <w:tc>
                <w:tcPr>
                  <w:tcW w:w="1371" w:type="dxa"/>
                  <w:vMerge w:val="continue"/>
                  <w:shd w:val="clear" w:color="auto" w:fill="auto"/>
                  <w:vAlign w:val="center"/>
                </w:tcPr>
                <w:p w14:paraId="016CA6BB">
                  <w:pPr>
                    <w:snapToGrid w:val="0"/>
                    <w:jc w:val="center"/>
                    <w:rPr>
                      <w:rFonts w:hint="eastAsia" w:ascii="Times New Roman" w:hAnsi="Times New Roman" w:cs="Times New Roman" w:eastAsiaTheme="minorEastAsia"/>
                      <w:color w:val="auto"/>
                      <w:szCs w:val="21"/>
                      <w:lang w:val="en-US" w:eastAsia="zh-CN"/>
                    </w:rPr>
                  </w:pPr>
                </w:p>
              </w:tc>
              <w:tc>
                <w:tcPr>
                  <w:tcW w:w="1261" w:type="dxa"/>
                  <w:vMerge w:val="continue"/>
                  <w:shd w:val="clear" w:color="auto" w:fill="auto"/>
                  <w:vAlign w:val="center"/>
                </w:tcPr>
                <w:p w14:paraId="1C901C78">
                  <w:pPr>
                    <w:snapToGrid w:val="0"/>
                    <w:jc w:val="center"/>
                    <w:rPr>
                      <w:rFonts w:hint="eastAsia" w:ascii="Times New Roman" w:hAnsi="Times New Roman" w:cs="Times New Roman" w:eastAsiaTheme="minorEastAsia"/>
                      <w:color w:val="auto"/>
                      <w:szCs w:val="21"/>
                      <w:lang w:val="en-US" w:eastAsia="zh-CN"/>
                    </w:rPr>
                  </w:pPr>
                </w:p>
              </w:tc>
            </w:tr>
            <w:tr w14:paraId="5AD2D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69" w:hRule="atLeast"/>
                <w:jc w:val="center"/>
              </w:trPr>
              <w:tc>
                <w:tcPr>
                  <w:tcW w:w="939" w:type="dxa"/>
                  <w:vMerge w:val="continue"/>
                  <w:shd w:val="clear" w:color="auto" w:fill="auto"/>
                  <w:vAlign w:val="center"/>
                </w:tcPr>
                <w:p w14:paraId="3208A234">
                  <w:pPr>
                    <w:snapToGrid w:val="0"/>
                    <w:jc w:val="center"/>
                    <w:rPr>
                      <w:rFonts w:hint="eastAsia" w:ascii="Times New Roman" w:hAnsi="Times New Roman" w:cs="Times New Roman" w:eastAsiaTheme="minorEastAsia"/>
                      <w:color w:val="auto"/>
                      <w:szCs w:val="21"/>
                      <w:lang w:val="en-US" w:eastAsia="zh-CN"/>
                    </w:rPr>
                  </w:pPr>
                </w:p>
              </w:tc>
              <w:tc>
                <w:tcPr>
                  <w:tcW w:w="1458" w:type="dxa"/>
                  <w:vMerge w:val="continue"/>
                  <w:shd w:val="clear" w:color="auto" w:fill="auto"/>
                  <w:vAlign w:val="center"/>
                </w:tcPr>
                <w:p w14:paraId="3CCB3CD9">
                  <w:pPr>
                    <w:snapToGrid w:val="0"/>
                    <w:jc w:val="center"/>
                    <w:rPr>
                      <w:rFonts w:hint="eastAsia" w:ascii="Times New Roman" w:hAnsi="Times New Roman" w:cs="Times New Roman" w:eastAsiaTheme="minorEastAsia"/>
                      <w:color w:val="auto"/>
                      <w:szCs w:val="21"/>
                      <w:lang w:val="en-US" w:eastAsia="zh-CN"/>
                    </w:rPr>
                  </w:pPr>
                </w:p>
              </w:tc>
              <w:tc>
                <w:tcPr>
                  <w:tcW w:w="1458" w:type="dxa"/>
                  <w:shd w:val="clear" w:color="auto" w:fill="auto"/>
                  <w:vAlign w:val="center"/>
                </w:tcPr>
                <w:p w14:paraId="34185968">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40米</w:t>
                  </w:r>
                  <w:r>
                    <w:rPr>
                      <w:rFonts w:eastAsiaTheme="minorEastAsia"/>
                      <w:color w:val="auto"/>
                      <w:szCs w:val="21"/>
                    </w:rPr>
                    <w:t>高排气筒</w:t>
                  </w:r>
                  <w:r>
                    <w:rPr>
                      <w:rFonts w:eastAsiaTheme="minorEastAsia"/>
                      <w:bCs/>
                      <w:color w:val="auto"/>
                      <w:szCs w:val="21"/>
                    </w:rPr>
                    <w:t>（DA00</w:t>
                  </w:r>
                  <w:r>
                    <w:rPr>
                      <w:rFonts w:hint="eastAsia" w:eastAsiaTheme="minorEastAsia"/>
                      <w:bCs/>
                      <w:color w:val="auto"/>
                      <w:szCs w:val="21"/>
                      <w:lang w:val="en-US" w:eastAsia="zh-CN"/>
                    </w:rPr>
                    <w:t>1</w:t>
                  </w:r>
                  <w:r>
                    <w:rPr>
                      <w:rFonts w:eastAsiaTheme="minorEastAsia"/>
                      <w:bCs/>
                      <w:color w:val="auto"/>
                      <w:szCs w:val="21"/>
                    </w:rPr>
                    <w:t>）</w:t>
                  </w:r>
                </w:p>
              </w:tc>
              <w:tc>
                <w:tcPr>
                  <w:tcW w:w="1091" w:type="dxa"/>
                  <w:shd w:val="clear" w:color="auto" w:fill="auto"/>
                  <w:vAlign w:val="center"/>
                </w:tcPr>
                <w:p w14:paraId="195C719B">
                  <w:pPr>
                    <w:jc w:val="center"/>
                    <w:rPr>
                      <w:rFonts w:hint="eastAsia"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1</w:t>
                  </w:r>
                </w:p>
              </w:tc>
              <w:tc>
                <w:tcPr>
                  <w:tcW w:w="779" w:type="dxa"/>
                  <w:shd w:val="clear" w:color="auto" w:fill="auto"/>
                  <w:vAlign w:val="center"/>
                </w:tcPr>
                <w:p w14:paraId="1F4880CC">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rPr>
                    <w:t>1</w:t>
                  </w:r>
                  <w:r>
                    <w:rPr>
                      <w:rFonts w:eastAsiaTheme="minorEastAsia"/>
                      <w:color w:val="auto"/>
                      <w:szCs w:val="21"/>
                    </w:rPr>
                    <w:t>根</w:t>
                  </w:r>
                </w:p>
              </w:tc>
              <w:tc>
                <w:tcPr>
                  <w:tcW w:w="1371" w:type="dxa"/>
                  <w:vMerge w:val="continue"/>
                  <w:shd w:val="clear" w:color="auto" w:fill="auto"/>
                  <w:vAlign w:val="center"/>
                </w:tcPr>
                <w:p w14:paraId="6A192808">
                  <w:pPr>
                    <w:snapToGrid w:val="0"/>
                    <w:jc w:val="center"/>
                    <w:rPr>
                      <w:rFonts w:hint="eastAsia" w:ascii="Times New Roman" w:hAnsi="Times New Roman" w:cs="Times New Roman" w:eastAsiaTheme="minorEastAsia"/>
                      <w:color w:val="auto"/>
                      <w:szCs w:val="21"/>
                      <w:lang w:val="en-US" w:eastAsia="zh-CN"/>
                    </w:rPr>
                  </w:pPr>
                </w:p>
              </w:tc>
              <w:tc>
                <w:tcPr>
                  <w:tcW w:w="1261" w:type="dxa"/>
                  <w:vMerge w:val="continue"/>
                  <w:shd w:val="clear" w:color="auto" w:fill="auto"/>
                  <w:vAlign w:val="center"/>
                </w:tcPr>
                <w:p w14:paraId="1DB31F28">
                  <w:pPr>
                    <w:snapToGrid w:val="0"/>
                    <w:jc w:val="center"/>
                    <w:rPr>
                      <w:rFonts w:hint="eastAsia" w:ascii="Times New Roman" w:hAnsi="Times New Roman" w:cs="Times New Roman" w:eastAsiaTheme="minorEastAsia"/>
                      <w:color w:val="auto"/>
                      <w:szCs w:val="21"/>
                      <w:lang w:val="en-US" w:eastAsia="zh-CN"/>
                    </w:rPr>
                  </w:pPr>
                </w:p>
              </w:tc>
            </w:tr>
            <w:tr w14:paraId="4735F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39" w:type="dxa"/>
                  <w:vMerge w:val="continue"/>
                  <w:shd w:val="clear" w:color="auto" w:fill="auto"/>
                  <w:vAlign w:val="center"/>
                </w:tcPr>
                <w:p w14:paraId="6F5690D2">
                  <w:pPr>
                    <w:snapToGrid w:val="0"/>
                    <w:jc w:val="center"/>
                    <w:rPr>
                      <w:rFonts w:hint="eastAsia" w:ascii="Times New Roman" w:hAnsi="Times New Roman" w:cs="Times New Roman" w:eastAsiaTheme="minorEastAsia"/>
                      <w:color w:val="auto"/>
                      <w:szCs w:val="21"/>
                      <w:lang w:val="en-US" w:eastAsia="zh-CN"/>
                    </w:rPr>
                  </w:pPr>
                </w:p>
              </w:tc>
              <w:tc>
                <w:tcPr>
                  <w:tcW w:w="1458" w:type="dxa"/>
                  <w:shd w:val="clear" w:color="auto" w:fill="auto"/>
                  <w:vAlign w:val="center"/>
                </w:tcPr>
                <w:p w14:paraId="3C2B582B">
                  <w:pPr>
                    <w:snapToGrid w:val="0"/>
                    <w:jc w:val="center"/>
                    <w:rPr>
                      <w:rFonts w:hint="eastAsia" w:ascii="Times New Roman" w:hAnsi="Times New Roman" w:cs="Times New Roman" w:eastAsiaTheme="minorEastAsia"/>
                      <w:color w:val="auto"/>
                      <w:szCs w:val="21"/>
                      <w:lang w:val="en-US" w:eastAsia="zh-CN"/>
                    </w:rPr>
                  </w:pPr>
                  <w:r>
                    <w:rPr>
                      <w:rFonts w:hint="eastAsia" w:cs="Times New Roman" w:eastAsiaTheme="minorEastAsia"/>
                      <w:color w:val="auto"/>
                      <w:szCs w:val="21"/>
                      <w:highlight w:val="none"/>
                      <w:lang w:val="en-US" w:eastAsia="zh-CN"/>
                    </w:rPr>
                    <w:t>焊接烟尘收集及处理系统</w:t>
                  </w:r>
                </w:p>
              </w:tc>
              <w:tc>
                <w:tcPr>
                  <w:tcW w:w="1458" w:type="dxa"/>
                  <w:shd w:val="clear" w:color="auto" w:fill="auto"/>
                  <w:vAlign w:val="center"/>
                </w:tcPr>
                <w:p w14:paraId="46F5222C">
                  <w:pPr>
                    <w:jc w:val="center"/>
                    <w:rPr>
                      <w:rFonts w:hint="default" w:eastAsiaTheme="minorEastAsia"/>
                      <w:color w:val="auto"/>
                      <w:szCs w:val="21"/>
                      <w:lang w:val="en-US" w:eastAsia="zh-CN"/>
                    </w:rPr>
                  </w:pPr>
                  <w:r>
                    <w:rPr>
                      <w:rFonts w:hint="eastAsia" w:eastAsiaTheme="minorEastAsia"/>
                      <w:color w:val="auto"/>
                      <w:szCs w:val="21"/>
                      <w:lang w:val="en-US" w:eastAsia="zh-CN"/>
                    </w:rPr>
                    <w:t>移动式焊烟净化器</w:t>
                  </w:r>
                </w:p>
              </w:tc>
              <w:tc>
                <w:tcPr>
                  <w:tcW w:w="1091" w:type="dxa"/>
                  <w:shd w:val="clear" w:color="auto" w:fill="auto"/>
                  <w:vAlign w:val="center"/>
                </w:tcPr>
                <w:p w14:paraId="01730940">
                  <w:pPr>
                    <w:jc w:val="center"/>
                    <w:rPr>
                      <w:rFonts w:hint="default"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1</w:t>
                  </w:r>
                </w:p>
              </w:tc>
              <w:tc>
                <w:tcPr>
                  <w:tcW w:w="779" w:type="dxa"/>
                  <w:shd w:val="clear" w:color="auto" w:fill="auto"/>
                  <w:vAlign w:val="center"/>
                </w:tcPr>
                <w:p w14:paraId="7F5D805C">
                  <w:pPr>
                    <w:jc w:val="center"/>
                    <w:rPr>
                      <w:rFonts w:hint="default" w:eastAsiaTheme="minorEastAsia"/>
                      <w:color w:val="auto"/>
                      <w:szCs w:val="21"/>
                      <w:lang w:val="en-US" w:eastAsia="zh-CN"/>
                    </w:rPr>
                  </w:pPr>
                  <w:r>
                    <w:rPr>
                      <w:rFonts w:hint="eastAsia" w:eastAsiaTheme="minorEastAsia"/>
                      <w:color w:val="auto"/>
                      <w:szCs w:val="21"/>
                      <w:lang w:val="en-US" w:eastAsia="zh-CN"/>
                    </w:rPr>
                    <w:t>1套</w:t>
                  </w:r>
                </w:p>
              </w:tc>
              <w:tc>
                <w:tcPr>
                  <w:tcW w:w="1371" w:type="dxa"/>
                  <w:shd w:val="clear" w:color="auto" w:fill="auto"/>
                  <w:vAlign w:val="center"/>
                </w:tcPr>
                <w:p w14:paraId="1AE397F5">
                  <w:pPr>
                    <w:snapToGrid w:val="0"/>
                    <w:jc w:val="center"/>
                    <w:rPr>
                      <w:rFonts w:hint="default" w:ascii="Times New Roman" w:hAnsi="Times New Roman" w:cs="Times New Roman" w:eastAsiaTheme="minorEastAsia"/>
                      <w:color w:val="auto"/>
                      <w:szCs w:val="21"/>
                      <w:lang w:val="en-US" w:eastAsia="zh-CN"/>
                    </w:rPr>
                  </w:pPr>
                  <w:r>
                    <w:rPr>
                      <w:rFonts w:eastAsiaTheme="minorEastAsia"/>
                      <w:color w:val="auto"/>
                      <w:szCs w:val="21"/>
                    </w:rPr>
                    <w:t>－</w:t>
                  </w:r>
                </w:p>
              </w:tc>
              <w:tc>
                <w:tcPr>
                  <w:tcW w:w="1261" w:type="dxa"/>
                  <w:shd w:val="clear" w:color="auto" w:fill="auto"/>
                  <w:vAlign w:val="center"/>
                </w:tcPr>
                <w:p w14:paraId="031AAF88">
                  <w:pPr>
                    <w:snapToGrid w:val="0"/>
                    <w:jc w:val="center"/>
                    <w:rPr>
                      <w:rFonts w:hint="default" w:ascii="Times New Roman" w:hAnsi="Times New Roman" w:cs="Times New Roman" w:eastAsiaTheme="minorEastAsia"/>
                      <w:color w:val="auto"/>
                      <w:szCs w:val="21"/>
                      <w:lang w:val="en-US" w:eastAsia="zh-CN"/>
                    </w:rPr>
                  </w:pPr>
                  <w:r>
                    <w:rPr>
                      <w:rFonts w:hint="eastAsia" w:cs="Times New Roman" w:eastAsiaTheme="minorEastAsia"/>
                      <w:color w:val="auto"/>
                      <w:szCs w:val="21"/>
                      <w:lang w:val="en-US" w:eastAsia="zh-CN"/>
                    </w:rPr>
                    <w:t>颗粒物无组织达标排放</w:t>
                  </w:r>
                </w:p>
              </w:tc>
            </w:tr>
            <w:tr w14:paraId="7C438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9" w:type="dxa"/>
                  <w:shd w:val="clear" w:color="auto" w:fill="auto"/>
                  <w:vAlign w:val="center"/>
                </w:tcPr>
                <w:p w14:paraId="5D10AD22">
                  <w:pPr>
                    <w:snapToGrid w:val="0"/>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Cs w:val="21"/>
                    </w:rPr>
                    <w:t>噪声</w:t>
                  </w:r>
                </w:p>
              </w:tc>
              <w:tc>
                <w:tcPr>
                  <w:tcW w:w="2916" w:type="dxa"/>
                  <w:gridSpan w:val="2"/>
                  <w:shd w:val="clear" w:color="auto" w:fill="auto"/>
                  <w:vAlign w:val="center"/>
                </w:tcPr>
                <w:p w14:paraId="36BD9414">
                  <w:pPr>
                    <w:snapToGrid w:val="0"/>
                    <w:jc w:val="center"/>
                    <w:rPr>
                      <w:rFonts w:hint="eastAsia" w:ascii="Times New Roman" w:hAnsi="Times New Roman" w:cs="Times New Roman" w:eastAsiaTheme="minorEastAsia"/>
                      <w:color w:val="auto"/>
                      <w:kern w:val="2"/>
                      <w:sz w:val="21"/>
                      <w:szCs w:val="21"/>
                      <w:lang w:val="en-US" w:eastAsia="zh-CN" w:bidi="ar-SA"/>
                    </w:rPr>
                  </w:pPr>
                  <w:r>
                    <w:rPr>
                      <w:rFonts w:eastAsiaTheme="minorEastAsia"/>
                      <w:color w:val="auto"/>
                      <w:szCs w:val="21"/>
                    </w:rPr>
                    <w:t>厂房隔声、消声减振基础</w:t>
                  </w:r>
                </w:p>
              </w:tc>
              <w:tc>
                <w:tcPr>
                  <w:tcW w:w="1091" w:type="dxa"/>
                  <w:shd w:val="clear" w:color="auto" w:fill="auto"/>
                  <w:vAlign w:val="center"/>
                </w:tcPr>
                <w:p w14:paraId="3C40988E">
                  <w:pPr>
                    <w:snapToGrid w:val="0"/>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5</w:t>
                  </w:r>
                </w:p>
              </w:tc>
              <w:tc>
                <w:tcPr>
                  <w:tcW w:w="779" w:type="dxa"/>
                  <w:shd w:val="clear" w:color="auto" w:fill="auto"/>
                  <w:vAlign w:val="center"/>
                </w:tcPr>
                <w:p w14:paraId="1E1ABC32">
                  <w:pPr>
                    <w:snapToGrid w:val="0"/>
                    <w:jc w:val="center"/>
                    <w:rPr>
                      <w:rFonts w:hint="eastAsia" w:eastAsiaTheme="minorEastAsia"/>
                      <w:color w:val="auto"/>
                      <w:szCs w:val="21"/>
                      <w:lang w:val="en-US" w:eastAsia="zh-CN"/>
                    </w:rPr>
                  </w:pPr>
                  <w:r>
                    <w:rPr>
                      <w:rFonts w:eastAsiaTheme="minorEastAsia"/>
                      <w:color w:val="auto"/>
                      <w:szCs w:val="21"/>
                    </w:rPr>
                    <w:t>－</w:t>
                  </w:r>
                </w:p>
              </w:tc>
              <w:tc>
                <w:tcPr>
                  <w:tcW w:w="1371" w:type="dxa"/>
                  <w:shd w:val="clear" w:color="auto" w:fill="auto"/>
                  <w:vAlign w:val="center"/>
                </w:tcPr>
                <w:p w14:paraId="7D736959">
                  <w:pPr>
                    <w:snapToGrid w:val="0"/>
                    <w:jc w:val="center"/>
                    <w:rPr>
                      <w:rFonts w:hint="eastAsia" w:eastAsiaTheme="minorEastAsia"/>
                      <w:color w:val="auto"/>
                      <w:szCs w:val="21"/>
                      <w:lang w:val="en-US" w:eastAsia="zh-CN"/>
                    </w:rPr>
                  </w:pPr>
                  <w:r>
                    <w:rPr>
                      <w:rFonts w:eastAsiaTheme="minorEastAsia"/>
                      <w:color w:val="auto"/>
                      <w:szCs w:val="21"/>
                    </w:rPr>
                    <w:t>降噪</w:t>
                  </w:r>
                  <w:r>
                    <w:rPr>
                      <w:rFonts w:hint="eastAsia" w:eastAsiaTheme="minorEastAsia"/>
                      <w:color w:val="auto"/>
                      <w:szCs w:val="21"/>
                      <w:lang w:val="en-US" w:eastAsia="zh-CN"/>
                    </w:rPr>
                    <w:t>15</w:t>
                  </w:r>
                  <w:r>
                    <w:rPr>
                      <w:rFonts w:hint="eastAsia" w:eastAsiaTheme="minorEastAsia"/>
                      <w:color w:val="auto"/>
                      <w:szCs w:val="21"/>
                    </w:rPr>
                    <w:t>-</w:t>
                  </w:r>
                  <w:r>
                    <w:rPr>
                      <w:rFonts w:hint="eastAsia" w:eastAsiaTheme="minorEastAsia"/>
                      <w:color w:val="auto"/>
                      <w:szCs w:val="21"/>
                      <w:lang w:val="en-US" w:eastAsia="zh-CN"/>
                    </w:rPr>
                    <w:t>2</w:t>
                  </w:r>
                  <w:r>
                    <w:rPr>
                      <w:rFonts w:eastAsiaTheme="minorEastAsia"/>
                      <w:color w:val="auto"/>
                      <w:szCs w:val="21"/>
                    </w:rPr>
                    <w:t>0dB</w:t>
                  </w:r>
                  <w:r>
                    <w:rPr>
                      <w:rFonts w:hint="eastAsia" w:eastAsiaTheme="minorEastAsia"/>
                      <w:color w:val="auto"/>
                      <w:szCs w:val="21"/>
                      <w:lang w:eastAsia="zh-CN"/>
                    </w:rPr>
                    <w:t>（</w:t>
                  </w:r>
                  <w:r>
                    <w:rPr>
                      <w:rFonts w:hint="eastAsia" w:eastAsiaTheme="minorEastAsia"/>
                      <w:color w:val="auto"/>
                      <w:szCs w:val="21"/>
                      <w:lang w:val="en-US" w:eastAsia="zh-CN"/>
                    </w:rPr>
                    <w:t>A</w:t>
                  </w:r>
                  <w:r>
                    <w:rPr>
                      <w:rFonts w:hint="eastAsia" w:eastAsiaTheme="minorEastAsia"/>
                      <w:color w:val="auto"/>
                      <w:szCs w:val="21"/>
                      <w:lang w:eastAsia="zh-CN"/>
                    </w:rPr>
                    <w:t>）</w:t>
                  </w:r>
                </w:p>
              </w:tc>
              <w:tc>
                <w:tcPr>
                  <w:tcW w:w="1261" w:type="dxa"/>
                  <w:shd w:val="clear" w:color="auto" w:fill="auto"/>
                  <w:vAlign w:val="center"/>
                </w:tcPr>
                <w:p w14:paraId="37214BC7">
                  <w:pPr>
                    <w:snapToGrid w:val="0"/>
                    <w:jc w:val="center"/>
                    <w:rPr>
                      <w:rFonts w:eastAsiaTheme="minorEastAsia"/>
                      <w:color w:val="auto"/>
                      <w:szCs w:val="21"/>
                    </w:rPr>
                  </w:pPr>
                  <w:r>
                    <w:rPr>
                      <w:rFonts w:eastAsiaTheme="minorEastAsia"/>
                      <w:color w:val="auto"/>
                      <w:szCs w:val="21"/>
                    </w:rPr>
                    <w:t>厂界噪声达标</w:t>
                  </w:r>
                </w:p>
              </w:tc>
            </w:tr>
            <w:tr w14:paraId="7FB59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855" w:type="dxa"/>
                  <w:gridSpan w:val="3"/>
                  <w:shd w:val="clear" w:color="auto" w:fill="auto"/>
                  <w:vAlign w:val="center"/>
                </w:tcPr>
                <w:p w14:paraId="0D0207A3">
                  <w:pPr>
                    <w:snapToGrid w:val="0"/>
                    <w:jc w:val="center"/>
                    <w:rPr>
                      <w:rFonts w:hint="eastAsia" w:eastAsiaTheme="minorEastAsia"/>
                      <w:color w:val="auto"/>
                      <w:szCs w:val="21"/>
                    </w:rPr>
                  </w:pPr>
                  <w:r>
                    <w:rPr>
                      <w:rFonts w:eastAsiaTheme="minorEastAsia"/>
                      <w:color w:val="auto"/>
                      <w:szCs w:val="21"/>
                    </w:rPr>
                    <w:t>合计</w:t>
                  </w:r>
                </w:p>
              </w:tc>
              <w:tc>
                <w:tcPr>
                  <w:tcW w:w="1091" w:type="dxa"/>
                  <w:shd w:val="clear" w:color="auto" w:fill="auto"/>
                  <w:vAlign w:val="center"/>
                </w:tcPr>
                <w:p w14:paraId="7995056B">
                  <w:pPr>
                    <w:snapToGrid w:val="0"/>
                    <w:jc w:val="center"/>
                    <w:rPr>
                      <w:rFonts w:hint="default" w:eastAsiaTheme="minorEastAsia"/>
                      <w:color w:val="auto"/>
                      <w:szCs w:val="21"/>
                      <w:lang w:val="en-US" w:eastAsia="zh-CN"/>
                    </w:rPr>
                  </w:pPr>
                  <w:r>
                    <w:rPr>
                      <w:rFonts w:hint="eastAsia" w:eastAsiaTheme="minorEastAsia"/>
                      <w:color w:val="auto"/>
                      <w:szCs w:val="21"/>
                      <w:lang w:val="en-US" w:eastAsia="zh-CN"/>
                    </w:rPr>
                    <w:t>16</w:t>
                  </w:r>
                </w:p>
              </w:tc>
              <w:tc>
                <w:tcPr>
                  <w:tcW w:w="779" w:type="dxa"/>
                  <w:shd w:val="clear" w:color="auto" w:fill="auto"/>
                  <w:vAlign w:val="center"/>
                </w:tcPr>
                <w:p w14:paraId="33C6E00E">
                  <w:pPr>
                    <w:snapToGrid w:val="0"/>
                    <w:jc w:val="center"/>
                    <w:rPr>
                      <w:rFonts w:hint="eastAsia" w:ascii="Times New Roman" w:hAnsi="Times New Roman" w:cs="Times New Roman" w:eastAsiaTheme="minorEastAsia"/>
                      <w:color w:val="auto"/>
                      <w:kern w:val="2"/>
                      <w:sz w:val="21"/>
                      <w:szCs w:val="21"/>
                      <w:lang w:val="en-US" w:eastAsia="zh-CN" w:bidi="ar-SA"/>
                    </w:rPr>
                  </w:pPr>
                  <w:r>
                    <w:rPr>
                      <w:rFonts w:eastAsiaTheme="minorEastAsia"/>
                      <w:color w:val="auto"/>
                      <w:szCs w:val="21"/>
                    </w:rPr>
                    <w:t>－</w:t>
                  </w:r>
                </w:p>
              </w:tc>
              <w:tc>
                <w:tcPr>
                  <w:tcW w:w="1371" w:type="dxa"/>
                  <w:shd w:val="clear" w:color="auto" w:fill="auto"/>
                  <w:vAlign w:val="center"/>
                </w:tcPr>
                <w:p w14:paraId="144246D4">
                  <w:pPr>
                    <w:snapToGrid w:val="0"/>
                    <w:jc w:val="center"/>
                    <w:rPr>
                      <w:rFonts w:hint="eastAsia" w:eastAsiaTheme="minorEastAsia"/>
                      <w:color w:val="auto"/>
                      <w:szCs w:val="21"/>
                      <w:lang w:val="en-US" w:eastAsia="zh-CN"/>
                    </w:rPr>
                  </w:pPr>
                  <w:r>
                    <w:rPr>
                      <w:rFonts w:eastAsiaTheme="minorEastAsia"/>
                      <w:color w:val="auto"/>
                      <w:szCs w:val="21"/>
                    </w:rPr>
                    <w:t>－</w:t>
                  </w:r>
                </w:p>
              </w:tc>
              <w:tc>
                <w:tcPr>
                  <w:tcW w:w="1261" w:type="dxa"/>
                  <w:shd w:val="clear" w:color="auto" w:fill="auto"/>
                  <w:vAlign w:val="center"/>
                </w:tcPr>
                <w:p w14:paraId="565C2AAB">
                  <w:pPr>
                    <w:snapToGrid w:val="0"/>
                    <w:jc w:val="center"/>
                    <w:rPr>
                      <w:rFonts w:eastAsiaTheme="minorEastAsia"/>
                      <w:color w:val="auto"/>
                      <w:szCs w:val="21"/>
                    </w:rPr>
                  </w:pPr>
                  <w:r>
                    <w:rPr>
                      <w:rFonts w:eastAsiaTheme="minorEastAsia"/>
                      <w:color w:val="auto"/>
                      <w:szCs w:val="21"/>
                    </w:rPr>
                    <w:t>－</w:t>
                  </w:r>
                </w:p>
              </w:tc>
            </w:tr>
          </w:tbl>
          <w:p w14:paraId="23B55707">
            <w:pPr>
              <w:ind w:firstLine="360" w:firstLineChars="200"/>
              <w:rPr>
                <w:rFonts w:eastAsiaTheme="minorEastAsia"/>
                <w:color w:val="auto"/>
                <w:sz w:val="18"/>
                <w:szCs w:val="18"/>
              </w:rPr>
            </w:pPr>
            <w:r>
              <w:rPr>
                <w:rFonts w:eastAsiaTheme="minorEastAsia"/>
                <w:color w:val="auto"/>
                <w:sz w:val="18"/>
                <w:szCs w:val="18"/>
              </w:rPr>
              <w:t>注：本项目</w:t>
            </w:r>
            <w:r>
              <w:rPr>
                <w:rFonts w:hint="eastAsia"/>
                <w:color w:val="auto"/>
                <w:sz w:val="18"/>
                <w:szCs w:val="18"/>
              </w:rPr>
              <w:t>绿化、</w:t>
            </w:r>
            <w:r>
              <w:rPr>
                <w:rFonts w:eastAsiaTheme="minorEastAsia"/>
                <w:color w:val="auto"/>
                <w:sz w:val="18"/>
                <w:szCs w:val="18"/>
              </w:rPr>
              <w:t>雨污分</w:t>
            </w:r>
            <w:r>
              <w:rPr>
                <w:rFonts w:ascii="Times New Roman" w:hAnsi="Times New Roman" w:cs="Times New Roman" w:eastAsiaTheme="minorEastAsia"/>
                <w:color w:val="auto"/>
                <w:sz w:val="18"/>
                <w:szCs w:val="18"/>
              </w:rPr>
              <w:t>流管网、规范化雨污水接管口、</w:t>
            </w:r>
            <w:r>
              <w:rPr>
                <w:rFonts w:hint="eastAsia" w:ascii="Times New Roman" w:hAnsi="Times New Roman" w:cs="Times New Roman" w:eastAsiaTheme="minorEastAsia"/>
                <w:color w:val="auto"/>
                <w:sz w:val="18"/>
                <w:szCs w:val="18"/>
                <w:lang w:eastAsia="zh-CN"/>
              </w:rPr>
              <w:t>雨水口应急截止阀及转换系统、</w:t>
            </w:r>
            <w:r>
              <w:rPr>
                <w:rFonts w:ascii="Times New Roman" w:hAnsi="Times New Roman" w:cs="Times New Roman" w:eastAsiaTheme="minorEastAsia"/>
                <w:color w:val="auto"/>
                <w:sz w:val="18"/>
                <w:szCs w:val="18"/>
              </w:rPr>
              <w:t>化粪池</w:t>
            </w:r>
            <w:r>
              <w:rPr>
                <w:rFonts w:hint="eastAsia" w:cs="Times New Roman" w:eastAsiaTheme="minorEastAsia"/>
                <w:color w:val="auto"/>
                <w:sz w:val="18"/>
                <w:szCs w:val="18"/>
                <w:lang w:eastAsia="zh-CN"/>
              </w:rPr>
              <w:t>、</w:t>
            </w:r>
            <w:r>
              <w:rPr>
                <w:rFonts w:hint="eastAsia" w:cs="Times New Roman" w:eastAsiaTheme="minorEastAsia"/>
                <w:color w:val="auto"/>
                <w:sz w:val="18"/>
                <w:szCs w:val="18"/>
                <w:lang w:val="en-US" w:eastAsia="zh-CN"/>
              </w:rPr>
              <w:t>事故应急池等均依托园区</w:t>
            </w:r>
            <w:r>
              <w:rPr>
                <w:rFonts w:ascii="Times New Roman" w:hAnsi="Times New Roman" w:cs="Times New Roman" w:eastAsiaTheme="minorEastAsia"/>
                <w:color w:val="auto"/>
                <w:sz w:val="18"/>
                <w:szCs w:val="18"/>
              </w:rPr>
              <w:t>现有</w:t>
            </w:r>
            <w:r>
              <w:rPr>
                <w:rFonts w:hint="eastAsia" w:cs="Times New Roman" w:eastAsiaTheme="minorEastAsia"/>
                <w:color w:val="auto"/>
                <w:sz w:val="18"/>
                <w:szCs w:val="18"/>
                <w:lang w:val="en-US" w:eastAsia="zh-CN"/>
              </w:rPr>
              <w:t>项目</w:t>
            </w:r>
            <w:r>
              <w:rPr>
                <w:rFonts w:ascii="Times New Roman" w:hAnsi="Times New Roman" w:cs="Times New Roman" w:eastAsiaTheme="minorEastAsia"/>
                <w:color w:val="auto"/>
                <w:sz w:val="18"/>
                <w:szCs w:val="18"/>
              </w:rPr>
              <w:t>环保设施，不纳入本项目环保投资范围。</w:t>
            </w:r>
          </w:p>
          <w:p w14:paraId="5EB8C5B2">
            <w:pPr>
              <w:pStyle w:val="43"/>
              <w:spacing w:line="240" w:lineRule="auto"/>
              <w:rPr>
                <w:color w:val="auto"/>
                <w:sz w:val="10"/>
                <w:szCs w:val="10"/>
              </w:rPr>
            </w:pPr>
          </w:p>
          <w:p w14:paraId="616DE95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bCs/>
                <w:color w:val="auto"/>
                <w:sz w:val="24"/>
                <w:szCs w:val="24"/>
              </w:rPr>
            </w:pPr>
            <w:r>
              <w:rPr>
                <w:rFonts w:hint="eastAsia" w:eastAsiaTheme="minorEastAsia"/>
                <w:color w:val="auto"/>
                <w:sz w:val="24"/>
                <w:szCs w:val="24"/>
                <w:lang w:val="en-US" w:eastAsia="zh-CN"/>
              </w:rPr>
              <w:t>5</w:t>
            </w:r>
            <w:r>
              <w:rPr>
                <w:rFonts w:hint="eastAsia" w:eastAsiaTheme="minorEastAsia"/>
                <w:color w:val="auto"/>
                <w:sz w:val="24"/>
                <w:szCs w:val="24"/>
              </w:rPr>
              <w:t>、</w:t>
            </w:r>
            <w:r>
              <w:rPr>
                <w:rFonts w:hint="eastAsia"/>
                <w:bCs/>
                <w:color w:val="auto"/>
                <w:sz w:val="24"/>
                <w:szCs w:val="24"/>
              </w:rPr>
              <w:t>储运工程</w:t>
            </w:r>
          </w:p>
          <w:p w14:paraId="1ECDA7D6">
            <w:pPr>
              <w:keepNext w:val="0"/>
              <w:keepLines w:val="0"/>
              <w:pageBreakBefore w:val="0"/>
              <w:widowControl w:val="0"/>
              <w:tabs>
                <w:tab w:val="left" w:pos="1602"/>
              </w:tabs>
              <w:kinsoku/>
              <w:wordWrap/>
              <w:overflowPunct/>
              <w:topLinePunct w:val="0"/>
              <w:autoSpaceDE/>
              <w:autoSpaceDN/>
              <w:bidi w:val="0"/>
              <w:adjustRightInd w:val="0"/>
              <w:snapToGrid w:val="0"/>
              <w:spacing w:line="360" w:lineRule="auto"/>
              <w:ind w:firstLine="480" w:firstLineChars="200"/>
              <w:textAlignment w:val="auto"/>
              <w:rPr>
                <w:color w:val="auto"/>
                <w:sz w:val="24"/>
                <w:szCs w:val="24"/>
              </w:rPr>
            </w:pPr>
            <w:r>
              <w:rPr>
                <w:bCs/>
                <w:color w:val="auto"/>
                <w:sz w:val="24"/>
                <w:szCs w:val="24"/>
              </w:rPr>
              <w:t>原辅材料</w:t>
            </w:r>
            <w:r>
              <w:rPr>
                <w:rFonts w:hint="eastAsia"/>
                <w:bCs/>
                <w:color w:val="auto"/>
                <w:sz w:val="24"/>
                <w:szCs w:val="24"/>
                <w:lang w:val="en-US" w:eastAsia="zh-CN"/>
              </w:rPr>
              <w:t>及产品</w:t>
            </w:r>
            <w:r>
              <w:rPr>
                <w:bCs/>
                <w:color w:val="auto"/>
                <w:sz w:val="24"/>
                <w:szCs w:val="24"/>
              </w:rPr>
              <w:t>进出厂均使用汽车运输。</w:t>
            </w:r>
            <w:r>
              <w:rPr>
                <w:rFonts w:hint="eastAsia" w:eastAsiaTheme="minorEastAsia"/>
                <w:color w:val="auto"/>
                <w:sz w:val="24"/>
                <w:szCs w:val="24"/>
              </w:rPr>
              <w:t>本项目拟于</w:t>
            </w:r>
            <w:r>
              <w:rPr>
                <w:rFonts w:hint="eastAsia" w:eastAsiaTheme="minorEastAsia"/>
                <w:color w:val="auto"/>
                <w:sz w:val="24"/>
                <w:szCs w:val="24"/>
                <w:lang w:val="en-US" w:eastAsia="zh-CN"/>
              </w:rPr>
              <w:t>生产车间内</w:t>
            </w:r>
            <w:r>
              <w:rPr>
                <w:rFonts w:hint="eastAsia" w:eastAsiaTheme="minorEastAsia"/>
                <w:color w:val="auto"/>
                <w:sz w:val="24"/>
                <w:szCs w:val="24"/>
              </w:rPr>
              <w:t>设</w:t>
            </w:r>
            <w:r>
              <w:rPr>
                <w:rFonts w:hint="eastAsia" w:eastAsiaTheme="minorEastAsia"/>
                <w:color w:val="auto"/>
                <w:sz w:val="24"/>
                <w:szCs w:val="24"/>
                <w:lang w:val="en-US" w:eastAsia="zh-CN"/>
              </w:rPr>
              <w:t>1</w:t>
            </w:r>
            <w:r>
              <w:rPr>
                <w:rFonts w:hint="eastAsia" w:eastAsiaTheme="minorEastAsia"/>
                <w:color w:val="auto"/>
                <w:sz w:val="24"/>
                <w:szCs w:val="24"/>
              </w:rPr>
              <w:t>个</w:t>
            </w:r>
            <w:r>
              <w:rPr>
                <w:rFonts w:hint="eastAsia" w:eastAsiaTheme="minorEastAsia"/>
                <w:color w:val="auto"/>
                <w:sz w:val="24"/>
                <w:szCs w:val="24"/>
                <w:lang w:val="en-US" w:eastAsia="zh-CN"/>
              </w:rPr>
              <w:t>100</w:t>
            </w:r>
            <w:r>
              <w:rPr>
                <w:rFonts w:hint="eastAsia" w:eastAsiaTheme="minorEastAsia"/>
                <w:color w:val="auto"/>
                <w:sz w:val="24"/>
                <w:szCs w:val="24"/>
              </w:rPr>
              <w:t>m</w:t>
            </w:r>
            <w:r>
              <w:rPr>
                <w:rFonts w:hint="eastAsia" w:eastAsiaTheme="minorEastAsia"/>
                <w:color w:val="auto"/>
                <w:sz w:val="24"/>
                <w:szCs w:val="24"/>
                <w:vertAlign w:val="superscript"/>
              </w:rPr>
              <w:t>2</w:t>
            </w:r>
            <w:r>
              <w:rPr>
                <w:rFonts w:hint="eastAsia" w:eastAsiaTheme="minorEastAsia"/>
                <w:color w:val="auto"/>
                <w:sz w:val="24"/>
                <w:szCs w:val="24"/>
                <w:vertAlign w:val="baseline"/>
                <w:lang w:val="en-US" w:eastAsia="zh-CN"/>
              </w:rPr>
              <w:t>的</w:t>
            </w:r>
            <w:r>
              <w:rPr>
                <w:rFonts w:hint="eastAsia"/>
                <w:bCs/>
                <w:color w:val="auto"/>
                <w:sz w:val="24"/>
                <w:szCs w:val="24"/>
                <w:lang w:val="en-US" w:eastAsia="zh-CN"/>
              </w:rPr>
              <w:t>原料仓库、1个100m</w:t>
            </w:r>
            <w:r>
              <w:rPr>
                <w:rFonts w:hint="eastAsia"/>
                <w:bCs/>
                <w:color w:val="auto"/>
                <w:sz w:val="24"/>
                <w:szCs w:val="24"/>
                <w:vertAlign w:val="superscript"/>
                <w:lang w:val="en-US" w:eastAsia="zh-CN"/>
              </w:rPr>
              <w:t>2</w:t>
            </w:r>
            <w:r>
              <w:rPr>
                <w:rFonts w:hint="eastAsia"/>
                <w:bCs/>
                <w:color w:val="auto"/>
                <w:sz w:val="24"/>
                <w:szCs w:val="24"/>
                <w:vertAlign w:val="baseline"/>
                <w:lang w:val="en-US" w:eastAsia="zh-CN"/>
              </w:rPr>
              <w:t>的成品仓库</w:t>
            </w:r>
            <w:r>
              <w:rPr>
                <w:bCs/>
                <w:color w:val="auto"/>
                <w:sz w:val="24"/>
                <w:szCs w:val="24"/>
              </w:rPr>
              <w:t>。</w:t>
            </w:r>
          </w:p>
          <w:p w14:paraId="615DF47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bCs/>
                <w:color w:val="auto"/>
                <w:sz w:val="24"/>
                <w:szCs w:val="24"/>
              </w:rPr>
            </w:pPr>
            <w:r>
              <w:rPr>
                <w:rFonts w:hint="eastAsia"/>
                <w:bCs/>
                <w:color w:val="auto"/>
                <w:sz w:val="24"/>
                <w:szCs w:val="24"/>
                <w:lang w:val="en-US" w:eastAsia="zh-CN"/>
              </w:rPr>
              <w:t>6</w:t>
            </w:r>
            <w:r>
              <w:rPr>
                <w:rFonts w:hint="eastAsia"/>
                <w:bCs/>
                <w:color w:val="auto"/>
                <w:sz w:val="24"/>
                <w:szCs w:val="24"/>
              </w:rPr>
              <w:t>、依托工程</w:t>
            </w:r>
          </w:p>
          <w:p w14:paraId="5F6EA0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Cs/>
                <w:color w:val="auto"/>
                <w:sz w:val="24"/>
                <w:szCs w:val="24"/>
              </w:rPr>
            </w:pPr>
            <w:r>
              <w:rPr>
                <w:rFonts w:hint="eastAsia"/>
                <w:bCs/>
                <w:color w:val="auto"/>
                <w:sz w:val="24"/>
                <w:szCs w:val="24"/>
              </w:rPr>
              <w:t>本项目的供电系统、给排水系统、绿化等公辅工程均依托</w:t>
            </w:r>
            <w:r>
              <w:rPr>
                <w:rFonts w:hint="eastAsia" w:eastAsiaTheme="minorEastAsia"/>
                <w:color w:val="auto"/>
                <w:sz w:val="24"/>
                <w:szCs w:val="24"/>
                <w:lang w:val="en-US" w:eastAsia="zh-CN"/>
              </w:rPr>
              <w:t>园区</w:t>
            </w:r>
            <w:r>
              <w:rPr>
                <w:rFonts w:hint="eastAsia"/>
                <w:bCs/>
                <w:color w:val="auto"/>
                <w:sz w:val="24"/>
                <w:szCs w:val="24"/>
              </w:rPr>
              <w:t>现有的公辅工程。</w:t>
            </w:r>
          </w:p>
          <w:p w14:paraId="3935BAD9">
            <w:pPr>
              <w:tabs>
                <w:tab w:val="left" w:pos="1602"/>
              </w:tabs>
              <w:adjustRightInd w:val="0"/>
              <w:snapToGrid w:val="0"/>
              <w:spacing w:line="336" w:lineRule="auto"/>
              <w:ind w:firstLine="480" w:firstLineChars="200"/>
              <w:rPr>
                <w:rFonts w:hint="eastAsia"/>
                <w:bCs/>
                <w:color w:val="auto"/>
                <w:sz w:val="24"/>
                <w:szCs w:val="24"/>
                <w:lang w:val="en-US" w:eastAsia="zh-CN"/>
              </w:rPr>
            </w:pPr>
            <w:r>
              <w:rPr>
                <w:rFonts w:hint="eastAsia"/>
                <w:bCs/>
                <w:color w:val="auto"/>
                <w:sz w:val="24"/>
                <w:szCs w:val="24"/>
                <w:lang w:val="en-US" w:eastAsia="zh-CN"/>
              </w:rPr>
              <w:t>公用及辅助工程见表2-3。</w:t>
            </w:r>
          </w:p>
          <w:p w14:paraId="68C6EBD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auto"/>
                <w:kern w:val="0"/>
                <w:sz w:val="24"/>
                <w:szCs w:val="28"/>
              </w:rPr>
            </w:pPr>
          </w:p>
          <w:p w14:paraId="4D97FEB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auto"/>
                <w:kern w:val="0"/>
                <w:sz w:val="24"/>
                <w:szCs w:val="28"/>
              </w:rPr>
            </w:pPr>
          </w:p>
          <w:p w14:paraId="0387B73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auto"/>
                <w:kern w:val="0"/>
                <w:sz w:val="24"/>
                <w:szCs w:val="28"/>
              </w:rPr>
            </w:pPr>
          </w:p>
          <w:p w14:paraId="2CD09FC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auto"/>
                <w:kern w:val="0"/>
                <w:sz w:val="24"/>
                <w:szCs w:val="28"/>
              </w:rPr>
            </w:pPr>
          </w:p>
          <w:p w14:paraId="575D7FE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auto"/>
                <w:kern w:val="0"/>
                <w:sz w:val="24"/>
                <w:szCs w:val="28"/>
              </w:rPr>
            </w:pPr>
            <w:r>
              <w:rPr>
                <w:rFonts w:hint="eastAsia" w:ascii="Times New Roman" w:hAnsi="Times New Roman" w:eastAsia="宋体" w:cs="Times New Roman"/>
                <w:b/>
                <w:color w:val="auto"/>
                <w:kern w:val="0"/>
                <w:sz w:val="24"/>
                <w:szCs w:val="28"/>
              </w:rPr>
              <w:t>表2-</w:t>
            </w:r>
            <w:r>
              <w:rPr>
                <w:rFonts w:hint="eastAsia" w:cs="Times New Roman"/>
                <w:b/>
                <w:color w:val="auto"/>
                <w:kern w:val="0"/>
                <w:sz w:val="24"/>
                <w:szCs w:val="28"/>
                <w:lang w:val="en-US" w:eastAsia="zh-CN"/>
              </w:rPr>
              <w:t>3</w:t>
            </w:r>
            <w:r>
              <w:rPr>
                <w:rFonts w:hint="eastAsia" w:ascii="Times New Roman" w:hAnsi="Times New Roman" w:eastAsia="宋体" w:cs="Times New Roman"/>
                <w:b/>
                <w:color w:val="auto"/>
                <w:kern w:val="0"/>
                <w:sz w:val="24"/>
                <w:szCs w:val="28"/>
              </w:rPr>
              <w:t>公用及辅助工程一览表</w:t>
            </w:r>
          </w:p>
          <w:tbl>
            <w:tblPr>
              <w:tblStyle w:val="36"/>
              <w:tblW w:w="50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90"/>
              <w:gridCol w:w="1279"/>
              <w:gridCol w:w="1060"/>
              <w:gridCol w:w="1712"/>
              <w:gridCol w:w="2886"/>
            </w:tblGrid>
            <w:tr w14:paraId="7F2EF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25" w:type="pct"/>
                  <w:tcBorders>
                    <w:tl2br w:val="nil"/>
                    <w:tr2bl w:val="nil"/>
                  </w:tcBorders>
                  <w:vAlign w:val="center"/>
                </w:tcPr>
                <w:p w14:paraId="18621233">
                  <w:pPr>
                    <w:pStyle w:val="43"/>
                    <w:spacing w:line="240" w:lineRule="auto"/>
                    <w:jc w:val="center"/>
                    <w:rPr>
                      <w:rFonts w:ascii="Times New Roman" w:hAnsi="Times New Roman" w:cs="Times New Roman" w:eastAsiaTheme="minorEastAsia"/>
                      <w:b/>
                      <w:bCs/>
                      <w:color w:val="auto"/>
                      <w:sz w:val="21"/>
                      <w:szCs w:val="21"/>
                    </w:rPr>
                  </w:pPr>
                  <w:r>
                    <w:rPr>
                      <w:rFonts w:ascii="Times New Roman" w:hAnsi="Times New Roman" w:cs="Times New Roman" w:eastAsiaTheme="minorEastAsia"/>
                      <w:b/>
                      <w:bCs/>
                      <w:color w:val="auto"/>
                      <w:sz w:val="21"/>
                      <w:szCs w:val="21"/>
                    </w:rPr>
                    <w:t>类别</w:t>
                  </w:r>
                </w:p>
              </w:tc>
              <w:tc>
                <w:tcPr>
                  <w:tcW w:w="1816" w:type="pct"/>
                  <w:gridSpan w:val="3"/>
                  <w:tcBorders>
                    <w:tl2br w:val="nil"/>
                    <w:tr2bl w:val="nil"/>
                  </w:tcBorders>
                  <w:vAlign w:val="center"/>
                </w:tcPr>
                <w:p w14:paraId="1A6D5429">
                  <w:pPr>
                    <w:pStyle w:val="43"/>
                    <w:spacing w:line="240" w:lineRule="auto"/>
                    <w:jc w:val="center"/>
                    <w:rPr>
                      <w:rFonts w:ascii="Times New Roman" w:hAnsi="Times New Roman" w:cs="Times New Roman" w:eastAsiaTheme="minorEastAsia"/>
                      <w:b/>
                      <w:bCs/>
                      <w:color w:val="auto"/>
                      <w:sz w:val="21"/>
                      <w:szCs w:val="21"/>
                    </w:rPr>
                  </w:pPr>
                  <w:r>
                    <w:rPr>
                      <w:rFonts w:ascii="Times New Roman" w:hAnsi="Times New Roman" w:cs="Times New Roman" w:eastAsiaTheme="minorEastAsia"/>
                      <w:b/>
                      <w:bCs/>
                      <w:color w:val="auto"/>
                      <w:sz w:val="21"/>
                      <w:szCs w:val="21"/>
                    </w:rPr>
                    <w:t>建设名称</w:t>
                  </w:r>
                </w:p>
              </w:tc>
              <w:tc>
                <w:tcPr>
                  <w:tcW w:w="1026" w:type="pct"/>
                  <w:tcBorders>
                    <w:tl2br w:val="nil"/>
                    <w:tr2bl w:val="nil"/>
                  </w:tcBorders>
                  <w:vAlign w:val="center"/>
                </w:tcPr>
                <w:p w14:paraId="31819956">
                  <w:pPr>
                    <w:pStyle w:val="43"/>
                    <w:spacing w:line="240" w:lineRule="auto"/>
                    <w:jc w:val="center"/>
                    <w:rPr>
                      <w:rFonts w:ascii="Times New Roman" w:hAnsi="Times New Roman" w:cs="Times New Roman" w:eastAsiaTheme="minorEastAsia"/>
                      <w:b/>
                      <w:bCs/>
                      <w:color w:val="auto"/>
                      <w:sz w:val="21"/>
                      <w:szCs w:val="21"/>
                    </w:rPr>
                  </w:pPr>
                  <w:r>
                    <w:rPr>
                      <w:rFonts w:ascii="Times New Roman" w:hAnsi="Times New Roman" w:cs="Times New Roman" w:eastAsiaTheme="minorEastAsia"/>
                      <w:b/>
                      <w:bCs/>
                      <w:color w:val="auto"/>
                      <w:sz w:val="21"/>
                      <w:szCs w:val="21"/>
                    </w:rPr>
                    <w:t>设计能力</w:t>
                  </w:r>
                </w:p>
              </w:tc>
              <w:tc>
                <w:tcPr>
                  <w:tcW w:w="1730" w:type="pct"/>
                  <w:tcBorders>
                    <w:tl2br w:val="nil"/>
                    <w:tr2bl w:val="nil"/>
                  </w:tcBorders>
                  <w:vAlign w:val="center"/>
                </w:tcPr>
                <w:p w14:paraId="54965268">
                  <w:pPr>
                    <w:pStyle w:val="43"/>
                    <w:spacing w:line="240" w:lineRule="auto"/>
                    <w:jc w:val="center"/>
                    <w:rPr>
                      <w:rFonts w:ascii="Times New Roman" w:hAnsi="Times New Roman" w:cs="Times New Roman" w:eastAsiaTheme="minorEastAsia"/>
                      <w:b/>
                      <w:bCs/>
                      <w:color w:val="auto"/>
                      <w:sz w:val="21"/>
                      <w:szCs w:val="21"/>
                    </w:rPr>
                  </w:pPr>
                  <w:r>
                    <w:rPr>
                      <w:rFonts w:ascii="Times New Roman" w:hAnsi="Times New Roman" w:cs="Times New Roman" w:eastAsiaTheme="minorEastAsia"/>
                      <w:b/>
                      <w:bCs/>
                      <w:color w:val="auto"/>
                      <w:sz w:val="21"/>
                      <w:szCs w:val="21"/>
                    </w:rPr>
                    <w:t>备注</w:t>
                  </w:r>
                </w:p>
              </w:tc>
            </w:tr>
            <w:tr w14:paraId="651E9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425" w:type="pct"/>
                  <w:vMerge w:val="restart"/>
                  <w:tcBorders>
                    <w:tl2br w:val="nil"/>
                    <w:tr2bl w:val="nil"/>
                  </w:tcBorders>
                  <w:vAlign w:val="center"/>
                </w:tcPr>
                <w:p w14:paraId="3AA3323E">
                  <w:pPr>
                    <w:pStyle w:val="43"/>
                    <w:spacing w:line="240" w:lineRule="auto"/>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贮运工程</w:t>
                  </w:r>
                </w:p>
              </w:tc>
              <w:tc>
                <w:tcPr>
                  <w:tcW w:w="1816" w:type="pct"/>
                  <w:gridSpan w:val="3"/>
                  <w:tcBorders>
                    <w:tl2br w:val="nil"/>
                    <w:tr2bl w:val="nil"/>
                  </w:tcBorders>
                  <w:vAlign w:val="center"/>
                </w:tcPr>
                <w:p w14:paraId="7175FE75">
                  <w:pPr>
                    <w:pStyle w:val="43"/>
                    <w:spacing w:line="240" w:lineRule="auto"/>
                    <w:jc w:val="center"/>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rPr>
                    <w:t>原料仓库</w:t>
                  </w:r>
                </w:p>
              </w:tc>
              <w:tc>
                <w:tcPr>
                  <w:tcW w:w="1026" w:type="pct"/>
                  <w:tcBorders>
                    <w:tl2br w:val="nil"/>
                    <w:tr2bl w:val="nil"/>
                  </w:tcBorders>
                  <w:shd w:val="clear" w:color="auto" w:fill="auto"/>
                  <w:vAlign w:val="center"/>
                </w:tcPr>
                <w:p w14:paraId="4FFEF2CB">
                  <w:pPr>
                    <w:pStyle w:val="43"/>
                    <w:spacing w:line="24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100m</w:t>
                  </w:r>
                  <w:r>
                    <w:rPr>
                      <w:rFonts w:hint="eastAsia" w:ascii="Times New Roman" w:hAnsi="Times New Roman" w:cs="Times New Roman" w:eastAsiaTheme="minorEastAsia"/>
                      <w:color w:val="auto"/>
                      <w:sz w:val="21"/>
                      <w:szCs w:val="21"/>
                      <w:vertAlign w:val="superscript"/>
                      <w:lang w:val="en-US" w:eastAsia="zh-CN"/>
                    </w:rPr>
                    <w:t>2</w:t>
                  </w:r>
                </w:p>
              </w:tc>
              <w:tc>
                <w:tcPr>
                  <w:tcW w:w="1730" w:type="pct"/>
                  <w:tcBorders>
                    <w:tl2br w:val="nil"/>
                    <w:tr2bl w:val="nil"/>
                  </w:tcBorders>
                  <w:shd w:val="clear" w:color="auto" w:fill="auto"/>
                  <w:vAlign w:val="center"/>
                </w:tcPr>
                <w:p w14:paraId="24FEF1D5">
                  <w:pPr>
                    <w:ind w:left="-105" w:leftChars="-50" w:right="-105" w:rightChars="-5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eastAsia="zh-CN"/>
                    </w:rPr>
                    <w:t>汽车运输，位于</w:t>
                  </w:r>
                  <w:r>
                    <w:rPr>
                      <w:rFonts w:hint="eastAsia" w:cs="Times New Roman"/>
                      <w:color w:val="auto"/>
                      <w:szCs w:val="21"/>
                      <w:lang w:val="en-US" w:eastAsia="zh-CN"/>
                    </w:rPr>
                    <w:t>生产车间内</w:t>
                  </w:r>
                </w:p>
              </w:tc>
            </w:tr>
            <w:tr w14:paraId="51DD5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425" w:type="pct"/>
                  <w:vMerge w:val="continue"/>
                  <w:tcBorders>
                    <w:tl2br w:val="nil"/>
                    <w:tr2bl w:val="nil"/>
                  </w:tcBorders>
                  <w:vAlign w:val="center"/>
                </w:tcPr>
                <w:p w14:paraId="08816A75">
                  <w:pPr>
                    <w:pStyle w:val="43"/>
                    <w:spacing w:line="240" w:lineRule="auto"/>
                    <w:jc w:val="center"/>
                    <w:rPr>
                      <w:rFonts w:ascii="Times New Roman" w:hAnsi="Times New Roman" w:cs="Times New Roman" w:eastAsiaTheme="minorEastAsia"/>
                      <w:color w:val="auto"/>
                      <w:sz w:val="21"/>
                      <w:szCs w:val="21"/>
                    </w:rPr>
                  </w:pPr>
                </w:p>
              </w:tc>
              <w:tc>
                <w:tcPr>
                  <w:tcW w:w="1816" w:type="pct"/>
                  <w:gridSpan w:val="3"/>
                  <w:tcBorders>
                    <w:tl2br w:val="nil"/>
                    <w:tr2bl w:val="nil"/>
                  </w:tcBorders>
                  <w:vAlign w:val="center"/>
                </w:tcPr>
                <w:p w14:paraId="6FD3CB3F">
                  <w:pPr>
                    <w:pStyle w:val="43"/>
                    <w:spacing w:line="240" w:lineRule="auto"/>
                    <w:jc w:val="center"/>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rPr>
                    <w:t>成品仓库</w:t>
                  </w:r>
                </w:p>
              </w:tc>
              <w:tc>
                <w:tcPr>
                  <w:tcW w:w="1026" w:type="pct"/>
                  <w:tcBorders>
                    <w:tl2br w:val="nil"/>
                    <w:tr2bl w:val="nil"/>
                  </w:tcBorders>
                  <w:shd w:val="clear" w:color="auto" w:fill="auto"/>
                  <w:vAlign w:val="center"/>
                </w:tcPr>
                <w:p w14:paraId="6DF440B1">
                  <w:pPr>
                    <w:pStyle w:val="43"/>
                    <w:spacing w:line="24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100m</w:t>
                  </w:r>
                  <w:r>
                    <w:rPr>
                      <w:rFonts w:hint="eastAsia" w:ascii="Times New Roman" w:hAnsi="Times New Roman" w:cs="Times New Roman" w:eastAsiaTheme="minorEastAsia"/>
                      <w:color w:val="auto"/>
                      <w:sz w:val="21"/>
                      <w:szCs w:val="21"/>
                      <w:vertAlign w:val="superscript"/>
                      <w:lang w:val="en-US" w:eastAsia="zh-CN"/>
                    </w:rPr>
                    <w:t>2</w:t>
                  </w:r>
                </w:p>
              </w:tc>
              <w:tc>
                <w:tcPr>
                  <w:tcW w:w="1730" w:type="pct"/>
                  <w:tcBorders>
                    <w:tl2br w:val="nil"/>
                    <w:tr2bl w:val="nil"/>
                  </w:tcBorders>
                  <w:shd w:val="clear" w:color="auto" w:fill="auto"/>
                  <w:vAlign w:val="center"/>
                </w:tcPr>
                <w:p w14:paraId="58C6037D">
                  <w:pPr>
                    <w:ind w:left="-105" w:leftChars="-50" w:right="-105" w:rightChars="-5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eastAsia="zh-CN"/>
                    </w:rPr>
                    <w:t>汽车运输，位于</w:t>
                  </w:r>
                  <w:r>
                    <w:rPr>
                      <w:rFonts w:hint="eastAsia" w:cs="Times New Roman"/>
                      <w:color w:val="auto"/>
                      <w:szCs w:val="21"/>
                      <w:lang w:val="en-US" w:eastAsia="zh-CN"/>
                    </w:rPr>
                    <w:t>生产车间内</w:t>
                  </w:r>
                </w:p>
              </w:tc>
            </w:tr>
            <w:tr w14:paraId="17A1A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restart"/>
                  <w:tcBorders>
                    <w:tl2br w:val="nil"/>
                    <w:tr2bl w:val="nil"/>
                  </w:tcBorders>
                  <w:vAlign w:val="center"/>
                </w:tcPr>
                <w:p w14:paraId="60CE33A5">
                  <w:pPr>
                    <w:pStyle w:val="43"/>
                    <w:spacing w:line="240" w:lineRule="auto"/>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公用工程</w:t>
                  </w:r>
                </w:p>
              </w:tc>
              <w:tc>
                <w:tcPr>
                  <w:tcW w:w="1816" w:type="pct"/>
                  <w:gridSpan w:val="3"/>
                  <w:tcBorders>
                    <w:tl2br w:val="nil"/>
                    <w:tr2bl w:val="nil"/>
                  </w:tcBorders>
                  <w:vAlign w:val="center"/>
                </w:tcPr>
                <w:p w14:paraId="2FE74F34">
                  <w:pPr>
                    <w:ind w:left="-105" w:leftChars="-50" w:right="-105" w:rightChars="-5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给水</w:t>
                  </w:r>
                </w:p>
              </w:tc>
              <w:tc>
                <w:tcPr>
                  <w:tcW w:w="1026" w:type="pct"/>
                  <w:tcBorders>
                    <w:tl2br w:val="nil"/>
                    <w:tr2bl w:val="nil"/>
                  </w:tcBorders>
                  <w:vAlign w:val="center"/>
                </w:tcPr>
                <w:p w14:paraId="49170582">
                  <w:pPr>
                    <w:ind w:left="-105" w:leftChars="-50" w:right="-105" w:rightChars="-50"/>
                    <w:jc w:val="center"/>
                    <w:rPr>
                      <w:rFonts w:hint="eastAsia" w:cs="Times New Roman"/>
                      <w:color w:val="auto"/>
                      <w:szCs w:val="21"/>
                      <w:lang w:val="en-US" w:eastAsia="zh-CN"/>
                    </w:rPr>
                  </w:pPr>
                  <w:r>
                    <w:rPr>
                      <w:rFonts w:hint="eastAsia" w:cs="Times New Roman" w:eastAsiaTheme="minorEastAsia"/>
                      <w:color w:val="auto"/>
                      <w:sz w:val="21"/>
                      <w:szCs w:val="21"/>
                      <w:lang w:val="en-US" w:eastAsia="zh-CN"/>
                    </w:rPr>
                    <w:t>720</w:t>
                  </w:r>
                  <w:r>
                    <w:rPr>
                      <w:rFonts w:hint="eastAsia" w:ascii="Times New Roman" w:hAnsi="Times New Roman" w:cs="Times New Roman" w:eastAsiaTheme="minorEastAsia"/>
                      <w:color w:val="auto"/>
                      <w:sz w:val="21"/>
                      <w:szCs w:val="21"/>
                      <w:lang w:val="en-US" w:eastAsia="zh-CN"/>
                    </w:rPr>
                    <w:t>m</w:t>
                  </w:r>
                  <w:r>
                    <w:rPr>
                      <w:rFonts w:hint="eastAsia" w:ascii="Times New Roman" w:hAnsi="Times New Roman" w:cs="Times New Roman" w:eastAsiaTheme="minorEastAsia"/>
                      <w:color w:val="auto"/>
                      <w:sz w:val="21"/>
                      <w:szCs w:val="21"/>
                      <w:vertAlign w:val="superscript"/>
                      <w:lang w:val="en-US" w:eastAsia="zh-CN"/>
                    </w:rPr>
                    <w:t>3</w:t>
                  </w:r>
                </w:p>
              </w:tc>
              <w:tc>
                <w:tcPr>
                  <w:tcW w:w="1730" w:type="pct"/>
                  <w:tcBorders>
                    <w:tl2br w:val="nil"/>
                    <w:tr2bl w:val="nil"/>
                  </w:tcBorders>
                  <w:shd w:val="clear" w:color="auto" w:fill="auto"/>
                  <w:vAlign w:val="center"/>
                </w:tcPr>
                <w:p w14:paraId="68046BF3">
                  <w:pPr>
                    <w:ind w:left="-105" w:leftChars="-50" w:right="-105" w:rightChars="-5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均来自当地市政自来水管网</w:t>
                  </w:r>
                </w:p>
              </w:tc>
            </w:tr>
            <w:tr w14:paraId="161C2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l2br w:val="nil"/>
                    <w:tr2bl w:val="nil"/>
                  </w:tcBorders>
                  <w:vAlign w:val="center"/>
                </w:tcPr>
                <w:p w14:paraId="417BC4C5">
                  <w:pPr>
                    <w:pStyle w:val="43"/>
                    <w:spacing w:line="240" w:lineRule="auto"/>
                    <w:jc w:val="center"/>
                    <w:rPr>
                      <w:rFonts w:ascii="Times New Roman" w:hAnsi="Times New Roman" w:cs="Times New Roman" w:eastAsiaTheme="minorEastAsia"/>
                      <w:color w:val="FF0000"/>
                      <w:sz w:val="21"/>
                      <w:szCs w:val="21"/>
                    </w:rPr>
                  </w:pPr>
                </w:p>
              </w:tc>
              <w:tc>
                <w:tcPr>
                  <w:tcW w:w="1816" w:type="pct"/>
                  <w:gridSpan w:val="3"/>
                  <w:tcBorders>
                    <w:tl2br w:val="nil"/>
                    <w:tr2bl w:val="nil"/>
                  </w:tcBorders>
                  <w:vAlign w:val="center"/>
                </w:tcPr>
                <w:p w14:paraId="3C4A9BF4">
                  <w:pPr>
                    <w:ind w:left="-105" w:leftChars="-50" w:right="-105" w:rightChars="-5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排水</w:t>
                  </w:r>
                </w:p>
              </w:tc>
              <w:tc>
                <w:tcPr>
                  <w:tcW w:w="1026" w:type="pct"/>
                  <w:tcBorders>
                    <w:tl2br w:val="nil"/>
                    <w:tr2bl w:val="nil"/>
                  </w:tcBorders>
                  <w:shd w:val="clear" w:color="auto" w:fill="auto"/>
                  <w:vAlign w:val="center"/>
                </w:tcPr>
                <w:p w14:paraId="69CB8E3F">
                  <w:pPr>
                    <w:ind w:left="-105" w:leftChars="-50" w:right="-105" w:rightChars="-5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6</w:t>
                  </w:r>
                  <w:r>
                    <w:rPr>
                      <w:rFonts w:hint="eastAsia" w:cs="Times New Roman" w:eastAsiaTheme="minorEastAsia"/>
                      <w:color w:val="auto"/>
                      <w:sz w:val="21"/>
                      <w:szCs w:val="21"/>
                      <w:lang w:val="en-US" w:eastAsia="zh-CN"/>
                    </w:rPr>
                    <w:t>48</w:t>
                  </w:r>
                  <w:r>
                    <w:rPr>
                      <w:rFonts w:hint="eastAsia" w:ascii="Times New Roman" w:hAnsi="Times New Roman" w:cs="Times New Roman" w:eastAsiaTheme="minorEastAsia"/>
                      <w:color w:val="auto"/>
                      <w:sz w:val="21"/>
                      <w:szCs w:val="21"/>
                      <w:lang w:val="en-US" w:eastAsia="zh-CN"/>
                    </w:rPr>
                    <w:t>m</w:t>
                  </w:r>
                  <w:r>
                    <w:rPr>
                      <w:rFonts w:hint="eastAsia" w:ascii="Times New Roman" w:hAnsi="Times New Roman" w:cs="Times New Roman" w:eastAsiaTheme="minorEastAsia"/>
                      <w:color w:val="auto"/>
                      <w:sz w:val="21"/>
                      <w:szCs w:val="21"/>
                      <w:vertAlign w:val="superscript"/>
                      <w:lang w:val="en-US" w:eastAsia="zh-CN"/>
                    </w:rPr>
                    <w:t>3</w:t>
                  </w:r>
                </w:p>
              </w:tc>
              <w:tc>
                <w:tcPr>
                  <w:tcW w:w="1730" w:type="pct"/>
                  <w:tcBorders>
                    <w:tl2br w:val="nil"/>
                    <w:tr2bl w:val="nil"/>
                  </w:tcBorders>
                  <w:shd w:val="clear" w:color="auto" w:fill="auto"/>
                  <w:vAlign w:val="center"/>
                </w:tcPr>
                <w:p w14:paraId="4C94DCB4">
                  <w:pPr>
                    <w:ind w:left="-105" w:leftChars="-50" w:right="-105" w:rightChars="-5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eastAsia="zh-CN"/>
                    </w:rPr>
                    <w:t>生活污水经</w:t>
                  </w:r>
                  <w:r>
                    <w:rPr>
                      <w:rFonts w:hint="eastAsia" w:cs="Times New Roman"/>
                      <w:color w:val="auto"/>
                      <w:szCs w:val="21"/>
                      <w:lang w:val="en-US" w:eastAsia="zh-CN"/>
                    </w:rPr>
                    <w:t>化粪池</w:t>
                  </w:r>
                  <w:r>
                    <w:rPr>
                      <w:rFonts w:hint="eastAsia" w:ascii="Times New Roman" w:hAnsi="Times New Roman" w:cs="Times New Roman"/>
                      <w:color w:val="auto"/>
                      <w:szCs w:val="21"/>
                      <w:lang w:eastAsia="zh-CN"/>
                    </w:rPr>
                    <w:t>预处理后接管排入</w:t>
                  </w:r>
                  <w:r>
                    <w:rPr>
                      <w:rFonts w:hint="eastAsia" w:cs="Times New Roman"/>
                      <w:color w:val="auto"/>
                      <w:szCs w:val="21"/>
                      <w:lang w:eastAsia="zh-CN"/>
                    </w:rPr>
                    <w:t>常州</w:t>
                  </w:r>
                  <w:r>
                    <w:rPr>
                      <w:rFonts w:hint="eastAsia" w:cs="Times New Roman"/>
                      <w:color w:val="auto"/>
                      <w:szCs w:val="21"/>
                      <w:lang w:val="en-US" w:eastAsia="zh-CN"/>
                    </w:rPr>
                    <w:t>市江边</w:t>
                  </w:r>
                  <w:r>
                    <w:rPr>
                      <w:rFonts w:hint="eastAsia" w:cs="Times New Roman"/>
                      <w:color w:val="auto"/>
                      <w:szCs w:val="21"/>
                      <w:lang w:eastAsia="zh-CN"/>
                    </w:rPr>
                    <w:t>污水处理</w:t>
                  </w:r>
                  <w:r>
                    <w:rPr>
                      <w:rFonts w:hint="eastAsia" w:cs="Times New Roman"/>
                      <w:color w:val="auto"/>
                      <w:szCs w:val="21"/>
                      <w:lang w:val="en-US" w:eastAsia="zh-CN"/>
                    </w:rPr>
                    <w:t>厂</w:t>
                  </w:r>
                  <w:r>
                    <w:rPr>
                      <w:rFonts w:hint="eastAsia" w:ascii="Times New Roman" w:hAnsi="Times New Roman" w:cs="Times New Roman"/>
                      <w:color w:val="auto"/>
                      <w:szCs w:val="21"/>
                      <w:lang w:eastAsia="zh-CN"/>
                    </w:rPr>
                    <w:t>集中处理，尾水最终排入</w:t>
                  </w:r>
                  <w:r>
                    <w:rPr>
                      <w:rFonts w:hint="eastAsia" w:cs="Times New Roman"/>
                      <w:color w:val="auto"/>
                      <w:szCs w:val="21"/>
                      <w:lang w:eastAsia="zh-CN"/>
                    </w:rPr>
                    <w:t>长江</w:t>
                  </w:r>
                </w:p>
              </w:tc>
            </w:tr>
            <w:tr w14:paraId="3946D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425" w:type="pct"/>
                  <w:vMerge w:val="continue"/>
                  <w:tcBorders>
                    <w:tl2br w:val="nil"/>
                    <w:tr2bl w:val="nil"/>
                  </w:tcBorders>
                  <w:vAlign w:val="center"/>
                </w:tcPr>
                <w:p w14:paraId="743090CE">
                  <w:pPr>
                    <w:pStyle w:val="43"/>
                    <w:spacing w:line="240" w:lineRule="auto"/>
                    <w:jc w:val="center"/>
                    <w:rPr>
                      <w:rFonts w:ascii="Times New Roman" w:hAnsi="Times New Roman" w:cs="Times New Roman" w:eastAsiaTheme="minorEastAsia"/>
                      <w:color w:val="FF0000"/>
                      <w:sz w:val="21"/>
                      <w:szCs w:val="21"/>
                    </w:rPr>
                  </w:pPr>
                </w:p>
              </w:tc>
              <w:tc>
                <w:tcPr>
                  <w:tcW w:w="1816" w:type="pct"/>
                  <w:gridSpan w:val="3"/>
                  <w:tcBorders>
                    <w:tl2br w:val="nil"/>
                    <w:tr2bl w:val="nil"/>
                  </w:tcBorders>
                  <w:vAlign w:val="center"/>
                </w:tcPr>
                <w:p w14:paraId="160A8BD6">
                  <w:pPr>
                    <w:ind w:left="-105" w:leftChars="-50" w:right="-105" w:rightChars="-5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供电</w:t>
                  </w:r>
                </w:p>
              </w:tc>
              <w:tc>
                <w:tcPr>
                  <w:tcW w:w="1026" w:type="pct"/>
                  <w:tcBorders>
                    <w:tl2br w:val="nil"/>
                    <w:tr2bl w:val="nil"/>
                  </w:tcBorders>
                  <w:vAlign w:val="center"/>
                </w:tcPr>
                <w:p w14:paraId="13F655F4">
                  <w:pPr>
                    <w:ind w:left="-105" w:leftChars="-50" w:right="-105" w:rightChars="-5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2</w:t>
                  </w:r>
                  <w:r>
                    <w:rPr>
                      <w:rFonts w:hint="eastAsia" w:ascii="Times New Roman" w:hAnsi="Times New Roman" w:eastAsia="宋体" w:cs="Times New Roman"/>
                      <w:color w:val="auto"/>
                      <w:szCs w:val="21"/>
                      <w:lang w:val="en-US" w:eastAsia="zh-CN"/>
                    </w:rPr>
                    <w:t>0万千瓦·时/年</w:t>
                  </w:r>
                </w:p>
              </w:tc>
              <w:tc>
                <w:tcPr>
                  <w:tcW w:w="1730" w:type="pct"/>
                  <w:tcBorders>
                    <w:tl2br w:val="nil"/>
                    <w:tr2bl w:val="nil"/>
                  </w:tcBorders>
                  <w:vAlign w:val="center"/>
                </w:tcPr>
                <w:p w14:paraId="2DFCBD0F">
                  <w:pPr>
                    <w:ind w:left="-105" w:leftChars="-50" w:right="-105" w:rightChars="-5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来自当地市政电网</w:t>
                  </w:r>
                </w:p>
              </w:tc>
            </w:tr>
            <w:tr w14:paraId="3871C3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425" w:type="pct"/>
                  <w:vMerge w:val="continue"/>
                  <w:tcBorders>
                    <w:tl2br w:val="nil"/>
                    <w:tr2bl w:val="nil"/>
                  </w:tcBorders>
                  <w:vAlign w:val="center"/>
                </w:tcPr>
                <w:p w14:paraId="7BFA0710">
                  <w:pPr>
                    <w:pStyle w:val="43"/>
                    <w:spacing w:line="240" w:lineRule="auto"/>
                    <w:jc w:val="center"/>
                    <w:rPr>
                      <w:rFonts w:ascii="Times New Roman" w:hAnsi="Times New Roman" w:cs="Times New Roman" w:eastAsiaTheme="minorEastAsia"/>
                      <w:color w:val="FF0000"/>
                      <w:sz w:val="21"/>
                      <w:szCs w:val="21"/>
                    </w:rPr>
                  </w:pPr>
                </w:p>
              </w:tc>
              <w:tc>
                <w:tcPr>
                  <w:tcW w:w="1816" w:type="pct"/>
                  <w:gridSpan w:val="3"/>
                  <w:tcBorders>
                    <w:tl2br w:val="nil"/>
                    <w:tr2bl w:val="nil"/>
                  </w:tcBorders>
                  <w:vAlign w:val="center"/>
                </w:tcPr>
                <w:p w14:paraId="7623E808">
                  <w:pPr>
                    <w:ind w:left="-105" w:leftChars="-50" w:right="-105" w:rightChars="-5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绿化</w:t>
                  </w:r>
                </w:p>
              </w:tc>
              <w:tc>
                <w:tcPr>
                  <w:tcW w:w="1026" w:type="pct"/>
                  <w:tcBorders>
                    <w:tl2br w:val="nil"/>
                    <w:tr2bl w:val="nil"/>
                  </w:tcBorders>
                  <w:vAlign w:val="center"/>
                </w:tcPr>
                <w:p w14:paraId="2AA477BD">
                  <w:pPr>
                    <w:ind w:left="-105" w:leftChars="-50" w:right="-105" w:rightChars="-50"/>
                    <w:jc w:val="center"/>
                    <w:rPr>
                      <w:rFonts w:hint="eastAsia" w:cs="Times New Roman"/>
                      <w:color w:val="auto"/>
                      <w:szCs w:val="21"/>
                      <w:lang w:val="en-US" w:eastAsia="zh-CN"/>
                    </w:rPr>
                  </w:pPr>
                  <w:r>
                    <w:rPr>
                      <w:rFonts w:hint="eastAsia" w:cs="Times New Roman"/>
                      <w:color w:val="auto"/>
                      <w:szCs w:val="21"/>
                      <w:lang w:val="en-US" w:eastAsia="zh-CN"/>
                    </w:rPr>
                    <w:t>10%</w:t>
                  </w:r>
                </w:p>
              </w:tc>
              <w:tc>
                <w:tcPr>
                  <w:tcW w:w="1730" w:type="pct"/>
                  <w:tcBorders>
                    <w:tl2br w:val="nil"/>
                    <w:tr2bl w:val="nil"/>
                  </w:tcBorders>
                  <w:vAlign w:val="center"/>
                </w:tcPr>
                <w:p w14:paraId="372F22D5">
                  <w:pPr>
                    <w:ind w:left="-105" w:leftChars="-50" w:right="-105" w:rightChars="-5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依托</w:t>
                  </w:r>
                  <w:r>
                    <w:rPr>
                      <w:rFonts w:hint="eastAsia" w:cs="Times New Roman"/>
                      <w:color w:val="auto"/>
                      <w:szCs w:val="21"/>
                      <w:lang w:val="en-US" w:eastAsia="zh-CN"/>
                    </w:rPr>
                    <w:t>园区</w:t>
                  </w:r>
                  <w:r>
                    <w:rPr>
                      <w:rFonts w:hint="eastAsia" w:ascii="Times New Roman" w:hAnsi="Times New Roman" w:eastAsia="宋体" w:cs="Times New Roman"/>
                      <w:color w:val="auto"/>
                      <w:szCs w:val="21"/>
                      <w:lang w:val="en-US" w:eastAsia="zh-CN"/>
                    </w:rPr>
                    <w:t>现有绿化</w:t>
                  </w:r>
                </w:p>
              </w:tc>
            </w:tr>
            <w:tr w14:paraId="206E3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25" w:type="pct"/>
                  <w:vMerge w:val="continue"/>
                  <w:tcBorders>
                    <w:tl2br w:val="nil"/>
                    <w:tr2bl w:val="nil"/>
                  </w:tcBorders>
                  <w:vAlign w:val="center"/>
                </w:tcPr>
                <w:p w14:paraId="57A7C3DC">
                  <w:pPr>
                    <w:pStyle w:val="43"/>
                    <w:spacing w:line="240" w:lineRule="auto"/>
                    <w:jc w:val="center"/>
                    <w:rPr>
                      <w:rFonts w:ascii="Times New Roman" w:hAnsi="Times New Roman" w:cs="Times New Roman" w:eastAsiaTheme="minorEastAsia"/>
                      <w:color w:val="FF0000"/>
                      <w:sz w:val="21"/>
                      <w:szCs w:val="21"/>
                    </w:rPr>
                  </w:pPr>
                </w:p>
              </w:tc>
              <w:tc>
                <w:tcPr>
                  <w:tcW w:w="1816" w:type="pct"/>
                  <w:gridSpan w:val="3"/>
                  <w:vMerge w:val="restart"/>
                  <w:tcBorders>
                    <w:tl2br w:val="nil"/>
                    <w:tr2bl w:val="nil"/>
                  </w:tcBorders>
                  <w:vAlign w:val="center"/>
                </w:tcPr>
                <w:p w14:paraId="1C0C7EFB">
                  <w:pPr>
                    <w:ind w:left="-105" w:leftChars="-50" w:right="-105" w:rightChars="-5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压缩空气</w:t>
                  </w:r>
                </w:p>
              </w:tc>
              <w:tc>
                <w:tcPr>
                  <w:tcW w:w="1026" w:type="pct"/>
                  <w:tcBorders>
                    <w:tl2br w:val="nil"/>
                    <w:tr2bl w:val="nil"/>
                  </w:tcBorders>
                  <w:shd w:val="clear" w:color="auto" w:fill="auto"/>
                  <w:vAlign w:val="center"/>
                </w:tcPr>
                <w:p w14:paraId="722FEE32">
                  <w:pPr>
                    <w:jc w:val="center"/>
                    <w:rPr>
                      <w:rFonts w:hint="eastAsia"/>
                      <w:color w:val="auto"/>
                      <w:sz w:val="21"/>
                      <w:szCs w:val="21"/>
                      <w:lang w:eastAsia="zh-CN"/>
                    </w:rPr>
                  </w:pPr>
                  <w:r>
                    <w:rPr>
                      <w:rFonts w:hint="eastAsia"/>
                      <w:color w:val="auto"/>
                      <w:sz w:val="21"/>
                      <w:szCs w:val="21"/>
                      <w:lang w:eastAsia="zh-CN"/>
                    </w:rPr>
                    <w:t>空压机</w:t>
                  </w:r>
                </w:p>
                <w:p w14:paraId="55FC900E">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w:t>
                  </w:r>
                  <w:r>
                    <w:rPr>
                      <w:rFonts w:hint="eastAsia"/>
                      <w:color w:val="auto"/>
                      <w:sz w:val="21"/>
                      <w:szCs w:val="21"/>
                      <w:lang w:val="en-US" w:eastAsia="zh-CN"/>
                    </w:rPr>
                    <w:t>1台，</w:t>
                  </w:r>
                  <w:r>
                    <w:rPr>
                      <w:rFonts w:hint="eastAsia" w:eastAsia="宋体" w:cs="Times New Roman"/>
                      <w:color w:val="auto"/>
                      <w:sz w:val="21"/>
                      <w:szCs w:val="21"/>
                      <w:lang w:val="en-US" w:eastAsia="zh-CN"/>
                    </w:rPr>
                    <w:t>0.</w:t>
                  </w:r>
                  <w:r>
                    <w:rPr>
                      <w:rFonts w:hint="eastAsia" w:cs="Times New Roman"/>
                      <w:color w:val="auto"/>
                      <w:sz w:val="21"/>
                      <w:szCs w:val="21"/>
                      <w:lang w:val="en-US" w:eastAsia="zh-CN"/>
                    </w:rPr>
                    <w:t>9</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/min</w:t>
                  </w:r>
                  <w:r>
                    <w:rPr>
                      <w:rFonts w:hint="eastAsia"/>
                      <w:color w:val="auto"/>
                      <w:sz w:val="21"/>
                      <w:szCs w:val="21"/>
                      <w:lang w:eastAsia="zh-CN"/>
                    </w:rPr>
                    <w:t>）</w:t>
                  </w:r>
                </w:p>
              </w:tc>
              <w:tc>
                <w:tcPr>
                  <w:tcW w:w="1730" w:type="pct"/>
                  <w:vMerge w:val="restart"/>
                  <w:tcBorders>
                    <w:tl2br w:val="nil"/>
                    <w:tr2bl w:val="nil"/>
                  </w:tcBorders>
                  <w:vAlign w:val="center"/>
                </w:tcPr>
                <w:p w14:paraId="05456147">
                  <w:pPr>
                    <w:jc w:val="center"/>
                    <w:rPr>
                      <w:rFonts w:hint="eastAsia"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为生产设备提供空气动力</w:t>
                  </w:r>
                </w:p>
              </w:tc>
            </w:tr>
            <w:tr w14:paraId="2C304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25" w:type="pct"/>
                  <w:vMerge w:val="continue"/>
                  <w:tcBorders>
                    <w:tl2br w:val="nil"/>
                    <w:tr2bl w:val="nil"/>
                  </w:tcBorders>
                  <w:vAlign w:val="center"/>
                </w:tcPr>
                <w:p w14:paraId="197AD8FD">
                  <w:pPr>
                    <w:pStyle w:val="43"/>
                    <w:spacing w:line="240" w:lineRule="auto"/>
                    <w:jc w:val="center"/>
                    <w:rPr>
                      <w:rFonts w:ascii="Times New Roman" w:hAnsi="Times New Roman" w:cs="Times New Roman" w:eastAsiaTheme="minorEastAsia"/>
                      <w:color w:val="FF0000"/>
                      <w:sz w:val="21"/>
                      <w:szCs w:val="21"/>
                    </w:rPr>
                  </w:pPr>
                </w:p>
              </w:tc>
              <w:tc>
                <w:tcPr>
                  <w:tcW w:w="1816" w:type="pct"/>
                  <w:gridSpan w:val="3"/>
                  <w:vMerge w:val="continue"/>
                  <w:tcBorders>
                    <w:tl2br w:val="nil"/>
                    <w:tr2bl w:val="nil"/>
                  </w:tcBorders>
                  <w:vAlign w:val="center"/>
                </w:tcPr>
                <w:p w14:paraId="11458039">
                  <w:pPr>
                    <w:ind w:left="-105" w:leftChars="-50" w:right="-105" w:rightChars="-50"/>
                    <w:jc w:val="center"/>
                    <w:rPr>
                      <w:rFonts w:hint="eastAsia" w:cs="Times New Roman"/>
                      <w:color w:val="auto"/>
                      <w:szCs w:val="21"/>
                      <w:lang w:val="en-US" w:eastAsia="zh-CN"/>
                    </w:rPr>
                  </w:pPr>
                </w:p>
              </w:tc>
              <w:tc>
                <w:tcPr>
                  <w:tcW w:w="1026" w:type="pct"/>
                  <w:tcBorders>
                    <w:tl2br w:val="nil"/>
                    <w:tr2bl w:val="nil"/>
                  </w:tcBorders>
                  <w:shd w:val="clear" w:color="auto" w:fill="auto"/>
                  <w:vAlign w:val="center"/>
                </w:tcPr>
                <w:p w14:paraId="227E42EF">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储气罐（</w:t>
                  </w:r>
                  <w:r>
                    <w:rPr>
                      <w:rFonts w:hint="eastAsia"/>
                      <w:color w:val="auto"/>
                      <w:szCs w:val="21"/>
                      <w:lang w:val="en-US" w:eastAsia="zh-CN"/>
                    </w:rPr>
                    <w:t>1个，单个容量：1m</w:t>
                  </w:r>
                  <w:r>
                    <w:rPr>
                      <w:rFonts w:hint="eastAsia"/>
                      <w:color w:val="auto"/>
                      <w:szCs w:val="21"/>
                      <w:vertAlign w:val="superscript"/>
                      <w:lang w:val="en-US" w:eastAsia="zh-CN"/>
                    </w:rPr>
                    <w:t>3</w:t>
                  </w:r>
                  <w:r>
                    <w:rPr>
                      <w:rFonts w:hint="eastAsia"/>
                      <w:color w:val="auto"/>
                      <w:szCs w:val="21"/>
                      <w:lang w:eastAsia="zh-CN"/>
                    </w:rPr>
                    <w:t>）</w:t>
                  </w:r>
                </w:p>
              </w:tc>
              <w:tc>
                <w:tcPr>
                  <w:tcW w:w="1730" w:type="pct"/>
                  <w:vMerge w:val="continue"/>
                  <w:tcBorders>
                    <w:tl2br w:val="nil"/>
                    <w:tr2bl w:val="nil"/>
                  </w:tcBorders>
                  <w:vAlign w:val="center"/>
                </w:tcPr>
                <w:p w14:paraId="6BA8C53F">
                  <w:pPr>
                    <w:jc w:val="center"/>
                    <w:rPr>
                      <w:rFonts w:hint="eastAsia" w:cs="Times New Roman"/>
                      <w:color w:val="auto"/>
                      <w:sz w:val="21"/>
                      <w:szCs w:val="21"/>
                      <w:lang w:val="en-US" w:eastAsia="zh-CN"/>
                    </w:rPr>
                  </w:pPr>
                </w:p>
              </w:tc>
            </w:tr>
            <w:tr w14:paraId="2F4B0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25" w:type="pct"/>
                  <w:vMerge w:val="restart"/>
                  <w:tcBorders>
                    <w:tl2br w:val="nil"/>
                    <w:tr2bl w:val="nil"/>
                  </w:tcBorders>
                  <w:vAlign w:val="center"/>
                </w:tcPr>
                <w:p w14:paraId="2BB9933A">
                  <w:pPr>
                    <w:pStyle w:val="43"/>
                    <w:spacing w:line="240" w:lineRule="auto"/>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环保工程</w:t>
                  </w:r>
                </w:p>
              </w:tc>
              <w:tc>
                <w:tcPr>
                  <w:tcW w:w="413" w:type="pct"/>
                  <w:vMerge w:val="restart"/>
                  <w:tcBorders>
                    <w:tl2br w:val="nil"/>
                    <w:tr2bl w:val="nil"/>
                  </w:tcBorders>
                  <w:vAlign w:val="center"/>
                </w:tcPr>
                <w:p w14:paraId="6ABE5CF4">
                  <w:pPr>
                    <w:jc w:val="center"/>
                    <w:rPr>
                      <w:rFonts w:hint="default" w:eastAsia="宋体"/>
                      <w:color w:val="auto"/>
                      <w:szCs w:val="21"/>
                      <w:lang w:val="en-US" w:eastAsia="zh-CN"/>
                    </w:rPr>
                  </w:pPr>
                  <w:r>
                    <w:rPr>
                      <w:rFonts w:hint="eastAsia"/>
                      <w:color w:val="auto"/>
                      <w:szCs w:val="21"/>
                      <w:lang w:val="en-US" w:eastAsia="zh-CN"/>
                    </w:rPr>
                    <w:t>废气治理</w:t>
                  </w:r>
                </w:p>
              </w:tc>
              <w:tc>
                <w:tcPr>
                  <w:tcW w:w="767" w:type="pct"/>
                  <w:tcBorders>
                    <w:tl2br w:val="nil"/>
                    <w:tr2bl w:val="nil"/>
                  </w:tcBorders>
                  <w:vAlign w:val="center"/>
                </w:tcPr>
                <w:p w14:paraId="08AF7021">
                  <w:pPr>
                    <w:ind w:left="-105" w:leftChars="-50" w:right="-105" w:rightChars="-50"/>
                    <w:jc w:val="center"/>
                    <w:rPr>
                      <w:rFonts w:hint="default" w:eastAsia="宋体"/>
                      <w:color w:val="auto"/>
                      <w:szCs w:val="21"/>
                      <w:lang w:val="en-US" w:eastAsia="zh-CN"/>
                    </w:rPr>
                  </w:pPr>
                  <w:r>
                    <w:rPr>
                      <w:rFonts w:hint="eastAsia" w:cs="Times New Roman"/>
                      <w:color w:val="auto"/>
                      <w:sz w:val="21"/>
                      <w:szCs w:val="21"/>
                      <w:highlight w:val="none"/>
                      <w:lang w:val="en-US" w:eastAsia="zh-CN"/>
                    </w:rPr>
                    <w:t>焊接烟尘</w:t>
                  </w:r>
                </w:p>
              </w:tc>
              <w:tc>
                <w:tcPr>
                  <w:tcW w:w="635" w:type="pct"/>
                  <w:tcBorders>
                    <w:tl2br w:val="nil"/>
                    <w:tr2bl w:val="nil"/>
                  </w:tcBorders>
                  <w:shd w:val="clear" w:color="auto" w:fill="auto"/>
                  <w:vAlign w:val="center"/>
                </w:tcPr>
                <w:p w14:paraId="662C8C09">
                  <w:pPr>
                    <w:ind w:left="-105" w:leftChars="-50" w:right="-105" w:rightChars="-50"/>
                    <w:jc w:val="center"/>
                    <w:rPr>
                      <w:rFonts w:hint="eastAsia" w:ascii="Times New Roman" w:hAnsi="Times New Roman" w:eastAsia="宋体" w:cs="Times New Roman"/>
                      <w:color w:val="auto"/>
                      <w:kern w:val="2"/>
                      <w:sz w:val="21"/>
                      <w:szCs w:val="21"/>
                      <w:lang w:val="en-US" w:eastAsia="zh-CN" w:bidi="ar-SA"/>
                    </w:rPr>
                  </w:pPr>
                  <w:r>
                    <w:rPr>
                      <w:rFonts w:hint="eastAsia" w:cs="Times New Roman" w:eastAsiaTheme="minorEastAsia"/>
                      <w:color w:val="auto"/>
                      <w:szCs w:val="21"/>
                      <w:highlight w:val="none"/>
                      <w:lang w:val="en-US" w:eastAsia="zh-CN"/>
                    </w:rPr>
                    <w:t>焊接烟尘收集及处理系统</w:t>
                  </w:r>
                </w:p>
              </w:tc>
              <w:tc>
                <w:tcPr>
                  <w:tcW w:w="1026" w:type="pct"/>
                  <w:tcBorders>
                    <w:tl2br w:val="nil"/>
                    <w:tr2bl w:val="nil"/>
                  </w:tcBorders>
                  <w:vAlign w:val="center"/>
                </w:tcPr>
                <w:p w14:paraId="5AA4C75D">
                  <w:pPr>
                    <w:ind w:left="-105" w:leftChars="-50" w:right="-105" w:rightChars="-50"/>
                    <w:jc w:val="center"/>
                    <w:rPr>
                      <w:rFonts w:hint="eastAsia"/>
                      <w:color w:val="auto"/>
                      <w:szCs w:val="21"/>
                      <w:lang w:val="en-US" w:eastAsia="zh-CN"/>
                    </w:rPr>
                  </w:pPr>
                  <w:r>
                    <w:rPr>
                      <w:rFonts w:hint="eastAsia"/>
                      <w:color w:val="auto"/>
                      <w:szCs w:val="21"/>
                      <w:lang w:val="en-US" w:eastAsia="zh-CN"/>
                    </w:rPr>
                    <w:t>移动式焊烟净化器（1#）</w:t>
                  </w:r>
                </w:p>
              </w:tc>
              <w:tc>
                <w:tcPr>
                  <w:tcW w:w="1730" w:type="pct"/>
                  <w:tcBorders>
                    <w:tl2br w:val="nil"/>
                    <w:tr2bl w:val="nil"/>
                  </w:tcBorders>
                  <w:vAlign w:val="center"/>
                </w:tcPr>
                <w:p w14:paraId="5DB1D2A7">
                  <w:pPr>
                    <w:ind w:left="-105" w:leftChars="-50" w:right="-105" w:rightChars="-5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颗粒物无组织排放</w:t>
                  </w:r>
                </w:p>
              </w:tc>
            </w:tr>
            <w:tr w14:paraId="2B49B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l2br w:val="nil"/>
                    <w:tr2bl w:val="nil"/>
                  </w:tcBorders>
                  <w:vAlign w:val="center"/>
                </w:tcPr>
                <w:p w14:paraId="4F87C62E">
                  <w:pPr>
                    <w:pStyle w:val="43"/>
                    <w:spacing w:line="240" w:lineRule="auto"/>
                    <w:jc w:val="center"/>
                    <w:rPr>
                      <w:rFonts w:ascii="Times New Roman" w:hAnsi="Times New Roman" w:cs="Times New Roman" w:eastAsiaTheme="minorEastAsia"/>
                      <w:color w:val="auto"/>
                      <w:sz w:val="21"/>
                      <w:szCs w:val="21"/>
                    </w:rPr>
                  </w:pPr>
                </w:p>
              </w:tc>
              <w:tc>
                <w:tcPr>
                  <w:tcW w:w="413" w:type="pct"/>
                  <w:vMerge w:val="continue"/>
                  <w:tcBorders>
                    <w:tl2br w:val="nil"/>
                    <w:tr2bl w:val="nil"/>
                  </w:tcBorders>
                  <w:vAlign w:val="center"/>
                </w:tcPr>
                <w:p w14:paraId="359DE4F7">
                  <w:pPr>
                    <w:jc w:val="center"/>
                    <w:rPr>
                      <w:rFonts w:hint="eastAsia"/>
                      <w:color w:val="auto"/>
                      <w:szCs w:val="21"/>
                      <w:lang w:val="en-US" w:eastAsia="zh-CN"/>
                    </w:rPr>
                  </w:pPr>
                </w:p>
              </w:tc>
              <w:tc>
                <w:tcPr>
                  <w:tcW w:w="767" w:type="pct"/>
                  <w:tcBorders>
                    <w:tl2br w:val="nil"/>
                    <w:tr2bl w:val="nil"/>
                  </w:tcBorders>
                  <w:shd w:val="clear" w:color="auto" w:fill="auto"/>
                  <w:vAlign w:val="center"/>
                </w:tcPr>
                <w:p w14:paraId="6175108D">
                  <w:pPr>
                    <w:jc w:val="center"/>
                    <w:rPr>
                      <w:rFonts w:hint="eastAsia"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szCs w:val="21"/>
                      <w:lang w:val="en-US" w:eastAsia="zh-CN"/>
                    </w:rPr>
                    <w:t>发泡</w:t>
                  </w:r>
                  <w:r>
                    <w:rPr>
                      <w:rFonts w:hint="eastAsia" w:cs="Times New Roman" w:eastAsiaTheme="minorEastAsia"/>
                      <w:color w:val="auto"/>
                      <w:szCs w:val="21"/>
                      <w:lang w:eastAsia="zh-CN"/>
                    </w:rPr>
                    <w:t>废气</w:t>
                  </w:r>
                </w:p>
              </w:tc>
              <w:tc>
                <w:tcPr>
                  <w:tcW w:w="635" w:type="pct"/>
                  <w:tcBorders>
                    <w:tl2br w:val="nil"/>
                    <w:tr2bl w:val="nil"/>
                  </w:tcBorders>
                  <w:shd w:val="clear" w:color="auto" w:fill="auto"/>
                  <w:vAlign w:val="center"/>
                </w:tcPr>
                <w:p w14:paraId="50C6F656">
                  <w:pPr>
                    <w:jc w:val="center"/>
                    <w:rPr>
                      <w:rFonts w:hint="eastAsia" w:cs="Times New Roman" w:eastAsiaTheme="minorEastAsia"/>
                      <w:color w:val="auto"/>
                      <w:szCs w:val="21"/>
                      <w:lang w:val="en-US" w:eastAsia="zh-CN"/>
                    </w:rPr>
                  </w:pPr>
                  <w:r>
                    <w:rPr>
                      <w:rFonts w:hint="eastAsia" w:cs="Times New Roman" w:eastAsiaTheme="minorEastAsia"/>
                      <w:color w:val="auto"/>
                      <w:szCs w:val="21"/>
                      <w:lang w:val="en-US" w:eastAsia="zh-CN"/>
                    </w:rPr>
                    <w:t>TA001</w:t>
                  </w:r>
                  <w:r>
                    <w:rPr>
                      <w:rFonts w:ascii="Times New Roman" w:hAnsi="Times New Roman" w:cs="Times New Roman" w:eastAsiaTheme="minorEastAsia"/>
                      <w:color w:val="auto"/>
                      <w:szCs w:val="21"/>
                    </w:rPr>
                    <w:t>废气收集及处理系统</w:t>
                  </w:r>
                </w:p>
              </w:tc>
              <w:tc>
                <w:tcPr>
                  <w:tcW w:w="1026" w:type="pct"/>
                  <w:tcBorders>
                    <w:tl2br w:val="nil"/>
                    <w:tr2bl w:val="nil"/>
                  </w:tcBorders>
                  <w:vAlign w:val="center"/>
                </w:tcPr>
                <w:p w14:paraId="118A0CC2">
                  <w:pPr>
                    <w:jc w:val="center"/>
                    <w:rPr>
                      <w:rFonts w:hint="eastAsia"/>
                      <w:color w:val="auto"/>
                      <w:szCs w:val="21"/>
                      <w:lang w:val="en-US" w:eastAsia="zh-CN"/>
                    </w:rPr>
                  </w:pPr>
                  <w:r>
                    <w:rPr>
                      <w:rFonts w:hint="eastAsia" w:cs="Times New Roman"/>
                      <w:color w:val="auto"/>
                      <w:szCs w:val="21"/>
                      <w:lang w:val="en-US" w:eastAsia="zh-CN"/>
                    </w:rPr>
                    <w:t>4000</w:t>
                  </w:r>
                  <w:r>
                    <w:rPr>
                      <w:rFonts w:ascii="Times New Roman" w:hAnsi="Times New Roman" w:cs="Times New Roman"/>
                      <w:color w:val="auto"/>
                      <w:szCs w:val="21"/>
                    </w:rPr>
                    <w:t>m</w:t>
                  </w:r>
                  <w:r>
                    <w:rPr>
                      <w:rFonts w:ascii="Times New Roman" w:hAnsi="Times New Roman" w:cs="Times New Roman"/>
                      <w:color w:val="auto"/>
                      <w:szCs w:val="21"/>
                      <w:vertAlign w:val="superscript"/>
                    </w:rPr>
                    <w:t>3</w:t>
                  </w:r>
                  <w:r>
                    <w:rPr>
                      <w:rFonts w:ascii="Times New Roman" w:hAnsi="Times New Roman" w:cs="Times New Roman"/>
                      <w:color w:val="auto"/>
                      <w:szCs w:val="21"/>
                    </w:rPr>
                    <w:t>/h</w:t>
                  </w:r>
                  <w:r>
                    <w:rPr>
                      <w:rFonts w:hint="eastAsia" w:ascii="Times New Roman" w:hAnsi="Times New Roman" w:cs="Times New Roman"/>
                      <w:color w:val="auto"/>
                      <w:szCs w:val="21"/>
                      <w:lang w:eastAsia="zh-CN"/>
                    </w:rPr>
                    <w:t>，</w:t>
                  </w:r>
                  <w:r>
                    <w:rPr>
                      <w:rFonts w:hint="eastAsia"/>
                      <w:color w:val="auto"/>
                      <w:szCs w:val="21"/>
                      <w:lang w:val="en-US" w:eastAsia="zh-CN"/>
                    </w:rPr>
                    <w:t>两级活性炭</w:t>
                  </w:r>
                  <w:r>
                    <w:rPr>
                      <w:rFonts w:hint="eastAsia" w:cs="Times New Roman"/>
                      <w:color w:val="auto"/>
                      <w:szCs w:val="21"/>
                      <w:lang w:val="en-US" w:eastAsia="zh-CN"/>
                    </w:rPr>
                    <w:t>+40米高DA001排气筒</w:t>
                  </w:r>
                </w:p>
              </w:tc>
              <w:tc>
                <w:tcPr>
                  <w:tcW w:w="1730" w:type="pct"/>
                  <w:tcBorders>
                    <w:tl2br w:val="nil"/>
                    <w:tr2bl w:val="nil"/>
                  </w:tcBorders>
                  <w:vAlign w:val="center"/>
                </w:tcPr>
                <w:p w14:paraId="716A6CFF">
                  <w:pPr>
                    <w:ind w:left="-105" w:leftChars="-50" w:right="-105" w:rightChars="-50"/>
                    <w:jc w:val="center"/>
                    <w:rPr>
                      <w:rFonts w:hint="eastAsia" w:ascii="Times New Roman" w:hAnsi="Times New Roman" w:cs="Times New Roman"/>
                      <w:color w:val="auto"/>
                      <w:szCs w:val="21"/>
                      <w:lang w:eastAsia="zh-CN"/>
                    </w:rPr>
                  </w:pPr>
                  <w:r>
                    <w:rPr>
                      <w:rFonts w:hint="eastAsia" w:cs="Times New Roman"/>
                      <w:color w:val="auto"/>
                      <w:szCs w:val="21"/>
                      <w:lang w:val="en-US" w:eastAsia="zh-CN"/>
                    </w:rPr>
                    <w:t>非甲烷总烃</w:t>
                  </w:r>
                  <w:r>
                    <w:rPr>
                      <w:rFonts w:hint="eastAsia" w:ascii="Times New Roman" w:hAnsi="Times New Roman" w:cs="Times New Roman"/>
                      <w:color w:val="auto"/>
                      <w:szCs w:val="21"/>
                      <w:lang w:eastAsia="zh-CN"/>
                    </w:rPr>
                    <w:t>有组织达标排放</w:t>
                  </w:r>
                </w:p>
              </w:tc>
            </w:tr>
            <w:tr w14:paraId="4C28A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5" w:type="pct"/>
                  <w:vMerge w:val="continue"/>
                  <w:tcBorders>
                    <w:tl2br w:val="nil"/>
                    <w:tr2bl w:val="nil"/>
                  </w:tcBorders>
                  <w:vAlign w:val="center"/>
                </w:tcPr>
                <w:p w14:paraId="2B98F0A2">
                  <w:pPr>
                    <w:pStyle w:val="43"/>
                    <w:spacing w:line="240" w:lineRule="auto"/>
                    <w:jc w:val="center"/>
                    <w:rPr>
                      <w:rFonts w:ascii="Times New Roman" w:hAnsi="Times New Roman" w:cs="Times New Roman" w:eastAsiaTheme="minorEastAsia"/>
                      <w:color w:val="auto"/>
                      <w:sz w:val="21"/>
                      <w:szCs w:val="21"/>
                    </w:rPr>
                  </w:pPr>
                </w:p>
              </w:tc>
              <w:tc>
                <w:tcPr>
                  <w:tcW w:w="413" w:type="pct"/>
                  <w:tcBorders>
                    <w:tl2br w:val="nil"/>
                    <w:tr2bl w:val="nil"/>
                  </w:tcBorders>
                  <w:shd w:val="clear" w:color="auto" w:fill="auto"/>
                  <w:vAlign w:val="center"/>
                </w:tcPr>
                <w:p w14:paraId="0513926D">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废水治理</w:t>
                  </w:r>
                </w:p>
              </w:tc>
              <w:tc>
                <w:tcPr>
                  <w:tcW w:w="767" w:type="pct"/>
                  <w:tcBorders>
                    <w:tl2br w:val="nil"/>
                    <w:tr2bl w:val="nil"/>
                  </w:tcBorders>
                  <w:shd w:val="clear" w:color="auto" w:fill="auto"/>
                  <w:vAlign w:val="center"/>
                </w:tcPr>
                <w:p w14:paraId="60CB6544">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生活污水预处理系统</w:t>
                  </w:r>
                </w:p>
              </w:tc>
              <w:tc>
                <w:tcPr>
                  <w:tcW w:w="635" w:type="pct"/>
                  <w:tcBorders>
                    <w:tl2br w:val="nil"/>
                    <w:tr2bl w:val="nil"/>
                  </w:tcBorders>
                  <w:shd w:val="clear" w:color="auto" w:fill="auto"/>
                  <w:vAlign w:val="center"/>
                </w:tcPr>
                <w:p w14:paraId="6DE6D5CB">
                  <w:pPr>
                    <w:jc w:val="center"/>
                    <w:rPr>
                      <w:rFonts w:hint="eastAsia" w:cs="Times New Roman"/>
                      <w:color w:val="auto"/>
                      <w:kern w:val="2"/>
                      <w:sz w:val="21"/>
                      <w:szCs w:val="21"/>
                      <w:lang w:val="en-US" w:eastAsia="zh-CN" w:bidi="ar-SA"/>
                    </w:rPr>
                  </w:pPr>
                  <w:r>
                    <w:rPr>
                      <w:rFonts w:hint="eastAsia"/>
                      <w:color w:val="auto"/>
                      <w:szCs w:val="21"/>
                    </w:rPr>
                    <w:t>化粪池</w:t>
                  </w:r>
                  <w:r>
                    <w:rPr>
                      <w:rFonts w:hint="eastAsia"/>
                      <w:color w:val="auto"/>
                      <w:szCs w:val="21"/>
                      <w:lang w:eastAsia="zh-CN"/>
                    </w:rPr>
                    <w:t>（</w:t>
                  </w:r>
                  <w:r>
                    <w:rPr>
                      <w:rFonts w:hint="eastAsia"/>
                      <w:color w:val="auto"/>
                      <w:szCs w:val="21"/>
                      <w:lang w:val="en-US" w:eastAsia="zh-CN"/>
                    </w:rPr>
                    <w:t>依托</w:t>
                  </w:r>
                  <w:r>
                    <w:rPr>
                      <w:rFonts w:hint="eastAsia"/>
                      <w:color w:val="auto"/>
                      <w:szCs w:val="21"/>
                      <w:lang w:eastAsia="zh-CN"/>
                    </w:rPr>
                    <w:t>）</w:t>
                  </w:r>
                </w:p>
              </w:tc>
              <w:tc>
                <w:tcPr>
                  <w:tcW w:w="1026" w:type="pct"/>
                  <w:tcBorders>
                    <w:tl2br w:val="nil"/>
                    <w:tr2bl w:val="nil"/>
                  </w:tcBorders>
                  <w:shd w:val="clear" w:color="auto" w:fill="auto"/>
                  <w:vAlign w:val="center"/>
                </w:tcPr>
                <w:p w14:paraId="58F8DE27">
                  <w:pPr>
                    <w:jc w:val="center"/>
                    <w:rPr>
                      <w:rFonts w:hint="eastAsia"/>
                      <w:color w:val="auto"/>
                      <w:szCs w:val="21"/>
                    </w:rPr>
                  </w:pPr>
                  <w:r>
                    <w:rPr>
                      <w:rFonts w:hint="eastAsia"/>
                      <w:color w:val="auto"/>
                      <w:szCs w:val="21"/>
                      <w:lang w:val="en-US" w:eastAsia="zh-CN"/>
                    </w:rPr>
                    <w:t>648</w:t>
                  </w:r>
                  <w:r>
                    <w:rPr>
                      <w:color w:val="auto"/>
                      <w:szCs w:val="21"/>
                    </w:rPr>
                    <w:t>m</w:t>
                  </w:r>
                  <w:r>
                    <w:rPr>
                      <w:color w:val="auto"/>
                      <w:szCs w:val="21"/>
                      <w:vertAlign w:val="superscript"/>
                    </w:rPr>
                    <w:t>3</w:t>
                  </w:r>
                  <w:r>
                    <w:rPr>
                      <w:color w:val="auto"/>
                      <w:szCs w:val="21"/>
                    </w:rPr>
                    <w:t>/a</w:t>
                  </w:r>
                </w:p>
              </w:tc>
              <w:tc>
                <w:tcPr>
                  <w:tcW w:w="1730" w:type="pct"/>
                  <w:tcBorders>
                    <w:tl2br w:val="nil"/>
                    <w:tr2bl w:val="nil"/>
                  </w:tcBorders>
                  <w:vAlign w:val="center"/>
                </w:tcPr>
                <w:p w14:paraId="48D1504B">
                  <w:pPr>
                    <w:ind w:left="-105" w:leftChars="-50" w:right="-105" w:rightChars="-50"/>
                    <w:jc w:val="center"/>
                    <w:rPr>
                      <w:rFonts w:hint="default" w:cs="Times New Roman"/>
                      <w:color w:val="auto"/>
                      <w:szCs w:val="21"/>
                      <w:lang w:val="en-US" w:eastAsia="zh-CN"/>
                    </w:rPr>
                  </w:pPr>
                  <w:r>
                    <w:rPr>
                      <w:rFonts w:hint="default" w:ascii="Times New Roman" w:hAnsi="Times New Roman" w:eastAsia="宋体" w:cs="Times New Roman"/>
                      <w:color w:val="auto"/>
                      <w:szCs w:val="21"/>
                      <w:lang w:val="en-US" w:eastAsia="zh-CN"/>
                    </w:rPr>
                    <w:t>生活污水</w:t>
                  </w:r>
                  <w:r>
                    <w:rPr>
                      <w:rFonts w:hint="eastAsia" w:cs="Times New Roman"/>
                      <w:color w:val="auto"/>
                      <w:szCs w:val="21"/>
                      <w:lang w:val="en-US" w:eastAsia="zh-CN"/>
                    </w:rPr>
                    <w:t>经</w:t>
                  </w:r>
                  <w:r>
                    <w:rPr>
                      <w:rFonts w:hint="default" w:ascii="Times New Roman" w:hAnsi="Times New Roman" w:eastAsia="宋体" w:cs="Times New Roman"/>
                      <w:color w:val="auto"/>
                      <w:szCs w:val="21"/>
                      <w:lang w:val="en-US" w:eastAsia="zh-CN"/>
                    </w:rPr>
                    <w:t>预处理达接管要</w:t>
                  </w:r>
                  <w:r>
                    <w:rPr>
                      <w:rFonts w:hint="eastAsia" w:cs="Times New Roman"/>
                      <w:color w:val="auto"/>
                      <w:szCs w:val="21"/>
                      <w:lang w:val="en-US" w:eastAsia="zh-CN"/>
                    </w:rPr>
                    <w:t>求</w:t>
                  </w:r>
                </w:p>
              </w:tc>
            </w:tr>
            <w:tr w14:paraId="4A04F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425" w:type="pct"/>
                  <w:vMerge w:val="continue"/>
                  <w:tcBorders>
                    <w:tl2br w:val="nil"/>
                    <w:tr2bl w:val="nil"/>
                  </w:tcBorders>
                  <w:vAlign w:val="center"/>
                </w:tcPr>
                <w:p w14:paraId="7C08511B">
                  <w:pPr>
                    <w:pStyle w:val="43"/>
                    <w:spacing w:line="240" w:lineRule="auto"/>
                    <w:jc w:val="center"/>
                    <w:rPr>
                      <w:rFonts w:ascii="Times New Roman" w:hAnsi="Times New Roman" w:cs="Times New Roman" w:eastAsiaTheme="minorEastAsia"/>
                      <w:color w:val="auto"/>
                      <w:sz w:val="21"/>
                      <w:szCs w:val="21"/>
                    </w:rPr>
                  </w:pPr>
                </w:p>
              </w:tc>
              <w:tc>
                <w:tcPr>
                  <w:tcW w:w="413" w:type="pct"/>
                  <w:vMerge w:val="restart"/>
                  <w:tcBorders>
                    <w:tl2br w:val="nil"/>
                    <w:tr2bl w:val="nil"/>
                  </w:tcBorders>
                  <w:vAlign w:val="center"/>
                </w:tcPr>
                <w:p w14:paraId="0CEFF969">
                  <w:pPr>
                    <w:pStyle w:val="43"/>
                    <w:spacing w:line="240" w:lineRule="auto"/>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固废处置</w:t>
                  </w:r>
                </w:p>
              </w:tc>
              <w:tc>
                <w:tcPr>
                  <w:tcW w:w="1402" w:type="pct"/>
                  <w:gridSpan w:val="2"/>
                  <w:tcBorders>
                    <w:tl2br w:val="nil"/>
                    <w:tr2bl w:val="nil"/>
                  </w:tcBorders>
                  <w:vAlign w:val="center"/>
                </w:tcPr>
                <w:p w14:paraId="194D66B3">
                  <w:pPr>
                    <w:pStyle w:val="43"/>
                    <w:spacing w:line="240" w:lineRule="auto"/>
                    <w:jc w:val="center"/>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val="en-US" w:eastAsia="zh-CN"/>
                    </w:rPr>
                    <w:t>一般固废堆场</w:t>
                  </w:r>
                </w:p>
              </w:tc>
              <w:tc>
                <w:tcPr>
                  <w:tcW w:w="1026" w:type="pct"/>
                  <w:tcBorders>
                    <w:tl2br w:val="nil"/>
                    <w:tr2bl w:val="nil"/>
                  </w:tcBorders>
                  <w:vAlign w:val="center"/>
                </w:tcPr>
                <w:p w14:paraId="1CC06538">
                  <w:pPr>
                    <w:pStyle w:val="43"/>
                    <w:spacing w:line="240" w:lineRule="auto"/>
                    <w:jc w:val="center"/>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val="en-US" w:eastAsia="zh-CN"/>
                    </w:rPr>
                    <w:t>10</w:t>
                  </w:r>
                  <w:r>
                    <w:rPr>
                      <w:rFonts w:ascii="Times New Roman" w:hAnsi="Times New Roman" w:cs="Times New Roman" w:eastAsiaTheme="minorEastAsia"/>
                      <w:color w:val="auto"/>
                      <w:sz w:val="21"/>
                      <w:szCs w:val="21"/>
                    </w:rPr>
                    <w:t>m</w:t>
                  </w:r>
                  <w:r>
                    <w:rPr>
                      <w:rFonts w:hint="eastAsia" w:ascii="Times New Roman" w:hAnsi="Times New Roman" w:cs="Times New Roman" w:eastAsiaTheme="minorEastAsia"/>
                      <w:color w:val="auto"/>
                      <w:sz w:val="21"/>
                      <w:szCs w:val="21"/>
                      <w:vertAlign w:val="superscript"/>
                      <w:lang w:val="en-US" w:eastAsia="zh-CN"/>
                    </w:rPr>
                    <w:t>2</w:t>
                  </w:r>
                </w:p>
              </w:tc>
              <w:tc>
                <w:tcPr>
                  <w:tcW w:w="1730" w:type="pct"/>
                  <w:vMerge w:val="restart"/>
                  <w:tcBorders>
                    <w:tl2br w:val="nil"/>
                    <w:tr2bl w:val="nil"/>
                  </w:tcBorders>
                  <w:vAlign w:val="center"/>
                </w:tcPr>
                <w:p w14:paraId="7A517E99">
                  <w:pPr>
                    <w:ind w:left="-105" w:leftChars="-50" w:right="-105" w:rightChars="-50"/>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满足环境管理要求</w:t>
                  </w:r>
                </w:p>
              </w:tc>
            </w:tr>
            <w:tr w14:paraId="0E8BF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425" w:type="pct"/>
                  <w:vMerge w:val="continue"/>
                  <w:tcBorders>
                    <w:tl2br w:val="nil"/>
                    <w:tr2bl w:val="nil"/>
                  </w:tcBorders>
                  <w:vAlign w:val="center"/>
                </w:tcPr>
                <w:p w14:paraId="71379566">
                  <w:pPr>
                    <w:pStyle w:val="43"/>
                    <w:spacing w:line="240" w:lineRule="auto"/>
                    <w:jc w:val="center"/>
                    <w:rPr>
                      <w:rFonts w:ascii="Times New Roman" w:hAnsi="Times New Roman" w:cs="Times New Roman" w:eastAsiaTheme="minorEastAsia"/>
                      <w:color w:val="FF0000"/>
                      <w:sz w:val="21"/>
                      <w:szCs w:val="21"/>
                    </w:rPr>
                  </w:pPr>
                </w:p>
              </w:tc>
              <w:tc>
                <w:tcPr>
                  <w:tcW w:w="413" w:type="pct"/>
                  <w:vMerge w:val="continue"/>
                  <w:tcBorders>
                    <w:tl2br w:val="nil"/>
                    <w:tr2bl w:val="nil"/>
                  </w:tcBorders>
                  <w:vAlign w:val="center"/>
                </w:tcPr>
                <w:p w14:paraId="03B6DC65">
                  <w:pPr>
                    <w:pStyle w:val="43"/>
                    <w:spacing w:line="240" w:lineRule="auto"/>
                    <w:jc w:val="center"/>
                    <w:rPr>
                      <w:rFonts w:ascii="Times New Roman" w:hAnsi="Times New Roman" w:cs="Times New Roman" w:eastAsiaTheme="minorEastAsia"/>
                      <w:color w:val="FF0000"/>
                      <w:sz w:val="21"/>
                      <w:szCs w:val="21"/>
                    </w:rPr>
                  </w:pPr>
                </w:p>
              </w:tc>
              <w:tc>
                <w:tcPr>
                  <w:tcW w:w="1402" w:type="pct"/>
                  <w:gridSpan w:val="2"/>
                  <w:tcBorders>
                    <w:tl2br w:val="nil"/>
                    <w:tr2bl w:val="nil"/>
                  </w:tcBorders>
                  <w:vAlign w:val="center"/>
                </w:tcPr>
                <w:p w14:paraId="11B32234">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危废仓库</w:t>
                  </w:r>
                </w:p>
              </w:tc>
              <w:tc>
                <w:tcPr>
                  <w:tcW w:w="1026" w:type="pct"/>
                  <w:tcBorders>
                    <w:tl2br w:val="nil"/>
                    <w:tr2bl w:val="nil"/>
                  </w:tcBorders>
                  <w:vAlign w:val="center"/>
                </w:tcPr>
                <w:p w14:paraId="6CC10996">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12m</w:t>
                  </w:r>
                  <w:r>
                    <w:rPr>
                      <w:rFonts w:hint="eastAsia" w:ascii="Times New Roman" w:hAnsi="Times New Roman" w:cs="Times New Roman" w:eastAsiaTheme="minorEastAsia"/>
                      <w:color w:val="auto"/>
                      <w:sz w:val="21"/>
                      <w:szCs w:val="21"/>
                      <w:vertAlign w:val="superscript"/>
                      <w:lang w:val="en-US" w:eastAsia="zh-CN"/>
                    </w:rPr>
                    <w:t>2</w:t>
                  </w:r>
                </w:p>
              </w:tc>
              <w:tc>
                <w:tcPr>
                  <w:tcW w:w="1730" w:type="pct"/>
                  <w:vMerge w:val="continue"/>
                  <w:tcBorders>
                    <w:tl2br w:val="nil"/>
                    <w:tr2bl w:val="nil"/>
                  </w:tcBorders>
                  <w:vAlign w:val="center"/>
                </w:tcPr>
                <w:p w14:paraId="0934509D">
                  <w:pPr>
                    <w:ind w:left="-105" w:leftChars="-50" w:right="-105" w:rightChars="-50"/>
                    <w:jc w:val="center"/>
                    <w:rPr>
                      <w:rFonts w:hint="eastAsia" w:ascii="Times New Roman" w:hAnsi="Times New Roman" w:cs="Times New Roman"/>
                      <w:color w:val="auto"/>
                      <w:szCs w:val="21"/>
                      <w:lang w:eastAsia="zh-CN"/>
                    </w:rPr>
                  </w:pPr>
                </w:p>
              </w:tc>
            </w:tr>
            <w:tr w14:paraId="16DDE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25" w:type="pct"/>
                  <w:vMerge w:val="continue"/>
                  <w:tcBorders>
                    <w:tl2br w:val="nil"/>
                    <w:tr2bl w:val="nil"/>
                  </w:tcBorders>
                  <w:vAlign w:val="center"/>
                </w:tcPr>
                <w:p w14:paraId="74F6E296">
                  <w:pPr>
                    <w:pStyle w:val="43"/>
                    <w:spacing w:line="240" w:lineRule="auto"/>
                    <w:jc w:val="center"/>
                    <w:rPr>
                      <w:rFonts w:ascii="Times New Roman" w:hAnsi="Times New Roman" w:cs="Times New Roman" w:eastAsiaTheme="minorEastAsia"/>
                      <w:color w:val="FF0000"/>
                      <w:sz w:val="21"/>
                      <w:szCs w:val="21"/>
                    </w:rPr>
                  </w:pPr>
                </w:p>
              </w:tc>
              <w:tc>
                <w:tcPr>
                  <w:tcW w:w="413" w:type="pct"/>
                  <w:tcBorders>
                    <w:tl2br w:val="nil"/>
                    <w:tr2bl w:val="nil"/>
                  </w:tcBorders>
                  <w:vAlign w:val="center"/>
                </w:tcPr>
                <w:p w14:paraId="02756B6B">
                  <w:pPr>
                    <w:pStyle w:val="43"/>
                    <w:spacing w:line="240" w:lineRule="auto"/>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噪声防治</w:t>
                  </w:r>
                </w:p>
              </w:tc>
              <w:tc>
                <w:tcPr>
                  <w:tcW w:w="1402" w:type="pct"/>
                  <w:gridSpan w:val="2"/>
                  <w:tcBorders>
                    <w:tl2br w:val="nil"/>
                    <w:tr2bl w:val="nil"/>
                  </w:tcBorders>
                  <w:vAlign w:val="center"/>
                </w:tcPr>
                <w:p w14:paraId="56E5FE7A">
                  <w:pPr>
                    <w:pStyle w:val="43"/>
                    <w:spacing w:line="240" w:lineRule="auto"/>
                    <w:jc w:val="center"/>
                    <w:rPr>
                      <w:rFonts w:hint="eastAsia"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消声、减振基础及厂房隔声</w:t>
                  </w:r>
                </w:p>
              </w:tc>
              <w:tc>
                <w:tcPr>
                  <w:tcW w:w="1026" w:type="pct"/>
                  <w:tcBorders>
                    <w:tl2br w:val="nil"/>
                    <w:tr2bl w:val="nil"/>
                  </w:tcBorders>
                  <w:vAlign w:val="center"/>
                </w:tcPr>
                <w:p w14:paraId="7870EE74">
                  <w:pPr>
                    <w:pStyle w:val="43"/>
                    <w:spacing w:line="240" w:lineRule="auto"/>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降噪</w:t>
                  </w:r>
                  <w:r>
                    <w:rPr>
                      <w:rFonts w:hint="eastAsia" w:ascii="Times New Roman" w:hAnsi="Times New Roman" w:cs="Times New Roman" w:eastAsiaTheme="minorEastAsia"/>
                      <w:color w:val="auto"/>
                      <w:sz w:val="21"/>
                      <w:szCs w:val="21"/>
                      <w:lang w:val="en-US" w:eastAsia="zh-CN"/>
                    </w:rPr>
                    <w:t>15-2</w:t>
                  </w:r>
                  <w:r>
                    <w:rPr>
                      <w:rFonts w:ascii="Times New Roman" w:hAnsi="Times New Roman" w:cs="Times New Roman" w:eastAsiaTheme="minorEastAsia"/>
                      <w:color w:val="auto"/>
                      <w:sz w:val="21"/>
                      <w:szCs w:val="21"/>
                    </w:rPr>
                    <w:t>0dB（A）</w:t>
                  </w:r>
                </w:p>
              </w:tc>
              <w:tc>
                <w:tcPr>
                  <w:tcW w:w="1730" w:type="pct"/>
                  <w:tcBorders>
                    <w:tl2br w:val="nil"/>
                    <w:tr2bl w:val="nil"/>
                  </w:tcBorders>
                  <w:vAlign w:val="center"/>
                </w:tcPr>
                <w:p w14:paraId="058881BC">
                  <w:pPr>
                    <w:ind w:left="-105" w:leftChars="-50" w:right="-105" w:rightChars="-50"/>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厂界噪声达标排放</w:t>
                  </w:r>
                </w:p>
              </w:tc>
            </w:tr>
            <w:tr w14:paraId="6A04F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425" w:type="pct"/>
                  <w:vMerge w:val="restart"/>
                  <w:tcBorders>
                    <w:tl2br w:val="nil"/>
                    <w:tr2bl w:val="nil"/>
                  </w:tcBorders>
                  <w:shd w:val="clear" w:color="auto" w:fill="auto"/>
                  <w:vAlign w:val="center"/>
                </w:tcPr>
                <w:p w14:paraId="7DF88CF8">
                  <w:pPr>
                    <w:pStyle w:val="43"/>
                    <w:spacing w:line="24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环境风险</w:t>
                  </w:r>
                </w:p>
              </w:tc>
              <w:tc>
                <w:tcPr>
                  <w:tcW w:w="413" w:type="pct"/>
                  <w:vMerge w:val="restart"/>
                  <w:tcBorders>
                    <w:tl2br w:val="nil"/>
                    <w:tr2bl w:val="nil"/>
                  </w:tcBorders>
                  <w:shd w:val="clear" w:color="auto" w:fill="auto"/>
                  <w:vAlign w:val="center"/>
                </w:tcPr>
                <w:p w14:paraId="3FCB95B6">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风险防控</w:t>
                  </w:r>
                </w:p>
              </w:tc>
              <w:tc>
                <w:tcPr>
                  <w:tcW w:w="1402" w:type="pct"/>
                  <w:gridSpan w:val="2"/>
                  <w:tcBorders>
                    <w:tl2br w:val="nil"/>
                    <w:tr2bl w:val="nil"/>
                  </w:tcBorders>
                  <w:shd w:val="clear" w:color="auto" w:fill="auto"/>
                  <w:vAlign w:val="center"/>
                </w:tcPr>
                <w:p w14:paraId="1AB06551">
                  <w:pPr>
                    <w:pStyle w:val="43"/>
                    <w:spacing w:line="240" w:lineRule="auto"/>
                    <w:jc w:val="center"/>
                    <w:rPr>
                      <w:rFonts w:hint="default" w:eastAsiaTheme="minorEastAsia"/>
                      <w:color w:val="auto"/>
                      <w:sz w:val="21"/>
                      <w:szCs w:val="21"/>
                      <w:vertAlign w:val="superscript"/>
                      <w:lang w:val="en-US" w:eastAsia="zh-CN"/>
                    </w:rPr>
                  </w:pPr>
                  <w:r>
                    <w:rPr>
                      <w:rFonts w:hint="eastAsia" w:ascii="Times New Roman" w:hAnsi="Times New Roman" w:cs="Times New Roman" w:eastAsiaTheme="minorEastAsia"/>
                      <w:color w:val="auto"/>
                      <w:sz w:val="21"/>
                      <w:szCs w:val="21"/>
                      <w:lang w:val="en-US" w:eastAsia="zh-CN"/>
                    </w:rPr>
                    <w:t>事故应急池</w:t>
                  </w:r>
                </w:p>
              </w:tc>
              <w:tc>
                <w:tcPr>
                  <w:tcW w:w="1026" w:type="pct"/>
                  <w:tcBorders>
                    <w:tl2br w:val="nil"/>
                    <w:tr2bl w:val="nil"/>
                  </w:tcBorders>
                  <w:shd w:val="clear" w:color="auto" w:fill="auto"/>
                  <w:vAlign w:val="center"/>
                </w:tcPr>
                <w:p w14:paraId="6C1BF0E0">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两座，单座30</w:t>
                  </w:r>
                  <w:r>
                    <w:rPr>
                      <w:rFonts w:hint="default" w:ascii="Times New Roman" w:hAnsi="Times New Roman" w:cs="Times New Roman" w:eastAsiaTheme="minorEastAsia"/>
                      <w:color w:val="auto"/>
                      <w:sz w:val="21"/>
                      <w:szCs w:val="21"/>
                      <w:lang w:val="en-US" w:eastAsia="zh-CN"/>
                    </w:rPr>
                    <w:t>0m</w:t>
                  </w:r>
                  <w:r>
                    <w:rPr>
                      <w:rFonts w:hint="default" w:ascii="Times New Roman" w:hAnsi="Times New Roman" w:cs="Times New Roman" w:eastAsiaTheme="minorEastAsia"/>
                      <w:color w:val="auto"/>
                      <w:sz w:val="21"/>
                      <w:szCs w:val="21"/>
                      <w:vertAlign w:val="superscript"/>
                      <w:lang w:val="en-US" w:eastAsia="zh-CN"/>
                    </w:rPr>
                    <w:t>3</w:t>
                  </w:r>
                </w:p>
              </w:tc>
              <w:tc>
                <w:tcPr>
                  <w:tcW w:w="1730" w:type="pct"/>
                  <w:tcBorders>
                    <w:tl2br w:val="nil"/>
                    <w:tr2bl w:val="nil"/>
                  </w:tcBorders>
                  <w:shd w:val="clear" w:color="auto" w:fill="auto"/>
                  <w:vAlign w:val="center"/>
                </w:tcPr>
                <w:p w14:paraId="5BF70766">
                  <w:pPr>
                    <w:ind w:left="-105" w:leftChars="-50" w:right="-105" w:rightChars="-50"/>
                    <w:jc w:val="center"/>
                    <w:rPr>
                      <w:rFonts w:eastAsiaTheme="minorEastAsia"/>
                      <w:color w:val="auto"/>
                      <w:szCs w:val="21"/>
                    </w:rPr>
                  </w:pPr>
                  <w:r>
                    <w:rPr>
                      <w:rFonts w:eastAsiaTheme="minorEastAsia"/>
                      <w:color w:val="auto"/>
                      <w:szCs w:val="21"/>
                    </w:rPr>
                    <w:t>依托</w:t>
                  </w:r>
                  <w:r>
                    <w:rPr>
                      <w:rFonts w:hint="eastAsia" w:eastAsiaTheme="minorEastAsia"/>
                      <w:color w:val="auto"/>
                      <w:szCs w:val="21"/>
                      <w:lang w:val="en-US" w:eastAsia="zh-CN"/>
                    </w:rPr>
                    <w:t>园区</w:t>
                  </w:r>
                  <w:r>
                    <w:rPr>
                      <w:rFonts w:eastAsiaTheme="minorEastAsia"/>
                      <w:color w:val="auto"/>
                      <w:szCs w:val="21"/>
                    </w:rPr>
                    <w:t>现有</w:t>
                  </w:r>
                </w:p>
              </w:tc>
            </w:tr>
            <w:tr w14:paraId="00B91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l2br w:val="nil"/>
                    <w:tr2bl w:val="nil"/>
                  </w:tcBorders>
                  <w:shd w:val="clear" w:color="auto" w:fill="auto"/>
                  <w:vAlign w:val="center"/>
                </w:tcPr>
                <w:p w14:paraId="1C5C509B">
                  <w:pPr>
                    <w:pStyle w:val="43"/>
                    <w:spacing w:line="240" w:lineRule="auto"/>
                    <w:jc w:val="center"/>
                    <w:rPr>
                      <w:rFonts w:hint="eastAsia" w:ascii="Times New Roman" w:hAnsi="Times New Roman" w:cs="Times New Roman" w:eastAsiaTheme="minorEastAsia"/>
                      <w:color w:val="auto"/>
                      <w:kern w:val="2"/>
                      <w:sz w:val="21"/>
                      <w:szCs w:val="21"/>
                      <w:lang w:val="en-US" w:eastAsia="zh-CN" w:bidi="ar-SA"/>
                    </w:rPr>
                  </w:pPr>
                </w:p>
              </w:tc>
              <w:tc>
                <w:tcPr>
                  <w:tcW w:w="413" w:type="pct"/>
                  <w:vMerge w:val="continue"/>
                  <w:tcBorders>
                    <w:tl2br w:val="nil"/>
                    <w:tr2bl w:val="nil"/>
                  </w:tcBorders>
                  <w:shd w:val="clear" w:color="auto" w:fill="auto"/>
                  <w:vAlign w:val="center"/>
                </w:tcPr>
                <w:p w14:paraId="501FE2D4">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p>
              </w:tc>
              <w:tc>
                <w:tcPr>
                  <w:tcW w:w="1402" w:type="pct"/>
                  <w:gridSpan w:val="2"/>
                  <w:tcBorders>
                    <w:tl2br w:val="nil"/>
                    <w:tr2bl w:val="nil"/>
                  </w:tcBorders>
                  <w:shd w:val="clear" w:color="auto" w:fill="auto"/>
                  <w:vAlign w:val="center"/>
                </w:tcPr>
                <w:p w14:paraId="4FA0C8E7">
                  <w:pPr>
                    <w:pStyle w:val="43"/>
                    <w:spacing w:line="24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 w:val="21"/>
                      <w:szCs w:val="21"/>
                      <w:lang w:val="en-US" w:eastAsia="zh-CN"/>
                    </w:rPr>
                    <w:t>雨水排放口及事故应急池阀门</w:t>
                  </w:r>
                </w:p>
              </w:tc>
              <w:tc>
                <w:tcPr>
                  <w:tcW w:w="1026" w:type="pct"/>
                  <w:tcBorders>
                    <w:tl2br w:val="nil"/>
                    <w:tr2bl w:val="nil"/>
                  </w:tcBorders>
                  <w:shd w:val="clear" w:color="auto" w:fill="auto"/>
                  <w:vAlign w:val="center"/>
                </w:tcPr>
                <w:p w14:paraId="00E2408F">
                  <w:pPr>
                    <w:pStyle w:val="43"/>
                    <w:spacing w:line="240" w:lineRule="auto"/>
                    <w:jc w:val="center"/>
                    <w:rPr>
                      <w:rFonts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两</w:t>
                  </w:r>
                  <w:r>
                    <w:rPr>
                      <w:rFonts w:hint="default" w:ascii="Times New Roman" w:hAnsi="Times New Roman" w:cs="Times New Roman" w:eastAsiaTheme="minorEastAsia"/>
                      <w:color w:val="auto"/>
                      <w:sz w:val="21"/>
                      <w:szCs w:val="21"/>
                      <w:lang w:val="en-US" w:eastAsia="zh-CN"/>
                    </w:rPr>
                    <w:t>套</w:t>
                  </w:r>
                </w:p>
              </w:tc>
              <w:tc>
                <w:tcPr>
                  <w:tcW w:w="1730" w:type="pct"/>
                  <w:tcBorders>
                    <w:tl2br w:val="nil"/>
                    <w:tr2bl w:val="nil"/>
                  </w:tcBorders>
                  <w:shd w:val="clear" w:color="auto" w:fill="auto"/>
                  <w:vAlign w:val="center"/>
                </w:tcPr>
                <w:p w14:paraId="20278E95">
                  <w:pPr>
                    <w:ind w:left="-105" w:leftChars="-50" w:right="-105" w:rightChars="-50"/>
                    <w:jc w:val="center"/>
                    <w:rPr>
                      <w:rFonts w:hint="eastAsia" w:ascii="Times New Roman" w:hAnsi="Times New Roman" w:eastAsia="宋体" w:cs="Times New Roman"/>
                      <w:color w:val="auto"/>
                      <w:kern w:val="2"/>
                      <w:sz w:val="21"/>
                      <w:szCs w:val="21"/>
                      <w:lang w:val="en-US" w:eastAsia="zh-CN" w:bidi="ar-SA"/>
                    </w:rPr>
                  </w:pPr>
                  <w:r>
                    <w:rPr>
                      <w:rFonts w:eastAsiaTheme="minorEastAsia"/>
                      <w:color w:val="auto"/>
                      <w:szCs w:val="21"/>
                    </w:rPr>
                    <w:t>依托</w:t>
                  </w:r>
                  <w:r>
                    <w:rPr>
                      <w:rFonts w:hint="eastAsia" w:eastAsiaTheme="minorEastAsia"/>
                      <w:color w:val="auto"/>
                      <w:szCs w:val="21"/>
                      <w:lang w:val="en-US" w:eastAsia="zh-CN"/>
                    </w:rPr>
                    <w:t>园区</w:t>
                  </w:r>
                  <w:r>
                    <w:rPr>
                      <w:rFonts w:eastAsiaTheme="minorEastAsia"/>
                      <w:color w:val="auto"/>
                      <w:szCs w:val="21"/>
                    </w:rPr>
                    <w:t>现有</w:t>
                  </w:r>
                </w:p>
              </w:tc>
            </w:tr>
          </w:tbl>
          <w:p w14:paraId="1DF29424">
            <w:pPr>
              <w:adjustRightInd w:val="0"/>
              <w:snapToGrid w:val="0"/>
              <w:rPr>
                <w:rFonts w:eastAsiaTheme="minorEastAsia"/>
                <w:b/>
                <w:color w:val="FF0000"/>
                <w:sz w:val="10"/>
                <w:szCs w:val="10"/>
              </w:rPr>
            </w:pPr>
          </w:p>
          <w:p w14:paraId="46FD593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eastAsiaTheme="minorEastAsia"/>
                <w:color w:val="FF0000"/>
                <w:sz w:val="24"/>
                <w:szCs w:val="24"/>
                <w:lang w:val="en-US" w:eastAsia="zh-CN"/>
              </w:rPr>
            </w:pPr>
          </w:p>
          <w:p w14:paraId="41E2987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eastAsiaTheme="minorEastAsia"/>
                <w:color w:val="FF0000"/>
                <w:sz w:val="24"/>
                <w:szCs w:val="24"/>
                <w:lang w:val="en-US" w:eastAsia="zh-CN"/>
              </w:rPr>
            </w:pPr>
          </w:p>
          <w:p w14:paraId="76EF402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eastAsiaTheme="minorEastAsia"/>
                <w:color w:val="FF0000"/>
                <w:sz w:val="24"/>
                <w:szCs w:val="24"/>
                <w:lang w:val="en-US" w:eastAsia="zh-CN"/>
              </w:rPr>
            </w:pPr>
          </w:p>
          <w:p w14:paraId="35598C0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eastAsiaTheme="minorEastAsia"/>
                <w:color w:val="FF0000"/>
                <w:sz w:val="24"/>
                <w:szCs w:val="24"/>
                <w:lang w:val="en-US" w:eastAsia="zh-CN"/>
              </w:rPr>
            </w:pPr>
          </w:p>
          <w:p w14:paraId="278DEE00">
            <w:pPr>
              <w:pStyle w:val="2"/>
              <w:rPr>
                <w:rFonts w:hint="eastAsia" w:eastAsiaTheme="minorEastAsia"/>
                <w:color w:val="FF0000"/>
                <w:sz w:val="24"/>
                <w:szCs w:val="24"/>
                <w:lang w:val="en-US" w:eastAsia="zh-CN"/>
              </w:rPr>
            </w:pPr>
          </w:p>
          <w:p w14:paraId="69BF4924">
            <w:pPr>
              <w:rPr>
                <w:rFonts w:hint="eastAsia" w:eastAsiaTheme="minorEastAsia"/>
                <w:color w:val="FF0000"/>
                <w:sz w:val="24"/>
                <w:szCs w:val="24"/>
                <w:lang w:val="en-US" w:eastAsia="zh-CN"/>
              </w:rPr>
            </w:pPr>
          </w:p>
          <w:p w14:paraId="3A44021E">
            <w:pPr>
              <w:pStyle w:val="2"/>
              <w:rPr>
                <w:rFonts w:hint="eastAsia" w:eastAsiaTheme="minorEastAsia"/>
                <w:color w:val="FF0000"/>
                <w:sz w:val="24"/>
                <w:szCs w:val="24"/>
                <w:lang w:val="en-US" w:eastAsia="zh-CN"/>
              </w:rPr>
            </w:pPr>
          </w:p>
          <w:p w14:paraId="4462F1B4">
            <w:pPr>
              <w:rPr>
                <w:rFonts w:hint="eastAsia" w:eastAsiaTheme="minorEastAsia"/>
                <w:color w:val="FF0000"/>
                <w:sz w:val="24"/>
                <w:szCs w:val="24"/>
                <w:lang w:val="en-US" w:eastAsia="zh-CN"/>
              </w:rPr>
            </w:pPr>
          </w:p>
          <w:p w14:paraId="35A8E752">
            <w:pPr>
              <w:pStyle w:val="2"/>
              <w:rPr>
                <w:rFonts w:hint="eastAsia" w:eastAsiaTheme="minorEastAsia"/>
                <w:color w:val="FF0000"/>
                <w:sz w:val="24"/>
                <w:szCs w:val="24"/>
                <w:lang w:val="en-US" w:eastAsia="zh-CN"/>
              </w:rPr>
            </w:pPr>
          </w:p>
          <w:p w14:paraId="013117A7">
            <w:pPr>
              <w:rPr>
                <w:rFonts w:hint="eastAsia"/>
                <w:lang w:val="en-US" w:eastAsia="zh-CN"/>
              </w:rPr>
            </w:pPr>
          </w:p>
          <w:p w14:paraId="29CAD1A5">
            <w:pPr>
              <w:rPr>
                <w:rFonts w:hint="eastAsia"/>
                <w:lang w:val="en-US" w:eastAsia="zh-CN"/>
              </w:rPr>
            </w:pPr>
          </w:p>
          <w:p w14:paraId="2E445224">
            <w:pPr>
              <w:rPr>
                <w:rFonts w:hint="eastAsia" w:eastAsiaTheme="minorEastAsia"/>
                <w:color w:val="FF0000"/>
                <w:sz w:val="24"/>
                <w:szCs w:val="24"/>
                <w:lang w:val="en-US" w:eastAsia="zh-CN"/>
              </w:rPr>
            </w:pPr>
          </w:p>
          <w:p w14:paraId="38F9B5C7">
            <w:pPr>
              <w:pStyle w:val="2"/>
              <w:rPr>
                <w:rFonts w:hint="eastAsia" w:eastAsiaTheme="minorEastAsia"/>
                <w:color w:val="FF0000"/>
                <w:sz w:val="24"/>
                <w:szCs w:val="24"/>
                <w:lang w:val="en-US" w:eastAsia="zh-CN"/>
              </w:rPr>
            </w:pPr>
          </w:p>
          <w:p w14:paraId="292EA3C6">
            <w:pPr>
              <w:rPr>
                <w:rFonts w:hint="eastAsia" w:eastAsiaTheme="minorEastAsia"/>
                <w:color w:val="FF0000"/>
                <w:sz w:val="24"/>
                <w:szCs w:val="24"/>
                <w:lang w:val="en-US" w:eastAsia="zh-CN"/>
              </w:rPr>
            </w:pPr>
          </w:p>
          <w:p w14:paraId="37DCF64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
                <w:bCs/>
                <w:color w:val="auto"/>
                <w:sz w:val="24"/>
                <w:szCs w:val="24"/>
              </w:rPr>
            </w:pPr>
            <w:r>
              <w:rPr>
                <w:rFonts w:hint="eastAsia" w:eastAsiaTheme="minorEastAsia"/>
                <w:color w:val="auto"/>
                <w:sz w:val="24"/>
                <w:szCs w:val="24"/>
                <w:lang w:val="en-US" w:eastAsia="zh-CN"/>
              </w:rPr>
              <w:t>7</w:t>
            </w:r>
            <w:r>
              <w:rPr>
                <w:rFonts w:hint="eastAsia"/>
                <w:color w:val="auto"/>
                <w:sz w:val="24"/>
                <w:szCs w:val="24"/>
              </w:rPr>
              <w:t>、</w:t>
            </w:r>
            <w:r>
              <w:rPr>
                <w:color w:val="auto"/>
                <w:sz w:val="24"/>
                <w:szCs w:val="24"/>
              </w:rPr>
              <w:t>原辅材料及主要设备</w:t>
            </w:r>
          </w:p>
          <w:p w14:paraId="79E03E4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szCs w:val="24"/>
              </w:rPr>
            </w:pPr>
            <w:r>
              <w:rPr>
                <w:rFonts w:hint="eastAsia"/>
                <w:color w:val="auto"/>
                <w:sz w:val="24"/>
                <w:szCs w:val="24"/>
              </w:rPr>
              <w:t>（1）</w:t>
            </w:r>
            <w:r>
              <w:rPr>
                <w:color w:val="auto"/>
                <w:sz w:val="24"/>
                <w:szCs w:val="24"/>
              </w:rPr>
              <w:t>原辅材料</w:t>
            </w:r>
          </w:p>
          <w:p w14:paraId="728FC43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szCs w:val="24"/>
              </w:rPr>
            </w:pPr>
            <w:r>
              <w:rPr>
                <w:rFonts w:hint="eastAsia" w:ascii="Times New Roman" w:hAnsi="Times New Roman" w:eastAsia="宋体" w:cs="Times New Roman"/>
                <w:color w:val="auto"/>
                <w:sz w:val="24"/>
                <w:szCs w:val="24"/>
                <w:lang w:val="en-US" w:eastAsia="zh-CN"/>
              </w:rPr>
              <w:t>本项目主要原</w:t>
            </w:r>
            <w:r>
              <w:rPr>
                <w:color w:val="auto"/>
                <w:sz w:val="24"/>
                <w:szCs w:val="24"/>
              </w:rPr>
              <w:t>辅材料见表</w:t>
            </w:r>
            <w:r>
              <w:rPr>
                <w:rFonts w:hint="eastAsia"/>
                <w:color w:val="auto"/>
                <w:sz w:val="24"/>
                <w:szCs w:val="24"/>
              </w:rPr>
              <w:t>2</w:t>
            </w:r>
            <w:r>
              <w:rPr>
                <w:color w:val="auto"/>
                <w:sz w:val="24"/>
                <w:szCs w:val="24"/>
              </w:rPr>
              <w:t>-</w:t>
            </w:r>
            <w:r>
              <w:rPr>
                <w:rFonts w:hint="eastAsia"/>
                <w:color w:val="auto"/>
                <w:sz w:val="24"/>
                <w:szCs w:val="24"/>
                <w:lang w:val="en-US" w:eastAsia="zh-CN"/>
              </w:rPr>
              <w:t>4。</w:t>
            </w:r>
          </w:p>
          <w:p w14:paraId="1F5A897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auto"/>
                <w:kern w:val="0"/>
                <w:sz w:val="24"/>
                <w:szCs w:val="28"/>
              </w:rPr>
            </w:pPr>
            <w:r>
              <w:rPr>
                <w:rFonts w:hint="eastAsia" w:ascii="Times New Roman" w:hAnsi="Times New Roman" w:eastAsia="宋体" w:cs="Times New Roman"/>
                <w:b/>
                <w:color w:val="auto"/>
                <w:kern w:val="0"/>
                <w:sz w:val="24"/>
                <w:szCs w:val="28"/>
              </w:rPr>
              <w:t>表2-</w:t>
            </w:r>
            <w:r>
              <w:rPr>
                <w:rFonts w:hint="eastAsia" w:cs="Times New Roman"/>
                <w:b/>
                <w:color w:val="auto"/>
                <w:kern w:val="0"/>
                <w:sz w:val="24"/>
                <w:szCs w:val="28"/>
                <w:lang w:val="en-US" w:eastAsia="zh-CN"/>
              </w:rPr>
              <w:t>4</w:t>
            </w:r>
            <w:r>
              <w:rPr>
                <w:rFonts w:hint="eastAsia" w:ascii="Times New Roman" w:hAnsi="Times New Roman" w:eastAsia="宋体" w:cs="Times New Roman"/>
                <w:b/>
                <w:color w:val="auto"/>
                <w:kern w:val="0"/>
                <w:sz w:val="24"/>
                <w:szCs w:val="28"/>
              </w:rPr>
              <w:t>主要原辅材料一览表</w:t>
            </w:r>
          </w:p>
          <w:tbl>
            <w:tblPr>
              <w:tblStyle w:val="36"/>
              <w:tblW w:w="83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716"/>
              <w:gridCol w:w="2245"/>
              <w:gridCol w:w="763"/>
              <w:gridCol w:w="1317"/>
              <w:gridCol w:w="871"/>
              <w:gridCol w:w="874"/>
            </w:tblGrid>
            <w:tr w14:paraId="29A8E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90" w:type="dxa"/>
                  <w:tcBorders>
                    <w:tl2br w:val="nil"/>
                    <w:tr2bl w:val="nil"/>
                  </w:tcBorders>
                  <w:shd w:val="clear" w:color="auto" w:fill="auto"/>
                  <w:vAlign w:val="center"/>
                </w:tcPr>
                <w:p w14:paraId="362D7BD6">
                  <w:pPr>
                    <w:jc w:val="center"/>
                    <w:rPr>
                      <w:rFonts w:hint="default"/>
                      <w:b/>
                      <w:bCs/>
                      <w:color w:val="auto"/>
                      <w:sz w:val="21"/>
                      <w:szCs w:val="21"/>
                      <w:lang w:val="en-US" w:eastAsia="zh-CN"/>
                    </w:rPr>
                  </w:pPr>
                  <w:r>
                    <w:rPr>
                      <w:rFonts w:hint="eastAsia"/>
                      <w:b/>
                      <w:bCs/>
                      <w:color w:val="auto"/>
                      <w:sz w:val="21"/>
                      <w:szCs w:val="21"/>
                      <w:lang w:val="en-US" w:eastAsia="zh-CN"/>
                    </w:rPr>
                    <w:t>序号</w:t>
                  </w:r>
                </w:p>
              </w:tc>
              <w:tc>
                <w:tcPr>
                  <w:tcW w:w="1716" w:type="dxa"/>
                  <w:tcBorders>
                    <w:tl2br w:val="nil"/>
                    <w:tr2bl w:val="nil"/>
                  </w:tcBorders>
                  <w:shd w:val="clear" w:color="auto" w:fill="auto"/>
                  <w:vAlign w:val="center"/>
                </w:tcPr>
                <w:p w14:paraId="4F36D5A6">
                  <w:pPr>
                    <w:jc w:val="center"/>
                    <w:rPr>
                      <w:rFonts w:ascii="Times New Roman" w:hAnsi="Times New Roman" w:eastAsia="宋体" w:cs="Times New Roman"/>
                      <w:b/>
                      <w:bCs/>
                      <w:color w:val="auto"/>
                      <w:kern w:val="2"/>
                      <w:sz w:val="21"/>
                      <w:szCs w:val="21"/>
                      <w:lang w:val="en-US" w:eastAsia="zh-CN" w:bidi="ar-SA"/>
                    </w:rPr>
                  </w:pPr>
                  <w:r>
                    <w:rPr>
                      <w:b/>
                      <w:bCs/>
                      <w:color w:val="auto"/>
                      <w:sz w:val="21"/>
                      <w:szCs w:val="21"/>
                    </w:rPr>
                    <w:t>名称</w:t>
                  </w:r>
                </w:p>
              </w:tc>
              <w:tc>
                <w:tcPr>
                  <w:tcW w:w="2245" w:type="dxa"/>
                  <w:tcBorders>
                    <w:tl2br w:val="nil"/>
                    <w:tr2bl w:val="nil"/>
                  </w:tcBorders>
                  <w:shd w:val="clear" w:color="auto" w:fill="auto"/>
                  <w:vAlign w:val="center"/>
                </w:tcPr>
                <w:p w14:paraId="273669FD">
                  <w:pPr>
                    <w:jc w:val="center"/>
                    <w:rPr>
                      <w:rFonts w:ascii="Times New Roman" w:hAnsi="Times New Roman" w:eastAsia="宋体" w:cs="Times New Roman"/>
                      <w:b/>
                      <w:bCs/>
                      <w:color w:val="auto"/>
                      <w:kern w:val="2"/>
                      <w:sz w:val="21"/>
                      <w:szCs w:val="21"/>
                      <w:lang w:val="en-US" w:eastAsia="zh-CN" w:bidi="ar-SA"/>
                    </w:rPr>
                  </w:pPr>
                  <w:r>
                    <w:rPr>
                      <w:b/>
                      <w:bCs/>
                      <w:color w:val="auto"/>
                      <w:sz w:val="21"/>
                      <w:szCs w:val="21"/>
                    </w:rPr>
                    <w:t>成分</w:t>
                  </w:r>
                </w:p>
              </w:tc>
              <w:tc>
                <w:tcPr>
                  <w:tcW w:w="763" w:type="dxa"/>
                  <w:tcBorders>
                    <w:tl2br w:val="nil"/>
                    <w:tr2bl w:val="nil"/>
                  </w:tcBorders>
                  <w:shd w:val="clear" w:color="auto" w:fill="auto"/>
                  <w:vAlign w:val="center"/>
                </w:tcPr>
                <w:p w14:paraId="0DD635E4">
                  <w:pPr>
                    <w:jc w:val="center"/>
                    <w:rPr>
                      <w:rFonts w:hint="eastAsia" w:eastAsia="宋体"/>
                      <w:b/>
                      <w:bCs/>
                      <w:color w:val="auto"/>
                      <w:sz w:val="21"/>
                      <w:szCs w:val="21"/>
                      <w:lang w:val="en-US" w:eastAsia="zh-CN"/>
                    </w:rPr>
                  </w:pPr>
                  <w:r>
                    <w:rPr>
                      <w:rFonts w:hint="eastAsia"/>
                      <w:b/>
                      <w:bCs/>
                      <w:color w:val="auto"/>
                      <w:sz w:val="21"/>
                      <w:szCs w:val="21"/>
                      <w:lang w:val="en-US" w:eastAsia="zh-CN"/>
                    </w:rPr>
                    <w:t>性状</w:t>
                  </w:r>
                </w:p>
              </w:tc>
              <w:tc>
                <w:tcPr>
                  <w:tcW w:w="1317" w:type="dxa"/>
                  <w:tcBorders>
                    <w:tl2br w:val="nil"/>
                    <w:tr2bl w:val="nil"/>
                  </w:tcBorders>
                  <w:shd w:val="clear" w:color="auto" w:fill="auto"/>
                  <w:vAlign w:val="center"/>
                </w:tcPr>
                <w:p w14:paraId="698E4F34">
                  <w:pPr>
                    <w:jc w:val="center"/>
                    <w:rPr>
                      <w:rFonts w:hint="eastAsia"/>
                      <w:b/>
                      <w:bCs/>
                      <w:color w:val="auto"/>
                      <w:sz w:val="21"/>
                      <w:szCs w:val="21"/>
                      <w:lang w:val="en-US" w:eastAsia="zh-CN"/>
                    </w:rPr>
                  </w:pPr>
                  <w:r>
                    <w:rPr>
                      <w:rFonts w:hint="eastAsia"/>
                      <w:b/>
                      <w:bCs/>
                      <w:color w:val="auto"/>
                      <w:sz w:val="21"/>
                      <w:szCs w:val="21"/>
                      <w:lang w:val="en-US" w:eastAsia="zh-CN"/>
                    </w:rPr>
                    <w:t>包装</w:t>
                  </w:r>
                </w:p>
                <w:p w14:paraId="2B0B1209">
                  <w:pPr>
                    <w:jc w:val="center"/>
                    <w:rPr>
                      <w:rFonts w:hint="default" w:eastAsia="宋体"/>
                      <w:b/>
                      <w:bCs/>
                      <w:color w:val="auto"/>
                      <w:sz w:val="21"/>
                      <w:szCs w:val="21"/>
                      <w:lang w:val="en-US" w:eastAsia="zh-CN"/>
                    </w:rPr>
                  </w:pPr>
                  <w:r>
                    <w:rPr>
                      <w:rFonts w:hint="eastAsia"/>
                      <w:b/>
                      <w:bCs/>
                      <w:color w:val="auto"/>
                      <w:sz w:val="21"/>
                      <w:szCs w:val="21"/>
                      <w:lang w:val="en-US" w:eastAsia="zh-CN"/>
                    </w:rPr>
                    <w:t>方式</w:t>
                  </w:r>
                </w:p>
              </w:tc>
              <w:tc>
                <w:tcPr>
                  <w:tcW w:w="871" w:type="dxa"/>
                  <w:tcBorders>
                    <w:tl2br w:val="nil"/>
                    <w:tr2bl w:val="nil"/>
                  </w:tcBorders>
                  <w:shd w:val="clear" w:color="auto" w:fill="auto"/>
                  <w:vAlign w:val="center"/>
                </w:tcPr>
                <w:p w14:paraId="7658A0B5">
                  <w:pPr>
                    <w:jc w:val="center"/>
                    <w:rPr>
                      <w:rFonts w:hint="default"/>
                      <w:b/>
                      <w:bCs/>
                      <w:color w:val="auto"/>
                      <w:sz w:val="21"/>
                      <w:szCs w:val="21"/>
                      <w:lang w:val="en-US" w:eastAsia="zh-CN"/>
                    </w:rPr>
                  </w:pPr>
                  <w:r>
                    <w:rPr>
                      <w:rFonts w:hint="eastAsia"/>
                      <w:b/>
                      <w:bCs/>
                      <w:color w:val="auto"/>
                      <w:sz w:val="21"/>
                      <w:szCs w:val="21"/>
                      <w:lang w:val="en-US" w:eastAsia="zh-CN"/>
                    </w:rPr>
                    <w:t>年用量</w:t>
                  </w:r>
                </w:p>
              </w:tc>
              <w:tc>
                <w:tcPr>
                  <w:tcW w:w="874" w:type="dxa"/>
                  <w:tcBorders>
                    <w:tl2br w:val="nil"/>
                    <w:tr2bl w:val="nil"/>
                  </w:tcBorders>
                  <w:shd w:val="clear" w:color="auto" w:fill="auto"/>
                  <w:vAlign w:val="center"/>
                </w:tcPr>
                <w:p w14:paraId="5A18CA14">
                  <w:pPr>
                    <w:jc w:val="center"/>
                    <w:rPr>
                      <w:rFonts w:hint="eastAsia" w:ascii="Times New Roman" w:hAnsi="Times New Roman" w:eastAsia="宋体" w:cs="Times New Roman"/>
                      <w:b/>
                      <w:bCs/>
                      <w:color w:val="auto"/>
                      <w:kern w:val="2"/>
                      <w:sz w:val="21"/>
                      <w:szCs w:val="21"/>
                      <w:lang w:val="en-US" w:eastAsia="zh-CN" w:bidi="ar-SA"/>
                    </w:rPr>
                  </w:pPr>
                  <w:r>
                    <w:rPr>
                      <w:rFonts w:hint="eastAsia"/>
                      <w:b/>
                      <w:bCs/>
                      <w:color w:val="auto"/>
                      <w:sz w:val="21"/>
                      <w:szCs w:val="21"/>
                      <w:lang w:eastAsia="zh-CN"/>
                    </w:rPr>
                    <w:t>最大存储量</w:t>
                  </w:r>
                </w:p>
              </w:tc>
            </w:tr>
            <w:tr w14:paraId="464F2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90" w:type="dxa"/>
                  <w:tcBorders>
                    <w:tl2br w:val="nil"/>
                    <w:tr2bl w:val="nil"/>
                  </w:tcBorders>
                  <w:shd w:val="clear" w:color="auto" w:fill="auto"/>
                  <w:vAlign w:val="center"/>
                </w:tcPr>
                <w:p w14:paraId="1ADD9538">
                  <w:pPr>
                    <w:pStyle w:val="43"/>
                    <w:spacing w:line="24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1</w:t>
                  </w:r>
                </w:p>
              </w:tc>
              <w:tc>
                <w:tcPr>
                  <w:tcW w:w="1716" w:type="dxa"/>
                  <w:tcBorders>
                    <w:tl2br w:val="nil"/>
                    <w:tr2bl w:val="nil"/>
                  </w:tcBorders>
                  <w:shd w:val="clear" w:color="auto" w:fill="auto"/>
                  <w:vAlign w:val="center"/>
                </w:tcPr>
                <w:p w14:paraId="01486F87">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电路板、控制板、外壳等金属件</w:t>
                  </w:r>
                </w:p>
              </w:tc>
              <w:tc>
                <w:tcPr>
                  <w:tcW w:w="2245" w:type="dxa"/>
                  <w:tcBorders>
                    <w:tl2br w:val="nil"/>
                    <w:tr2bl w:val="nil"/>
                  </w:tcBorders>
                  <w:shd w:val="clear" w:color="auto" w:fill="auto"/>
                  <w:vAlign w:val="center"/>
                </w:tcPr>
                <w:p w14:paraId="4756B667">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金属</w:t>
                  </w:r>
                </w:p>
              </w:tc>
              <w:tc>
                <w:tcPr>
                  <w:tcW w:w="763" w:type="dxa"/>
                  <w:tcBorders>
                    <w:tl2br w:val="nil"/>
                    <w:tr2bl w:val="nil"/>
                  </w:tcBorders>
                  <w:shd w:val="clear" w:color="auto" w:fill="auto"/>
                  <w:vAlign w:val="center"/>
                </w:tcPr>
                <w:p w14:paraId="44651DF1">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固态</w:t>
                  </w:r>
                </w:p>
              </w:tc>
              <w:tc>
                <w:tcPr>
                  <w:tcW w:w="1317" w:type="dxa"/>
                  <w:tcBorders>
                    <w:tl2br w:val="nil"/>
                    <w:tr2bl w:val="nil"/>
                  </w:tcBorders>
                  <w:shd w:val="clear" w:color="auto" w:fill="auto"/>
                  <w:vAlign w:val="center"/>
                </w:tcPr>
                <w:p w14:paraId="579301A7">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w:t>
                  </w:r>
                </w:p>
              </w:tc>
              <w:tc>
                <w:tcPr>
                  <w:tcW w:w="871" w:type="dxa"/>
                  <w:tcBorders>
                    <w:tl2br w:val="nil"/>
                    <w:tr2bl w:val="nil"/>
                  </w:tcBorders>
                  <w:shd w:val="clear" w:color="auto" w:fill="auto"/>
                  <w:vAlign w:val="center"/>
                </w:tcPr>
                <w:p w14:paraId="77E40A6C">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460套</w:t>
                  </w:r>
                </w:p>
              </w:tc>
              <w:tc>
                <w:tcPr>
                  <w:tcW w:w="874" w:type="dxa"/>
                  <w:tcBorders>
                    <w:tl2br w:val="nil"/>
                    <w:tr2bl w:val="nil"/>
                  </w:tcBorders>
                  <w:shd w:val="clear" w:color="auto" w:fill="auto"/>
                  <w:vAlign w:val="center"/>
                </w:tcPr>
                <w:p w14:paraId="7C123548">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50套</w:t>
                  </w:r>
                </w:p>
              </w:tc>
            </w:tr>
            <w:tr w14:paraId="499F5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90" w:type="dxa"/>
                  <w:tcBorders>
                    <w:tl2br w:val="nil"/>
                    <w:tr2bl w:val="nil"/>
                  </w:tcBorders>
                  <w:shd w:val="clear" w:color="auto" w:fill="auto"/>
                  <w:vAlign w:val="center"/>
                </w:tcPr>
                <w:p w14:paraId="6D469840">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2</w:t>
                  </w:r>
                </w:p>
              </w:tc>
              <w:tc>
                <w:tcPr>
                  <w:tcW w:w="1716" w:type="dxa"/>
                  <w:tcBorders>
                    <w:tl2br w:val="nil"/>
                    <w:tr2bl w:val="nil"/>
                  </w:tcBorders>
                  <w:shd w:val="clear" w:color="auto" w:fill="auto"/>
                  <w:vAlign w:val="center"/>
                </w:tcPr>
                <w:p w14:paraId="5F376A4A">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无铅焊丝</w:t>
                  </w:r>
                </w:p>
              </w:tc>
              <w:tc>
                <w:tcPr>
                  <w:tcW w:w="2245" w:type="dxa"/>
                  <w:tcBorders>
                    <w:tl2br w:val="nil"/>
                    <w:tr2bl w:val="nil"/>
                  </w:tcBorders>
                  <w:shd w:val="clear" w:color="auto" w:fill="auto"/>
                  <w:vAlign w:val="center"/>
                </w:tcPr>
                <w:p w14:paraId="600682E8">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w:t>
                  </w:r>
                </w:p>
              </w:tc>
              <w:tc>
                <w:tcPr>
                  <w:tcW w:w="763" w:type="dxa"/>
                  <w:tcBorders>
                    <w:tl2br w:val="nil"/>
                    <w:tr2bl w:val="nil"/>
                  </w:tcBorders>
                  <w:shd w:val="clear" w:color="auto" w:fill="auto"/>
                  <w:vAlign w:val="center"/>
                </w:tcPr>
                <w:p w14:paraId="1FC58C86">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固态</w:t>
                  </w:r>
                </w:p>
              </w:tc>
              <w:tc>
                <w:tcPr>
                  <w:tcW w:w="1317" w:type="dxa"/>
                  <w:tcBorders>
                    <w:tl2br w:val="nil"/>
                    <w:tr2bl w:val="nil"/>
                  </w:tcBorders>
                  <w:shd w:val="clear" w:color="auto" w:fill="auto"/>
                  <w:vAlign w:val="center"/>
                </w:tcPr>
                <w:p w14:paraId="5E736726">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直径1mm</w:t>
                  </w:r>
                </w:p>
              </w:tc>
              <w:tc>
                <w:tcPr>
                  <w:tcW w:w="871" w:type="dxa"/>
                  <w:tcBorders>
                    <w:tl2br w:val="nil"/>
                    <w:tr2bl w:val="nil"/>
                  </w:tcBorders>
                  <w:shd w:val="clear" w:color="auto" w:fill="auto"/>
                  <w:vAlign w:val="center"/>
                </w:tcPr>
                <w:p w14:paraId="1B088594">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50kg</w:t>
                  </w:r>
                </w:p>
              </w:tc>
              <w:tc>
                <w:tcPr>
                  <w:tcW w:w="874" w:type="dxa"/>
                  <w:tcBorders>
                    <w:tl2br w:val="nil"/>
                    <w:tr2bl w:val="nil"/>
                  </w:tcBorders>
                  <w:shd w:val="clear" w:color="auto" w:fill="auto"/>
                  <w:vAlign w:val="center"/>
                </w:tcPr>
                <w:p w14:paraId="100B97CD">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5kg</w:t>
                  </w:r>
                </w:p>
              </w:tc>
            </w:tr>
            <w:tr w14:paraId="5BE93E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90" w:type="dxa"/>
                  <w:tcBorders>
                    <w:tl2br w:val="nil"/>
                    <w:tr2bl w:val="nil"/>
                  </w:tcBorders>
                  <w:shd w:val="clear" w:color="auto" w:fill="auto"/>
                  <w:vAlign w:val="center"/>
                </w:tcPr>
                <w:p w14:paraId="7D59ADB2">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3</w:t>
                  </w:r>
                </w:p>
              </w:tc>
              <w:tc>
                <w:tcPr>
                  <w:tcW w:w="1716" w:type="dxa"/>
                  <w:tcBorders>
                    <w:tl2br w:val="nil"/>
                    <w:tr2bl w:val="nil"/>
                  </w:tcBorders>
                  <w:shd w:val="clear" w:color="auto" w:fill="auto"/>
                  <w:vAlign w:val="center"/>
                </w:tcPr>
                <w:p w14:paraId="429ED478">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氧气</w:t>
                  </w:r>
                </w:p>
              </w:tc>
              <w:tc>
                <w:tcPr>
                  <w:tcW w:w="2245" w:type="dxa"/>
                  <w:tcBorders>
                    <w:tl2br w:val="nil"/>
                    <w:tr2bl w:val="nil"/>
                  </w:tcBorders>
                  <w:shd w:val="clear" w:color="auto" w:fill="auto"/>
                  <w:vAlign w:val="center"/>
                </w:tcPr>
                <w:p w14:paraId="4A1DD534">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纯度99.5%</w:t>
                  </w:r>
                </w:p>
              </w:tc>
              <w:tc>
                <w:tcPr>
                  <w:tcW w:w="763" w:type="dxa"/>
                  <w:tcBorders>
                    <w:tl2br w:val="nil"/>
                    <w:tr2bl w:val="nil"/>
                  </w:tcBorders>
                  <w:shd w:val="clear" w:color="auto" w:fill="auto"/>
                  <w:vAlign w:val="center"/>
                </w:tcPr>
                <w:p w14:paraId="6B48B52D">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气态</w:t>
                  </w:r>
                </w:p>
              </w:tc>
              <w:tc>
                <w:tcPr>
                  <w:tcW w:w="1317" w:type="dxa"/>
                  <w:tcBorders>
                    <w:tl2br w:val="nil"/>
                    <w:tr2bl w:val="nil"/>
                  </w:tcBorders>
                  <w:shd w:val="clear" w:color="auto" w:fill="auto"/>
                  <w:vAlign w:val="center"/>
                </w:tcPr>
                <w:p w14:paraId="3B3897C3">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40L/瓶</w:t>
                  </w:r>
                </w:p>
              </w:tc>
              <w:tc>
                <w:tcPr>
                  <w:tcW w:w="871" w:type="dxa"/>
                  <w:tcBorders>
                    <w:tl2br w:val="nil"/>
                    <w:tr2bl w:val="nil"/>
                  </w:tcBorders>
                  <w:shd w:val="clear" w:color="auto" w:fill="auto"/>
                  <w:vAlign w:val="center"/>
                </w:tcPr>
                <w:p w14:paraId="3F0D8ED5">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480L</w:t>
                  </w:r>
                </w:p>
              </w:tc>
              <w:tc>
                <w:tcPr>
                  <w:tcW w:w="874" w:type="dxa"/>
                  <w:tcBorders>
                    <w:tl2br w:val="nil"/>
                    <w:tr2bl w:val="nil"/>
                  </w:tcBorders>
                  <w:shd w:val="clear" w:color="auto" w:fill="auto"/>
                  <w:vAlign w:val="center"/>
                </w:tcPr>
                <w:p w14:paraId="40A821C0">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80L</w:t>
                  </w:r>
                </w:p>
              </w:tc>
            </w:tr>
            <w:tr w14:paraId="1A4C9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90" w:type="dxa"/>
                  <w:tcBorders>
                    <w:tl2br w:val="nil"/>
                    <w:tr2bl w:val="nil"/>
                  </w:tcBorders>
                  <w:shd w:val="clear" w:color="auto" w:fill="auto"/>
                  <w:vAlign w:val="center"/>
                </w:tcPr>
                <w:p w14:paraId="5C8680B1">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4</w:t>
                  </w:r>
                </w:p>
              </w:tc>
              <w:tc>
                <w:tcPr>
                  <w:tcW w:w="1716" w:type="dxa"/>
                  <w:tcBorders>
                    <w:tl2br w:val="nil"/>
                    <w:tr2bl w:val="nil"/>
                  </w:tcBorders>
                  <w:shd w:val="clear" w:color="auto" w:fill="auto"/>
                  <w:vAlign w:val="center"/>
                </w:tcPr>
                <w:p w14:paraId="4E0E70A9">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丙烷</w:t>
                  </w:r>
                </w:p>
              </w:tc>
              <w:tc>
                <w:tcPr>
                  <w:tcW w:w="2245" w:type="dxa"/>
                  <w:tcBorders>
                    <w:tl2br w:val="nil"/>
                    <w:tr2bl w:val="nil"/>
                  </w:tcBorders>
                  <w:shd w:val="clear" w:color="auto" w:fill="auto"/>
                  <w:vAlign w:val="center"/>
                </w:tcPr>
                <w:p w14:paraId="2C185E98">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纯度98%</w:t>
                  </w:r>
                </w:p>
              </w:tc>
              <w:tc>
                <w:tcPr>
                  <w:tcW w:w="763" w:type="dxa"/>
                  <w:tcBorders>
                    <w:tl2br w:val="nil"/>
                    <w:tr2bl w:val="nil"/>
                  </w:tcBorders>
                  <w:shd w:val="clear" w:color="auto" w:fill="auto"/>
                  <w:vAlign w:val="center"/>
                </w:tcPr>
                <w:p w14:paraId="667195F6">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气态</w:t>
                  </w:r>
                </w:p>
              </w:tc>
              <w:tc>
                <w:tcPr>
                  <w:tcW w:w="1317" w:type="dxa"/>
                  <w:tcBorders>
                    <w:tl2br w:val="nil"/>
                    <w:tr2bl w:val="nil"/>
                  </w:tcBorders>
                  <w:shd w:val="clear" w:color="auto" w:fill="auto"/>
                  <w:vAlign w:val="center"/>
                </w:tcPr>
                <w:p w14:paraId="0BA2A247">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72L/瓶</w:t>
                  </w:r>
                </w:p>
              </w:tc>
              <w:tc>
                <w:tcPr>
                  <w:tcW w:w="871" w:type="dxa"/>
                  <w:tcBorders>
                    <w:tl2br w:val="nil"/>
                    <w:tr2bl w:val="nil"/>
                  </w:tcBorders>
                  <w:shd w:val="clear" w:color="auto" w:fill="auto"/>
                  <w:vAlign w:val="center"/>
                </w:tcPr>
                <w:p w14:paraId="2B258022">
                  <w:pPr>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480L</w:t>
                  </w:r>
                </w:p>
              </w:tc>
              <w:tc>
                <w:tcPr>
                  <w:tcW w:w="874" w:type="dxa"/>
                  <w:tcBorders>
                    <w:tl2br w:val="nil"/>
                    <w:tr2bl w:val="nil"/>
                  </w:tcBorders>
                  <w:shd w:val="clear" w:color="auto" w:fill="auto"/>
                  <w:vAlign w:val="center"/>
                </w:tcPr>
                <w:p w14:paraId="2BBD8B19">
                  <w:pPr>
                    <w:spacing w:line="240" w:lineRule="auto"/>
                    <w:jc w:val="center"/>
                    <w:rPr>
                      <w:rFonts w:hint="eastAsia"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72</w:t>
                  </w:r>
                  <w:r>
                    <w:rPr>
                      <w:rFonts w:hint="eastAsia" w:ascii="Times New Roman" w:hAnsi="Times New Roman" w:cs="Times New Roman" w:eastAsiaTheme="minorEastAsia"/>
                      <w:color w:val="auto"/>
                      <w:sz w:val="21"/>
                      <w:szCs w:val="21"/>
                      <w:lang w:val="en-US" w:eastAsia="zh-CN"/>
                    </w:rPr>
                    <w:t>L</w:t>
                  </w:r>
                </w:p>
              </w:tc>
            </w:tr>
            <w:tr w14:paraId="41588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90" w:type="dxa"/>
                  <w:tcBorders>
                    <w:tl2br w:val="nil"/>
                    <w:tr2bl w:val="nil"/>
                  </w:tcBorders>
                  <w:shd w:val="clear" w:color="auto" w:fill="auto"/>
                  <w:vAlign w:val="center"/>
                </w:tcPr>
                <w:p w14:paraId="0E8F5DD6">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5</w:t>
                  </w:r>
                </w:p>
              </w:tc>
              <w:tc>
                <w:tcPr>
                  <w:tcW w:w="1716" w:type="dxa"/>
                  <w:tcBorders>
                    <w:tl2br w:val="nil"/>
                    <w:tr2bl w:val="nil"/>
                  </w:tcBorders>
                  <w:shd w:val="clear" w:color="auto" w:fill="auto"/>
                  <w:vAlign w:val="center"/>
                </w:tcPr>
                <w:p w14:paraId="0FE1872C">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氮气</w:t>
                  </w:r>
                </w:p>
              </w:tc>
              <w:tc>
                <w:tcPr>
                  <w:tcW w:w="2245" w:type="dxa"/>
                  <w:tcBorders>
                    <w:tl2br w:val="nil"/>
                    <w:tr2bl w:val="nil"/>
                  </w:tcBorders>
                  <w:shd w:val="clear" w:color="auto" w:fill="auto"/>
                  <w:vAlign w:val="center"/>
                </w:tcPr>
                <w:p w14:paraId="366C79E0">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纯度99.99%</w:t>
                  </w:r>
                </w:p>
              </w:tc>
              <w:tc>
                <w:tcPr>
                  <w:tcW w:w="763" w:type="dxa"/>
                  <w:tcBorders>
                    <w:tl2br w:val="nil"/>
                    <w:tr2bl w:val="nil"/>
                  </w:tcBorders>
                  <w:shd w:val="clear" w:color="auto" w:fill="auto"/>
                  <w:vAlign w:val="center"/>
                </w:tcPr>
                <w:p w14:paraId="3AAD1648">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气态</w:t>
                  </w:r>
                </w:p>
              </w:tc>
              <w:tc>
                <w:tcPr>
                  <w:tcW w:w="1317" w:type="dxa"/>
                  <w:tcBorders>
                    <w:tl2br w:val="nil"/>
                    <w:tr2bl w:val="nil"/>
                  </w:tcBorders>
                  <w:shd w:val="clear" w:color="auto" w:fill="auto"/>
                  <w:vAlign w:val="center"/>
                </w:tcPr>
                <w:p w14:paraId="7057C7F6">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40L/瓶</w:t>
                  </w:r>
                </w:p>
              </w:tc>
              <w:tc>
                <w:tcPr>
                  <w:tcW w:w="871" w:type="dxa"/>
                  <w:tcBorders>
                    <w:tl2br w:val="nil"/>
                    <w:tr2bl w:val="nil"/>
                  </w:tcBorders>
                  <w:shd w:val="clear" w:color="auto" w:fill="auto"/>
                  <w:vAlign w:val="center"/>
                </w:tcPr>
                <w:p w14:paraId="16FBDBEE">
                  <w:pPr>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480L</w:t>
                  </w:r>
                </w:p>
              </w:tc>
              <w:tc>
                <w:tcPr>
                  <w:tcW w:w="874" w:type="dxa"/>
                  <w:tcBorders>
                    <w:tl2br w:val="nil"/>
                    <w:tr2bl w:val="nil"/>
                  </w:tcBorders>
                  <w:shd w:val="clear" w:color="auto" w:fill="auto"/>
                  <w:vAlign w:val="center"/>
                </w:tcPr>
                <w:p w14:paraId="11871D6B">
                  <w:pPr>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80L</w:t>
                  </w:r>
                </w:p>
              </w:tc>
            </w:tr>
            <w:tr w14:paraId="2DC40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90" w:type="dxa"/>
                  <w:tcBorders>
                    <w:tl2br w:val="nil"/>
                    <w:tr2bl w:val="nil"/>
                  </w:tcBorders>
                  <w:shd w:val="clear" w:color="auto" w:fill="auto"/>
                  <w:vAlign w:val="center"/>
                </w:tcPr>
                <w:p w14:paraId="3C7B6A38">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6</w:t>
                  </w:r>
                </w:p>
              </w:tc>
              <w:tc>
                <w:tcPr>
                  <w:tcW w:w="1716" w:type="dxa"/>
                  <w:tcBorders>
                    <w:tl2br w:val="nil"/>
                    <w:tr2bl w:val="nil"/>
                  </w:tcBorders>
                  <w:shd w:val="clear" w:color="auto" w:fill="auto"/>
                  <w:vAlign w:val="center"/>
                </w:tcPr>
                <w:p w14:paraId="01286FCA">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发泡主剂</w:t>
                  </w:r>
                </w:p>
              </w:tc>
              <w:tc>
                <w:tcPr>
                  <w:tcW w:w="2245" w:type="dxa"/>
                  <w:tcBorders>
                    <w:tl2br w:val="nil"/>
                    <w:tr2bl w:val="nil"/>
                  </w:tcBorders>
                  <w:shd w:val="clear" w:color="auto" w:fill="auto"/>
                  <w:vAlign w:val="center"/>
                </w:tcPr>
                <w:p w14:paraId="1BC9C363">
                  <w:pPr>
                    <w:jc w:val="center"/>
                    <w:rPr>
                      <w:rFonts w:hint="default"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eastAsiaTheme="minorEastAsia"/>
                      <w:color w:val="auto"/>
                      <w:kern w:val="0"/>
                      <w:sz w:val="21"/>
                      <w:szCs w:val="21"/>
                      <w:lang w:val="en-US" w:eastAsia="zh-CN" w:bidi="ar-SA"/>
                    </w:rPr>
                    <w:t>组合聚醚100%</w:t>
                  </w:r>
                </w:p>
              </w:tc>
              <w:tc>
                <w:tcPr>
                  <w:tcW w:w="763" w:type="dxa"/>
                  <w:tcBorders>
                    <w:tl2br w:val="nil"/>
                    <w:tr2bl w:val="nil"/>
                  </w:tcBorders>
                  <w:shd w:val="clear" w:color="auto" w:fill="auto"/>
                  <w:vAlign w:val="center"/>
                </w:tcPr>
                <w:p w14:paraId="5F6851C9">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液态</w:t>
                  </w:r>
                </w:p>
              </w:tc>
              <w:tc>
                <w:tcPr>
                  <w:tcW w:w="1317" w:type="dxa"/>
                  <w:tcBorders>
                    <w:tl2br w:val="nil"/>
                    <w:tr2bl w:val="nil"/>
                  </w:tcBorders>
                  <w:shd w:val="clear" w:color="auto" w:fill="auto"/>
                  <w:vAlign w:val="center"/>
                </w:tcPr>
                <w:p w14:paraId="0ABF3B57">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20kg/桶</w:t>
                  </w:r>
                </w:p>
              </w:tc>
              <w:tc>
                <w:tcPr>
                  <w:tcW w:w="871" w:type="dxa"/>
                  <w:tcBorders>
                    <w:tl2br w:val="nil"/>
                    <w:tr2bl w:val="nil"/>
                  </w:tcBorders>
                  <w:shd w:val="clear" w:color="auto" w:fill="auto"/>
                  <w:vAlign w:val="center"/>
                </w:tcPr>
                <w:p w14:paraId="2225FCD6">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20kg</w:t>
                  </w:r>
                </w:p>
              </w:tc>
              <w:tc>
                <w:tcPr>
                  <w:tcW w:w="874" w:type="dxa"/>
                  <w:tcBorders>
                    <w:tl2br w:val="nil"/>
                    <w:tr2bl w:val="nil"/>
                  </w:tcBorders>
                  <w:shd w:val="clear" w:color="auto" w:fill="auto"/>
                  <w:vAlign w:val="center"/>
                </w:tcPr>
                <w:p w14:paraId="70A78AAD">
                  <w:pPr>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20kg</w:t>
                  </w:r>
                </w:p>
              </w:tc>
            </w:tr>
            <w:tr w14:paraId="04357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90" w:type="dxa"/>
                  <w:tcBorders>
                    <w:tl2br w:val="nil"/>
                    <w:tr2bl w:val="nil"/>
                  </w:tcBorders>
                  <w:shd w:val="clear" w:color="auto" w:fill="auto"/>
                  <w:vAlign w:val="center"/>
                </w:tcPr>
                <w:p w14:paraId="01CBC54E">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7</w:t>
                  </w:r>
                </w:p>
              </w:tc>
              <w:tc>
                <w:tcPr>
                  <w:tcW w:w="1716" w:type="dxa"/>
                  <w:tcBorders>
                    <w:tl2br w:val="nil"/>
                    <w:tr2bl w:val="nil"/>
                  </w:tcBorders>
                  <w:shd w:val="clear" w:color="auto" w:fill="auto"/>
                  <w:vAlign w:val="center"/>
                </w:tcPr>
                <w:p w14:paraId="7724A0A0">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发泡固化剂</w:t>
                  </w:r>
                </w:p>
              </w:tc>
              <w:tc>
                <w:tcPr>
                  <w:tcW w:w="2245" w:type="dxa"/>
                  <w:tcBorders>
                    <w:tl2br w:val="nil"/>
                    <w:tr2bl w:val="nil"/>
                  </w:tcBorders>
                  <w:shd w:val="clear" w:color="auto" w:fill="auto"/>
                  <w:vAlign w:val="center"/>
                </w:tcPr>
                <w:p w14:paraId="56BF47F4">
                  <w:pPr>
                    <w:ind w:left="-105" w:leftChars="-50" w:right="-105" w:rightChars="-50"/>
                    <w:jc w:val="center"/>
                    <w:rPr>
                      <w:rFonts w:hint="default"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eastAsiaTheme="minorEastAsia"/>
                      <w:color w:val="auto"/>
                      <w:kern w:val="0"/>
                      <w:sz w:val="21"/>
                      <w:szCs w:val="21"/>
                      <w:lang w:val="en-US" w:eastAsia="zh-CN" w:bidi="ar-SA"/>
                    </w:rPr>
                    <w:t>多亚甲基多苯基多异氰酸酯70%、二苯基甲烷-4,4’—二异氰酸酯30%</w:t>
                  </w:r>
                </w:p>
              </w:tc>
              <w:tc>
                <w:tcPr>
                  <w:tcW w:w="763" w:type="dxa"/>
                  <w:tcBorders>
                    <w:tl2br w:val="nil"/>
                    <w:tr2bl w:val="nil"/>
                  </w:tcBorders>
                  <w:shd w:val="clear" w:color="auto" w:fill="auto"/>
                  <w:vAlign w:val="center"/>
                </w:tcPr>
                <w:p w14:paraId="62904BD4">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液态</w:t>
                  </w:r>
                </w:p>
              </w:tc>
              <w:tc>
                <w:tcPr>
                  <w:tcW w:w="1317" w:type="dxa"/>
                  <w:tcBorders>
                    <w:tl2br w:val="nil"/>
                    <w:tr2bl w:val="nil"/>
                  </w:tcBorders>
                  <w:shd w:val="clear" w:color="auto" w:fill="auto"/>
                  <w:vAlign w:val="center"/>
                </w:tcPr>
                <w:p w14:paraId="150EA5C3">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20kg/桶</w:t>
                  </w:r>
                </w:p>
              </w:tc>
              <w:tc>
                <w:tcPr>
                  <w:tcW w:w="871" w:type="dxa"/>
                  <w:tcBorders>
                    <w:tl2br w:val="nil"/>
                    <w:tr2bl w:val="nil"/>
                  </w:tcBorders>
                  <w:shd w:val="clear" w:color="auto" w:fill="auto"/>
                  <w:vAlign w:val="center"/>
                </w:tcPr>
                <w:p w14:paraId="66D4D98D">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22kg</w:t>
                  </w:r>
                </w:p>
              </w:tc>
              <w:tc>
                <w:tcPr>
                  <w:tcW w:w="874" w:type="dxa"/>
                  <w:tcBorders>
                    <w:tl2br w:val="nil"/>
                    <w:tr2bl w:val="nil"/>
                  </w:tcBorders>
                  <w:shd w:val="clear" w:color="auto" w:fill="auto"/>
                  <w:vAlign w:val="center"/>
                </w:tcPr>
                <w:p w14:paraId="156251DD">
                  <w:pPr>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20kg</w:t>
                  </w:r>
                </w:p>
              </w:tc>
            </w:tr>
            <w:tr w14:paraId="74C54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90" w:type="dxa"/>
                  <w:tcBorders>
                    <w:tl2br w:val="nil"/>
                    <w:tr2bl w:val="nil"/>
                  </w:tcBorders>
                  <w:shd w:val="clear" w:color="auto" w:fill="auto"/>
                  <w:vAlign w:val="center"/>
                </w:tcPr>
                <w:p w14:paraId="50BACED1">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8</w:t>
                  </w:r>
                </w:p>
              </w:tc>
              <w:tc>
                <w:tcPr>
                  <w:tcW w:w="1716" w:type="dxa"/>
                  <w:tcBorders>
                    <w:tl2br w:val="nil"/>
                    <w:tr2bl w:val="nil"/>
                  </w:tcBorders>
                  <w:shd w:val="clear" w:color="auto" w:fill="auto"/>
                  <w:vAlign w:val="center"/>
                </w:tcPr>
                <w:p w14:paraId="247F3728">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水性脱模剂</w:t>
                  </w:r>
                </w:p>
              </w:tc>
              <w:tc>
                <w:tcPr>
                  <w:tcW w:w="2245" w:type="dxa"/>
                  <w:tcBorders>
                    <w:tl2br w:val="nil"/>
                    <w:tr2bl w:val="nil"/>
                  </w:tcBorders>
                  <w:shd w:val="clear" w:color="auto" w:fill="auto"/>
                  <w:vAlign w:val="center"/>
                </w:tcPr>
                <w:p w14:paraId="1FAF0B5C">
                  <w:pPr>
                    <w:ind w:left="-105" w:leftChars="-50" w:right="-105" w:rightChars="-50"/>
                    <w:jc w:val="center"/>
                    <w:rPr>
                      <w:rFonts w:hint="eastAsia" w:ascii="Times New Roman" w:hAnsi="Times New Roman" w:cs="Times New Roman" w:eastAsiaTheme="minorEastAsia"/>
                      <w:color w:val="auto"/>
                      <w:kern w:val="0"/>
                      <w:sz w:val="21"/>
                      <w:szCs w:val="21"/>
                      <w:lang w:val="en-US" w:eastAsia="zh-CN" w:bidi="ar-SA"/>
                    </w:rPr>
                  </w:pPr>
                  <w:r>
                    <w:rPr>
                      <w:rFonts w:hint="eastAsia" w:cs="Times New Roman" w:eastAsiaTheme="minorEastAsia"/>
                      <w:color w:val="auto"/>
                      <w:kern w:val="0"/>
                      <w:sz w:val="21"/>
                      <w:szCs w:val="21"/>
                      <w:lang w:val="en-US" w:eastAsia="zh-CN" w:bidi="ar-SA"/>
                    </w:rPr>
                    <w:t>烃水混合物</w:t>
                  </w:r>
                </w:p>
              </w:tc>
              <w:tc>
                <w:tcPr>
                  <w:tcW w:w="763" w:type="dxa"/>
                  <w:tcBorders>
                    <w:tl2br w:val="nil"/>
                    <w:tr2bl w:val="nil"/>
                  </w:tcBorders>
                  <w:shd w:val="clear" w:color="auto" w:fill="auto"/>
                  <w:vAlign w:val="center"/>
                </w:tcPr>
                <w:p w14:paraId="0C6BA70A">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液态</w:t>
                  </w:r>
                </w:p>
              </w:tc>
              <w:tc>
                <w:tcPr>
                  <w:tcW w:w="1317" w:type="dxa"/>
                  <w:tcBorders>
                    <w:tl2br w:val="nil"/>
                    <w:tr2bl w:val="nil"/>
                  </w:tcBorders>
                  <w:shd w:val="clear" w:color="auto" w:fill="auto"/>
                  <w:vAlign w:val="center"/>
                </w:tcPr>
                <w:p w14:paraId="21C78624">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1kg/桶</w:t>
                  </w:r>
                </w:p>
              </w:tc>
              <w:tc>
                <w:tcPr>
                  <w:tcW w:w="871" w:type="dxa"/>
                  <w:tcBorders>
                    <w:tl2br w:val="nil"/>
                    <w:tr2bl w:val="nil"/>
                  </w:tcBorders>
                  <w:shd w:val="clear" w:color="auto" w:fill="auto"/>
                  <w:vAlign w:val="center"/>
                </w:tcPr>
                <w:p w14:paraId="0A7C1E6F">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1kg</w:t>
                  </w:r>
                </w:p>
              </w:tc>
              <w:tc>
                <w:tcPr>
                  <w:tcW w:w="874" w:type="dxa"/>
                  <w:tcBorders>
                    <w:tl2br w:val="nil"/>
                    <w:tr2bl w:val="nil"/>
                  </w:tcBorders>
                  <w:shd w:val="clear" w:color="auto" w:fill="auto"/>
                  <w:vAlign w:val="center"/>
                </w:tcPr>
                <w:p w14:paraId="24CCD3B8">
                  <w:pPr>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1kg</w:t>
                  </w:r>
                </w:p>
              </w:tc>
            </w:tr>
            <w:tr w14:paraId="538C5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90" w:type="dxa"/>
                  <w:tcBorders>
                    <w:tl2br w:val="nil"/>
                    <w:tr2bl w:val="nil"/>
                  </w:tcBorders>
                  <w:shd w:val="clear" w:color="auto" w:fill="auto"/>
                  <w:vAlign w:val="center"/>
                </w:tcPr>
                <w:p w14:paraId="59F2A039">
                  <w:pPr>
                    <w:pStyle w:val="43"/>
                    <w:spacing w:line="24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9</w:t>
                  </w:r>
                </w:p>
              </w:tc>
              <w:tc>
                <w:tcPr>
                  <w:tcW w:w="1716" w:type="dxa"/>
                  <w:tcBorders>
                    <w:tl2br w:val="nil"/>
                    <w:tr2bl w:val="nil"/>
                  </w:tcBorders>
                  <w:shd w:val="clear" w:color="auto" w:fill="auto"/>
                  <w:vAlign w:val="center"/>
                </w:tcPr>
                <w:p w14:paraId="00495028">
                  <w:pPr>
                    <w:pStyle w:val="43"/>
                    <w:spacing w:line="24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制冷剂</w:t>
                  </w:r>
                </w:p>
              </w:tc>
              <w:tc>
                <w:tcPr>
                  <w:tcW w:w="2245" w:type="dxa"/>
                  <w:tcBorders>
                    <w:tl2br w:val="nil"/>
                    <w:tr2bl w:val="nil"/>
                  </w:tcBorders>
                  <w:shd w:val="clear" w:color="auto" w:fill="auto"/>
                  <w:vAlign w:val="center"/>
                </w:tcPr>
                <w:p w14:paraId="76BA2C66">
                  <w:pPr>
                    <w:pStyle w:val="43"/>
                    <w:spacing w:line="24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HFO/HFC混合物</w:t>
                  </w:r>
                </w:p>
              </w:tc>
              <w:tc>
                <w:tcPr>
                  <w:tcW w:w="763" w:type="dxa"/>
                  <w:tcBorders>
                    <w:tl2br w:val="nil"/>
                    <w:tr2bl w:val="nil"/>
                  </w:tcBorders>
                  <w:shd w:val="clear" w:color="auto" w:fill="auto"/>
                  <w:vAlign w:val="center"/>
                </w:tcPr>
                <w:p w14:paraId="6C950ED4">
                  <w:pPr>
                    <w:pStyle w:val="43"/>
                    <w:spacing w:line="24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液态</w:t>
                  </w:r>
                </w:p>
              </w:tc>
              <w:tc>
                <w:tcPr>
                  <w:tcW w:w="1317" w:type="dxa"/>
                  <w:tcBorders>
                    <w:tl2br w:val="nil"/>
                    <w:tr2bl w:val="nil"/>
                  </w:tcBorders>
                  <w:shd w:val="clear" w:color="auto" w:fill="auto"/>
                  <w:vAlign w:val="center"/>
                </w:tcPr>
                <w:p w14:paraId="297BAB35">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12.5kg/桶</w:t>
                  </w:r>
                </w:p>
              </w:tc>
              <w:tc>
                <w:tcPr>
                  <w:tcW w:w="871" w:type="dxa"/>
                  <w:tcBorders>
                    <w:tl2br w:val="nil"/>
                    <w:tr2bl w:val="nil"/>
                  </w:tcBorders>
                  <w:shd w:val="clear" w:color="auto" w:fill="auto"/>
                  <w:vAlign w:val="center"/>
                </w:tcPr>
                <w:p w14:paraId="082AFBB1">
                  <w:pPr>
                    <w:pStyle w:val="43"/>
                    <w:spacing w:line="24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300kg</w:t>
                  </w:r>
                </w:p>
              </w:tc>
              <w:tc>
                <w:tcPr>
                  <w:tcW w:w="874" w:type="dxa"/>
                  <w:tcBorders>
                    <w:tl2br w:val="nil"/>
                    <w:tr2bl w:val="nil"/>
                  </w:tcBorders>
                  <w:shd w:val="clear" w:color="auto" w:fill="auto"/>
                  <w:vAlign w:val="center"/>
                </w:tcPr>
                <w:p w14:paraId="43548D2E">
                  <w:pPr>
                    <w:pStyle w:val="43"/>
                    <w:spacing w:line="24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50kg</w:t>
                  </w:r>
                </w:p>
              </w:tc>
            </w:tr>
            <w:tr w14:paraId="2082B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90" w:type="dxa"/>
                  <w:tcBorders>
                    <w:tl2br w:val="nil"/>
                    <w:tr2bl w:val="nil"/>
                  </w:tcBorders>
                  <w:shd w:val="clear" w:color="auto" w:fill="auto"/>
                  <w:vAlign w:val="center"/>
                </w:tcPr>
                <w:p w14:paraId="5D13BAA4">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10</w:t>
                  </w:r>
                </w:p>
              </w:tc>
              <w:tc>
                <w:tcPr>
                  <w:tcW w:w="1716" w:type="dxa"/>
                  <w:tcBorders>
                    <w:tl2br w:val="nil"/>
                    <w:tr2bl w:val="nil"/>
                  </w:tcBorders>
                  <w:shd w:val="clear" w:color="auto" w:fill="auto"/>
                  <w:vAlign w:val="center"/>
                </w:tcPr>
                <w:p w14:paraId="6FDA5D51">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抹布、手套</w:t>
                  </w:r>
                </w:p>
              </w:tc>
              <w:tc>
                <w:tcPr>
                  <w:tcW w:w="2245" w:type="dxa"/>
                  <w:tcBorders>
                    <w:tl2br w:val="nil"/>
                    <w:tr2bl w:val="nil"/>
                  </w:tcBorders>
                  <w:shd w:val="clear" w:color="auto" w:fill="auto"/>
                  <w:vAlign w:val="center"/>
                </w:tcPr>
                <w:p w14:paraId="2DBF97E6">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棉质，工业级</w:t>
                  </w:r>
                </w:p>
              </w:tc>
              <w:tc>
                <w:tcPr>
                  <w:tcW w:w="763" w:type="dxa"/>
                  <w:tcBorders>
                    <w:tl2br w:val="nil"/>
                    <w:tr2bl w:val="nil"/>
                  </w:tcBorders>
                  <w:shd w:val="clear" w:color="auto" w:fill="auto"/>
                  <w:vAlign w:val="center"/>
                </w:tcPr>
                <w:p w14:paraId="43C75BC3">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固态</w:t>
                  </w:r>
                </w:p>
              </w:tc>
              <w:tc>
                <w:tcPr>
                  <w:tcW w:w="1317" w:type="dxa"/>
                  <w:tcBorders>
                    <w:tl2br w:val="nil"/>
                    <w:tr2bl w:val="nil"/>
                  </w:tcBorders>
                  <w:shd w:val="clear" w:color="auto" w:fill="auto"/>
                  <w:vAlign w:val="center"/>
                </w:tcPr>
                <w:p w14:paraId="6E0526EF">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10kg/包</w:t>
                  </w:r>
                </w:p>
              </w:tc>
              <w:tc>
                <w:tcPr>
                  <w:tcW w:w="871" w:type="dxa"/>
                  <w:tcBorders>
                    <w:tl2br w:val="nil"/>
                    <w:tr2bl w:val="nil"/>
                  </w:tcBorders>
                  <w:shd w:val="clear" w:color="auto" w:fill="auto"/>
                  <w:vAlign w:val="center"/>
                </w:tcPr>
                <w:p w14:paraId="08A8A811">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50kg</w:t>
                  </w:r>
                </w:p>
              </w:tc>
              <w:tc>
                <w:tcPr>
                  <w:tcW w:w="874" w:type="dxa"/>
                  <w:tcBorders>
                    <w:tl2br w:val="nil"/>
                    <w:tr2bl w:val="nil"/>
                  </w:tcBorders>
                  <w:shd w:val="clear" w:color="auto" w:fill="auto"/>
                  <w:vAlign w:val="center"/>
                </w:tcPr>
                <w:p w14:paraId="11C24955">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20kg</w:t>
                  </w:r>
                </w:p>
              </w:tc>
            </w:tr>
            <w:tr w14:paraId="7263E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90" w:type="dxa"/>
                  <w:tcBorders>
                    <w:tl2br w:val="nil"/>
                    <w:tr2bl w:val="nil"/>
                  </w:tcBorders>
                  <w:shd w:val="clear" w:color="auto" w:fill="auto"/>
                  <w:vAlign w:val="center"/>
                </w:tcPr>
                <w:p w14:paraId="10F4C94B">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11</w:t>
                  </w:r>
                </w:p>
              </w:tc>
              <w:tc>
                <w:tcPr>
                  <w:tcW w:w="1716" w:type="dxa"/>
                  <w:tcBorders>
                    <w:tl2br w:val="nil"/>
                    <w:tr2bl w:val="nil"/>
                  </w:tcBorders>
                  <w:shd w:val="clear" w:color="auto" w:fill="auto"/>
                  <w:vAlign w:val="center"/>
                </w:tcPr>
                <w:p w14:paraId="167AFA49">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酒精</w:t>
                  </w:r>
                </w:p>
              </w:tc>
              <w:tc>
                <w:tcPr>
                  <w:tcW w:w="2245" w:type="dxa"/>
                  <w:tcBorders>
                    <w:tl2br w:val="nil"/>
                    <w:tr2bl w:val="nil"/>
                  </w:tcBorders>
                  <w:shd w:val="clear" w:color="auto" w:fill="auto"/>
                  <w:vAlign w:val="center"/>
                </w:tcPr>
                <w:p w14:paraId="25A92441">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乙醇</w:t>
                  </w:r>
                </w:p>
              </w:tc>
              <w:tc>
                <w:tcPr>
                  <w:tcW w:w="763" w:type="dxa"/>
                  <w:tcBorders>
                    <w:tl2br w:val="nil"/>
                    <w:tr2bl w:val="nil"/>
                  </w:tcBorders>
                  <w:shd w:val="clear" w:color="auto" w:fill="auto"/>
                  <w:vAlign w:val="center"/>
                </w:tcPr>
                <w:p w14:paraId="2EF15F0F">
                  <w:pPr>
                    <w:pStyle w:val="43"/>
                    <w:spacing w:line="240" w:lineRule="auto"/>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液态</w:t>
                  </w:r>
                </w:p>
              </w:tc>
              <w:tc>
                <w:tcPr>
                  <w:tcW w:w="1317" w:type="dxa"/>
                  <w:tcBorders>
                    <w:tl2br w:val="nil"/>
                    <w:tr2bl w:val="nil"/>
                  </w:tcBorders>
                  <w:shd w:val="clear" w:color="auto" w:fill="auto"/>
                  <w:vAlign w:val="center"/>
                </w:tcPr>
                <w:p w14:paraId="0BBFFFEA">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500mL/瓶</w:t>
                  </w:r>
                </w:p>
              </w:tc>
              <w:tc>
                <w:tcPr>
                  <w:tcW w:w="871" w:type="dxa"/>
                  <w:tcBorders>
                    <w:tl2br w:val="nil"/>
                    <w:tr2bl w:val="nil"/>
                  </w:tcBorders>
                  <w:shd w:val="clear" w:color="auto" w:fill="auto"/>
                  <w:vAlign w:val="center"/>
                </w:tcPr>
                <w:p w14:paraId="4BC0A3B5">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2L</w:t>
                  </w:r>
                </w:p>
              </w:tc>
              <w:tc>
                <w:tcPr>
                  <w:tcW w:w="874" w:type="dxa"/>
                  <w:tcBorders>
                    <w:tl2br w:val="nil"/>
                    <w:tr2bl w:val="nil"/>
                  </w:tcBorders>
                  <w:shd w:val="clear" w:color="auto" w:fill="auto"/>
                  <w:vAlign w:val="center"/>
                </w:tcPr>
                <w:p w14:paraId="6F9B9D5D">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500mL</w:t>
                  </w:r>
                </w:p>
              </w:tc>
            </w:tr>
          </w:tbl>
          <w:p w14:paraId="0F132BA4">
            <w:pPr>
              <w:adjustRightInd w:val="0"/>
              <w:snapToGrid w:val="0"/>
              <w:rPr>
                <w:rFonts w:hint="default"/>
                <w:color w:val="FF0000"/>
                <w:sz w:val="18"/>
                <w:szCs w:val="18"/>
                <w:lang w:val="en-US" w:eastAsia="zh-CN"/>
              </w:rPr>
            </w:pPr>
          </w:p>
          <w:p w14:paraId="153F455C">
            <w:pPr>
              <w:spacing w:line="360" w:lineRule="auto"/>
              <w:ind w:left="437"/>
              <w:rPr>
                <w:rFonts w:hint="eastAsia"/>
                <w:color w:val="auto"/>
                <w:sz w:val="24"/>
                <w:szCs w:val="24"/>
                <w:lang w:val="en-US" w:eastAsia="zh-CN"/>
              </w:rPr>
            </w:pPr>
          </w:p>
          <w:p w14:paraId="5B48B10B">
            <w:pPr>
              <w:spacing w:line="360" w:lineRule="auto"/>
              <w:ind w:left="437"/>
              <w:rPr>
                <w:rFonts w:hint="eastAsia"/>
                <w:color w:val="auto"/>
                <w:sz w:val="24"/>
                <w:szCs w:val="24"/>
                <w:lang w:val="en-US" w:eastAsia="zh-CN"/>
              </w:rPr>
            </w:pPr>
          </w:p>
          <w:p w14:paraId="00163D1B">
            <w:pPr>
              <w:spacing w:line="360" w:lineRule="auto"/>
              <w:ind w:left="437"/>
              <w:rPr>
                <w:rFonts w:hint="eastAsia"/>
                <w:color w:val="auto"/>
                <w:sz w:val="24"/>
                <w:szCs w:val="24"/>
                <w:lang w:val="en-US" w:eastAsia="zh-CN"/>
              </w:rPr>
            </w:pPr>
          </w:p>
          <w:p w14:paraId="29552C7A">
            <w:pPr>
              <w:spacing w:line="360" w:lineRule="auto"/>
              <w:ind w:left="437"/>
              <w:rPr>
                <w:rFonts w:hint="eastAsia"/>
                <w:color w:val="auto"/>
                <w:sz w:val="24"/>
                <w:szCs w:val="24"/>
                <w:lang w:val="en-US" w:eastAsia="zh-CN"/>
              </w:rPr>
            </w:pPr>
          </w:p>
          <w:p w14:paraId="3131F38E">
            <w:pPr>
              <w:spacing w:line="360" w:lineRule="auto"/>
              <w:ind w:left="437"/>
              <w:rPr>
                <w:rFonts w:hint="eastAsia"/>
                <w:color w:val="auto"/>
                <w:sz w:val="24"/>
                <w:szCs w:val="24"/>
                <w:lang w:val="en-US" w:eastAsia="zh-CN"/>
              </w:rPr>
            </w:pPr>
          </w:p>
          <w:p w14:paraId="6ADA32A1">
            <w:pPr>
              <w:spacing w:line="360" w:lineRule="auto"/>
              <w:ind w:left="437"/>
              <w:rPr>
                <w:rFonts w:hint="eastAsia"/>
                <w:color w:val="auto"/>
                <w:sz w:val="24"/>
                <w:szCs w:val="24"/>
                <w:lang w:val="en-US" w:eastAsia="zh-CN"/>
              </w:rPr>
            </w:pPr>
          </w:p>
          <w:p w14:paraId="22E4D08A">
            <w:pPr>
              <w:spacing w:line="360" w:lineRule="auto"/>
              <w:ind w:left="437"/>
              <w:rPr>
                <w:rFonts w:hint="eastAsia"/>
                <w:color w:val="auto"/>
                <w:sz w:val="24"/>
                <w:szCs w:val="24"/>
                <w:lang w:val="en-US" w:eastAsia="zh-CN"/>
              </w:rPr>
            </w:pPr>
          </w:p>
          <w:p w14:paraId="46C83C32">
            <w:pPr>
              <w:spacing w:line="360" w:lineRule="auto"/>
              <w:ind w:left="437"/>
              <w:rPr>
                <w:rFonts w:hint="eastAsia"/>
                <w:color w:val="auto"/>
                <w:sz w:val="24"/>
                <w:szCs w:val="24"/>
                <w:lang w:val="en-US" w:eastAsia="zh-CN"/>
              </w:rPr>
            </w:pPr>
          </w:p>
          <w:p w14:paraId="42C09A97">
            <w:pPr>
              <w:spacing w:line="360" w:lineRule="auto"/>
              <w:ind w:left="437"/>
              <w:rPr>
                <w:rFonts w:hint="eastAsia"/>
                <w:color w:val="auto"/>
                <w:sz w:val="24"/>
                <w:szCs w:val="24"/>
                <w:lang w:val="en-US" w:eastAsia="zh-CN"/>
              </w:rPr>
            </w:pPr>
          </w:p>
          <w:p w14:paraId="1D47A19F">
            <w:pPr>
              <w:spacing w:line="360" w:lineRule="auto"/>
              <w:ind w:left="437"/>
              <w:rPr>
                <w:rFonts w:hint="eastAsia"/>
                <w:color w:val="auto"/>
                <w:sz w:val="24"/>
                <w:szCs w:val="24"/>
                <w:lang w:val="en-US" w:eastAsia="zh-CN"/>
              </w:rPr>
            </w:pPr>
          </w:p>
          <w:p w14:paraId="5FF818A4">
            <w:pPr>
              <w:spacing w:line="360" w:lineRule="auto"/>
              <w:ind w:left="437"/>
              <w:rPr>
                <w:rFonts w:hint="eastAsia"/>
                <w:color w:val="auto"/>
                <w:sz w:val="24"/>
                <w:szCs w:val="24"/>
                <w:lang w:val="en-US" w:eastAsia="zh-CN"/>
              </w:rPr>
            </w:pPr>
          </w:p>
          <w:p w14:paraId="2A030ED1">
            <w:pPr>
              <w:spacing w:line="360" w:lineRule="auto"/>
              <w:ind w:left="437"/>
              <w:rPr>
                <w:rFonts w:hint="eastAsia"/>
                <w:color w:val="auto"/>
                <w:sz w:val="24"/>
                <w:szCs w:val="24"/>
                <w:lang w:val="en-US" w:eastAsia="zh-CN"/>
              </w:rPr>
            </w:pPr>
          </w:p>
          <w:p w14:paraId="4CC3B1C2">
            <w:pPr>
              <w:spacing w:line="360" w:lineRule="auto"/>
              <w:ind w:left="437"/>
              <w:rPr>
                <w:rFonts w:hint="eastAsia"/>
                <w:color w:val="auto"/>
                <w:sz w:val="24"/>
                <w:szCs w:val="24"/>
                <w:lang w:val="en-US" w:eastAsia="zh-CN"/>
              </w:rPr>
            </w:pPr>
          </w:p>
          <w:p w14:paraId="27653E4E">
            <w:pPr>
              <w:spacing w:line="360" w:lineRule="auto"/>
              <w:ind w:left="437"/>
              <w:rPr>
                <w:rFonts w:hint="eastAsia"/>
                <w:color w:val="auto"/>
                <w:sz w:val="24"/>
                <w:szCs w:val="24"/>
                <w:lang w:val="en-US" w:eastAsia="zh-CN"/>
              </w:rPr>
            </w:pPr>
          </w:p>
          <w:p w14:paraId="4693490E">
            <w:pPr>
              <w:spacing w:line="360" w:lineRule="auto"/>
              <w:ind w:left="437"/>
              <w:rPr>
                <w:rFonts w:hint="eastAsia"/>
                <w:color w:val="auto"/>
                <w:sz w:val="24"/>
                <w:szCs w:val="24"/>
                <w:lang w:val="en-US" w:eastAsia="zh-CN"/>
              </w:rPr>
            </w:pPr>
          </w:p>
          <w:p w14:paraId="00869DBA">
            <w:pPr>
              <w:pStyle w:val="2"/>
              <w:rPr>
                <w:rFonts w:hint="eastAsia"/>
                <w:lang w:val="en-US" w:eastAsia="zh-CN"/>
              </w:rPr>
            </w:pPr>
          </w:p>
          <w:p w14:paraId="2DF26909">
            <w:pPr>
              <w:spacing w:line="360" w:lineRule="auto"/>
              <w:ind w:left="437"/>
              <w:rPr>
                <w:rFonts w:hint="eastAsia"/>
                <w:color w:val="auto"/>
                <w:sz w:val="24"/>
                <w:szCs w:val="24"/>
                <w:lang w:val="en-US" w:eastAsia="zh-CN"/>
              </w:rPr>
            </w:pPr>
          </w:p>
          <w:p w14:paraId="0659517E">
            <w:pPr>
              <w:spacing w:line="360" w:lineRule="auto"/>
              <w:ind w:left="437"/>
              <w:rPr>
                <w:rFonts w:hint="eastAsia"/>
                <w:color w:val="auto"/>
                <w:sz w:val="24"/>
                <w:szCs w:val="24"/>
                <w:lang w:val="en-US" w:eastAsia="zh-CN"/>
              </w:rPr>
            </w:pPr>
            <w:r>
              <w:rPr>
                <w:rFonts w:hint="eastAsia"/>
                <w:color w:val="auto"/>
                <w:sz w:val="24"/>
                <w:szCs w:val="24"/>
                <w:lang w:val="en-US" w:eastAsia="zh-CN"/>
              </w:rPr>
              <w:t>（2）原辅材料理化性质</w:t>
            </w:r>
          </w:p>
          <w:p w14:paraId="435F1AB3">
            <w:pPr>
              <w:spacing w:line="360" w:lineRule="auto"/>
              <w:ind w:left="437"/>
              <w:rPr>
                <w:rFonts w:hint="eastAsia"/>
                <w:color w:val="auto"/>
                <w:sz w:val="24"/>
                <w:szCs w:val="24"/>
                <w:lang w:val="en-US" w:eastAsia="zh-CN"/>
              </w:rPr>
            </w:pPr>
            <w:r>
              <w:rPr>
                <w:rFonts w:hint="eastAsia"/>
                <w:color w:val="auto"/>
                <w:sz w:val="24"/>
                <w:szCs w:val="24"/>
                <w:lang w:val="en-US" w:eastAsia="zh-CN"/>
              </w:rPr>
              <w:t>本项目</w:t>
            </w:r>
            <w:r>
              <w:rPr>
                <w:color w:val="auto"/>
                <w:sz w:val="24"/>
                <w:szCs w:val="24"/>
              </w:rPr>
              <w:t>主要原辅材料理化性质及毒理毒性见表</w:t>
            </w:r>
            <w:r>
              <w:rPr>
                <w:rFonts w:hint="eastAsia"/>
                <w:color w:val="auto"/>
                <w:sz w:val="24"/>
                <w:szCs w:val="24"/>
              </w:rPr>
              <w:t>2</w:t>
            </w:r>
            <w:r>
              <w:rPr>
                <w:color w:val="auto"/>
                <w:sz w:val="24"/>
                <w:szCs w:val="24"/>
              </w:rPr>
              <w:t>-</w:t>
            </w:r>
            <w:r>
              <w:rPr>
                <w:rFonts w:hint="eastAsia"/>
                <w:color w:val="auto"/>
                <w:sz w:val="24"/>
                <w:szCs w:val="24"/>
                <w:lang w:val="en-US" w:eastAsia="zh-CN"/>
              </w:rPr>
              <w:t>5</w:t>
            </w:r>
            <w:r>
              <w:rPr>
                <w:color w:val="auto"/>
                <w:sz w:val="24"/>
                <w:szCs w:val="24"/>
              </w:rPr>
              <w:t>。</w:t>
            </w:r>
          </w:p>
          <w:p w14:paraId="5146379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auto"/>
                <w:kern w:val="0"/>
                <w:sz w:val="24"/>
                <w:szCs w:val="28"/>
              </w:rPr>
            </w:pPr>
            <w:r>
              <w:rPr>
                <w:rFonts w:hint="eastAsia" w:ascii="Times New Roman" w:hAnsi="Times New Roman" w:eastAsia="宋体" w:cs="Times New Roman"/>
                <w:b/>
                <w:color w:val="auto"/>
                <w:kern w:val="0"/>
                <w:sz w:val="24"/>
                <w:szCs w:val="28"/>
              </w:rPr>
              <w:t>表2-</w:t>
            </w:r>
            <w:r>
              <w:rPr>
                <w:rFonts w:hint="eastAsia" w:cs="Times New Roman"/>
                <w:b/>
                <w:color w:val="auto"/>
                <w:kern w:val="0"/>
                <w:sz w:val="24"/>
                <w:szCs w:val="28"/>
                <w:lang w:val="en-US" w:eastAsia="zh-CN"/>
              </w:rPr>
              <w:t>5</w:t>
            </w:r>
            <w:r>
              <w:rPr>
                <w:rFonts w:hint="eastAsia" w:ascii="Times New Roman" w:hAnsi="Times New Roman" w:eastAsia="宋体" w:cs="Times New Roman"/>
                <w:b/>
                <w:color w:val="auto"/>
                <w:kern w:val="0"/>
                <w:sz w:val="24"/>
                <w:szCs w:val="28"/>
              </w:rPr>
              <w:t>主要原辅材料理化特性及毒理毒性表</w:t>
            </w:r>
          </w:p>
          <w:tbl>
            <w:tblPr>
              <w:tblStyle w:val="35"/>
              <w:tblW w:w="505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42"/>
              <w:gridCol w:w="600"/>
              <w:gridCol w:w="608"/>
              <w:gridCol w:w="922"/>
              <w:gridCol w:w="4035"/>
              <w:gridCol w:w="658"/>
              <w:gridCol w:w="1191"/>
            </w:tblGrid>
            <w:tr w14:paraId="6319D1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04" w:type="pct"/>
                  <w:vAlign w:val="center"/>
                </w:tcPr>
                <w:p w14:paraId="418B4588">
                  <w:pPr>
                    <w:adjustRightInd w:val="0"/>
                    <w:snapToGrid w:val="0"/>
                    <w:spacing w:line="28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359" w:type="pct"/>
                  <w:vAlign w:val="center"/>
                </w:tcPr>
                <w:p w14:paraId="67FCC26E">
                  <w:pPr>
                    <w:adjustRightInd w:val="0"/>
                    <w:snapToGrid w:val="0"/>
                    <w:spacing w:line="28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363" w:type="pct"/>
                  <w:vAlign w:val="center"/>
                </w:tcPr>
                <w:p w14:paraId="579A81ED">
                  <w:pPr>
                    <w:adjustRightInd w:val="0"/>
                    <w:snapToGrid w:val="0"/>
                    <w:spacing w:line="280" w:lineRule="exact"/>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化学式</w:t>
                  </w:r>
                </w:p>
              </w:tc>
              <w:tc>
                <w:tcPr>
                  <w:tcW w:w="551" w:type="pct"/>
                  <w:shd w:val="clear" w:color="auto" w:fill="auto"/>
                  <w:vAlign w:val="center"/>
                </w:tcPr>
                <w:p w14:paraId="2DCE8EAF">
                  <w:pPr>
                    <w:adjustRightInd w:val="0"/>
                    <w:snapToGrid w:val="0"/>
                    <w:spacing w:line="280" w:lineRule="exact"/>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sz w:val="21"/>
                      <w:szCs w:val="21"/>
                      <w:lang w:val="en-US" w:eastAsia="zh-CN"/>
                    </w:rPr>
                    <w:t>CAS号</w:t>
                  </w:r>
                </w:p>
              </w:tc>
              <w:tc>
                <w:tcPr>
                  <w:tcW w:w="2414" w:type="pct"/>
                  <w:vAlign w:val="center"/>
                </w:tcPr>
                <w:p w14:paraId="436FCEC5">
                  <w:pPr>
                    <w:adjustRightInd w:val="0"/>
                    <w:snapToGrid w:val="0"/>
                    <w:spacing w:line="28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理化特性</w:t>
                  </w:r>
                </w:p>
              </w:tc>
              <w:tc>
                <w:tcPr>
                  <w:tcW w:w="393" w:type="pct"/>
                  <w:vAlign w:val="center"/>
                </w:tcPr>
                <w:p w14:paraId="713723EB">
                  <w:pPr>
                    <w:adjustRightInd w:val="0"/>
                    <w:snapToGrid w:val="0"/>
                    <w:spacing w:line="28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燃烧爆</w:t>
                  </w:r>
                </w:p>
                <w:p w14:paraId="57DFB845">
                  <w:pPr>
                    <w:adjustRightInd w:val="0"/>
                    <w:snapToGrid w:val="0"/>
                    <w:spacing w:line="28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炸性</w:t>
                  </w:r>
                </w:p>
              </w:tc>
              <w:tc>
                <w:tcPr>
                  <w:tcW w:w="712" w:type="pct"/>
                  <w:vAlign w:val="center"/>
                </w:tcPr>
                <w:p w14:paraId="05FD4405">
                  <w:pPr>
                    <w:adjustRightInd w:val="0"/>
                    <w:snapToGrid w:val="0"/>
                    <w:spacing w:line="28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毒性毒理</w:t>
                  </w:r>
                </w:p>
              </w:tc>
            </w:tr>
            <w:tr w14:paraId="5EDFF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04" w:type="pct"/>
                  <w:shd w:val="clear" w:color="auto" w:fill="auto"/>
                  <w:vAlign w:val="center"/>
                </w:tcPr>
                <w:p w14:paraId="5702B2DC">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w:t>
                  </w:r>
                </w:p>
              </w:tc>
              <w:tc>
                <w:tcPr>
                  <w:tcW w:w="359" w:type="pct"/>
                  <w:shd w:val="clear" w:color="auto" w:fill="auto"/>
                  <w:vAlign w:val="center"/>
                </w:tcPr>
                <w:p w14:paraId="273ECFF4">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发泡主剂</w:t>
                  </w:r>
                </w:p>
              </w:tc>
              <w:tc>
                <w:tcPr>
                  <w:tcW w:w="363" w:type="pct"/>
                  <w:shd w:val="clear" w:color="auto" w:fill="auto"/>
                  <w:vAlign w:val="center"/>
                </w:tcPr>
                <w:p w14:paraId="5AB943B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w:t>
                  </w:r>
                </w:p>
              </w:tc>
              <w:tc>
                <w:tcPr>
                  <w:tcW w:w="551" w:type="pct"/>
                  <w:shd w:val="clear" w:color="auto" w:fill="auto"/>
                  <w:vAlign w:val="center"/>
                </w:tcPr>
                <w:p w14:paraId="5D8FA47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w:t>
                  </w:r>
                </w:p>
              </w:tc>
              <w:tc>
                <w:tcPr>
                  <w:tcW w:w="2414" w:type="pct"/>
                  <w:shd w:val="clear" w:color="auto" w:fill="auto"/>
                  <w:vAlign w:val="center"/>
                </w:tcPr>
                <w:p w14:paraId="12389366">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俗称白料，无色至淡黄色无味液体，凝固点-15℃，沸点＞100℃，闪点＞100℃，密度1.02mg/cm³</w:t>
                  </w:r>
                </w:p>
              </w:tc>
              <w:tc>
                <w:tcPr>
                  <w:tcW w:w="393" w:type="pct"/>
                  <w:shd w:val="clear" w:color="auto" w:fill="auto"/>
                  <w:vAlign w:val="center"/>
                </w:tcPr>
                <w:p w14:paraId="3242B5A4">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可燃</w:t>
                  </w:r>
                </w:p>
              </w:tc>
              <w:tc>
                <w:tcPr>
                  <w:tcW w:w="712" w:type="pct"/>
                  <w:shd w:val="clear" w:color="auto" w:fill="auto"/>
                  <w:vAlign w:val="center"/>
                </w:tcPr>
                <w:p w14:paraId="3920AD2C">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w:t>
                  </w:r>
                </w:p>
              </w:tc>
            </w:tr>
            <w:tr w14:paraId="3A79F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04" w:type="pct"/>
                  <w:shd w:val="clear" w:color="auto" w:fill="auto"/>
                  <w:vAlign w:val="center"/>
                </w:tcPr>
                <w:p w14:paraId="39200172">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w:t>
                  </w:r>
                </w:p>
              </w:tc>
              <w:tc>
                <w:tcPr>
                  <w:tcW w:w="359" w:type="pct"/>
                  <w:shd w:val="clear" w:color="auto" w:fill="auto"/>
                  <w:vAlign w:val="center"/>
                </w:tcPr>
                <w:p w14:paraId="457908A5">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发泡固化剂</w:t>
                  </w:r>
                </w:p>
              </w:tc>
              <w:tc>
                <w:tcPr>
                  <w:tcW w:w="363" w:type="pct"/>
                  <w:shd w:val="clear" w:color="auto" w:fill="auto"/>
                  <w:vAlign w:val="center"/>
                </w:tcPr>
                <w:p w14:paraId="3FAD18D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w:t>
                  </w:r>
                </w:p>
              </w:tc>
              <w:tc>
                <w:tcPr>
                  <w:tcW w:w="551" w:type="pct"/>
                  <w:shd w:val="clear" w:color="auto" w:fill="auto"/>
                  <w:vAlign w:val="center"/>
                </w:tcPr>
                <w:p w14:paraId="0493301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w:t>
                  </w:r>
                </w:p>
              </w:tc>
              <w:tc>
                <w:tcPr>
                  <w:tcW w:w="2414" w:type="pct"/>
                  <w:shd w:val="clear" w:color="auto" w:fill="auto"/>
                  <w:vAlign w:val="center"/>
                </w:tcPr>
                <w:p w14:paraId="4BBF608D">
                  <w:pPr>
                    <w:pStyle w:val="43"/>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auto"/>
                      <w:sz w:val="21"/>
                      <w:szCs w:val="21"/>
                      <w:lang w:val="en-US" w:eastAsia="zh-CN"/>
                    </w:rPr>
                    <w:t>棕色液体，沸点＞204℃，闪点＞200℃，相对密度：1.23g/cm</w:t>
                  </w:r>
                  <w:r>
                    <w:rPr>
                      <w:rFonts w:hint="default" w:ascii="Times New Roman" w:hAnsi="Times New Roman" w:eastAsia="宋体" w:cs="Times New Roman"/>
                      <w:color w:val="auto"/>
                      <w:sz w:val="21"/>
                      <w:szCs w:val="21"/>
                      <w:vertAlign w:val="superscript"/>
                      <w:lang w:val="en-US" w:eastAsia="zh-CN"/>
                    </w:rPr>
                    <w:t>3</w:t>
                  </w:r>
                </w:p>
              </w:tc>
              <w:tc>
                <w:tcPr>
                  <w:tcW w:w="393" w:type="pct"/>
                  <w:shd w:val="clear" w:color="auto" w:fill="auto"/>
                  <w:vAlign w:val="center"/>
                </w:tcPr>
                <w:p w14:paraId="70182B29">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不易燃</w:t>
                  </w:r>
                </w:p>
              </w:tc>
              <w:tc>
                <w:tcPr>
                  <w:tcW w:w="712" w:type="pct"/>
                  <w:shd w:val="clear" w:color="auto" w:fill="auto"/>
                  <w:vAlign w:val="center"/>
                </w:tcPr>
                <w:p w14:paraId="149C575D">
                  <w:pPr>
                    <w:pStyle w:val="43"/>
                    <w:spacing w:line="240" w:lineRule="auto"/>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auto"/>
                      <w:sz w:val="21"/>
                      <w:szCs w:val="21"/>
                      <w:lang w:val="en-US" w:eastAsia="zh-CN"/>
                    </w:rPr>
                    <w:t>LD</w:t>
                  </w:r>
                  <w:r>
                    <w:rPr>
                      <w:rFonts w:hint="default" w:ascii="Times New Roman" w:hAnsi="Times New Roman" w:eastAsia="宋体" w:cs="Times New Roman"/>
                      <w:color w:val="auto"/>
                      <w:sz w:val="21"/>
                      <w:szCs w:val="21"/>
                      <w:vertAlign w:val="subscript"/>
                      <w:lang w:val="en-US" w:eastAsia="zh-CN"/>
                    </w:rPr>
                    <w:t>50</w:t>
                  </w:r>
                  <w:r>
                    <w:rPr>
                      <w:rFonts w:hint="default" w:ascii="Times New Roman" w:hAnsi="Times New Roman" w:eastAsia="宋体" w:cs="Times New Roman"/>
                      <w:color w:val="auto"/>
                      <w:sz w:val="21"/>
                      <w:szCs w:val="21"/>
                      <w:vertAlign w:val="baseline"/>
                      <w:lang w:val="en-US" w:eastAsia="zh-CN"/>
                    </w:rPr>
                    <w:t>：2000mg/kg（鼠经口）；LD</w:t>
                  </w:r>
                  <w:r>
                    <w:rPr>
                      <w:rFonts w:hint="default" w:ascii="Times New Roman" w:hAnsi="Times New Roman" w:eastAsia="宋体" w:cs="Times New Roman"/>
                      <w:color w:val="auto"/>
                      <w:sz w:val="21"/>
                      <w:szCs w:val="21"/>
                      <w:vertAlign w:val="subscript"/>
                      <w:lang w:val="en-US" w:eastAsia="zh-CN"/>
                    </w:rPr>
                    <w:t>50</w:t>
                  </w:r>
                  <w:r>
                    <w:rPr>
                      <w:rFonts w:hint="default" w:ascii="Times New Roman" w:hAnsi="Times New Roman" w:eastAsia="宋体" w:cs="Times New Roman"/>
                      <w:color w:val="auto"/>
                      <w:sz w:val="21"/>
                      <w:szCs w:val="21"/>
                      <w:vertAlign w:val="baseline"/>
                      <w:lang w:val="en-US" w:eastAsia="zh-CN"/>
                    </w:rPr>
                    <w:t>：9400mg/kg（兔经皮）；LC</w:t>
                  </w:r>
                  <w:r>
                    <w:rPr>
                      <w:rFonts w:hint="default" w:ascii="Times New Roman" w:hAnsi="Times New Roman" w:eastAsia="宋体" w:cs="Times New Roman"/>
                      <w:color w:val="auto"/>
                      <w:sz w:val="21"/>
                      <w:szCs w:val="21"/>
                      <w:vertAlign w:val="subscript"/>
                      <w:lang w:val="en-US" w:eastAsia="zh-CN"/>
                    </w:rPr>
                    <w:t>50</w:t>
                  </w:r>
                  <w:r>
                    <w:rPr>
                      <w:rFonts w:hint="default" w:ascii="Times New Roman" w:hAnsi="Times New Roman" w:eastAsia="宋体" w:cs="Times New Roman"/>
                      <w:color w:val="auto"/>
                      <w:sz w:val="21"/>
                      <w:szCs w:val="21"/>
                      <w:vertAlign w:val="baseline"/>
                      <w:lang w:val="en-US" w:eastAsia="zh-CN"/>
                    </w:rPr>
                    <w:t>：2.24mg/L/h（鼠吸入）</w:t>
                  </w:r>
                </w:p>
              </w:tc>
            </w:tr>
            <w:tr w14:paraId="20DC1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04" w:type="pct"/>
                  <w:shd w:val="clear" w:color="auto" w:fill="auto"/>
                  <w:vAlign w:val="center"/>
                </w:tcPr>
                <w:p w14:paraId="0A0A2EEA">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2-1</w:t>
                  </w:r>
                </w:p>
              </w:tc>
              <w:tc>
                <w:tcPr>
                  <w:tcW w:w="359" w:type="pct"/>
                  <w:shd w:val="clear" w:color="auto" w:fill="auto"/>
                  <w:vAlign w:val="center"/>
                </w:tcPr>
                <w:p w14:paraId="2273B6C6">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多亚甲基多苯基多异氰酸酯</w:t>
                  </w:r>
                </w:p>
              </w:tc>
              <w:tc>
                <w:tcPr>
                  <w:tcW w:w="363" w:type="pct"/>
                  <w:shd w:val="clear" w:color="auto" w:fill="auto"/>
                  <w:vAlign w:val="center"/>
                </w:tcPr>
                <w:p w14:paraId="77EFBE8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w:t>
                  </w:r>
                </w:p>
              </w:tc>
              <w:tc>
                <w:tcPr>
                  <w:tcW w:w="551" w:type="pct"/>
                  <w:shd w:val="clear" w:color="auto" w:fill="auto"/>
                  <w:vAlign w:val="center"/>
                </w:tcPr>
                <w:p w14:paraId="362A434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9016-87-9</w:t>
                  </w:r>
                </w:p>
              </w:tc>
              <w:tc>
                <w:tcPr>
                  <w:tcW w:w="2414" w:type="pct"/>
                  <w:shd w:val="clear" w:color="auto" w:fill="auto"/>
                  <w:vAlign w:val="center"/>
                </w:tcPr>
                <w:p w14:paraId="5213B62E">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浅黄色至褐色粘稠液体，有刺激性气味。相对密度（20℃/20 ℃）1．2，燃点：218℃，沸点：392℃。凝固点&lt;10℃。黏度（25℃）200~1000mPa.s。PAPI实际上是由50%MDI与50%官能度大于2以上的多异氰酸酯组成的混合物。升温时能发生自聚作用。溶于氯苯、邻二氯苯、甲苯等。PAPI的活性低，蒸气压低，只是TDI的百分之一，故毒性很低，空气中最高容许浓度0.2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，用于制造聚氨脂胶粘剂。也可直接加入橡胶胶粘剂中，改善橡胶与尼龙或聚酯线的粘接性能</w:t>
                  </w:r>
                </w:p>
              </w:tc>
              <w:tc>
                <w:tcPr>
                  <w:tcW w:w="393" w:type="pct"/>
                  <w:shd w:val="clear" w:color="auto" w:fill="auto"/>
                  <w:vAlign w:val="center"/>
                </w:tcPr>
                <w:p w14:paraId="3A104583">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易燃</w:t>
                  </w:r>
                </w:p>
              </w:tc>
              <w:tc>
                <w:tcPr>
                  <w:tcW w:w="712" w:type="pct"/>
                  <w:shd w:val="clear" w:color="auto" w:fill="auto"/>
                  <w:vAlign w:val="center"/>
                </w:tcPr>
                <w:p w14:paraId="6F3A6AA8">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半数致死浓度（LC</w:t>
                  </w:r>
                  <w:r>
                    <w:rPr>
                      <w:rFonts w:hint="default" w:ascii="Times New Roman" w:hAnsi="Times New Roman" w:eastAsia="宋体" w:cs="Times New Roman"/>
                      <w:color w:val="auto"/>
                      <w:sz w:val="21"/>
                      <w:szCs w:val="21"/>
                      <w:vertAlign w:val="subscript"/>
                      <w:lang w:val="en-US" w:eastAsia="zh-CN"/>
                    </w:rPr>
                    <w:t>50</w:t>
                  </w:r>
                  <w:r>
                    <w:rPr>
                      <w:rFonts w:hint="default" w:ascii="Times New Roman" w:hAnsi="Times New Roman" w:eastAsia="宋体" w:cs="Times New Roman"/>
                      <w:color w:val="auto"/>
                      <w:sz w:val="21"/>
                      <w:szCs w:val="21"/>
                      <w:lang w:val="en-US" w:eastAsia="zh-CN"/>
                    </w:rPr>
                    <w:t>） 吸入-大鼠-4h-0.49mg/L</w:t>
                  </w:r>
                </w:p>
              </w:tc>
            </w:tr>
            <w:tr w14:paraId="73EBA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04" w:type="pct"/>
                  <w:shd w:val="clear" w:color="auto" w:fill="auto"/>
                  <w:vAlign w:val="center"/>
                </w:tcPr>
                <w:p w14:paraId="55E6DA9C">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2-2</w:t>
                  </w:r>
                </w:p>
              </w:tc>
              <w:tc>
                <w:tcPr>
                  <w:tcW w:w="359" w:type="pct"/>
                  <w:shd w:val="clear" w:color="auto" w:fill="auto"/>
                  <w:vAlign w:val="center"/>
                </w:tcPr>
                <w:p w14:paraId="24D5E310">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二苯基甲烷-4,4’—二异氰酸酯</w:t>
                  </w:r>
                </w:p>
              </w:tc>
              <w:tc>
                <w:tcPr>
                  <w:tcW w:w="363" w:type="pct"/>
                  <w:shd w:val="clear" w:color="auto" w:fill="auto"/>
                  <w:vAlign w:val="center"/>
                </w:tcPr>
                <w:p w14:paraId="3E0899C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w:t>
                  </w:r>
                </w:p>
              </w:tc>
              <w:tc>
                <w:tcPr>
                  <w:tcW w:w="551" w:type="pct"/>
                  <w:shd w:val="clear" w:color="auto" w:fill="auto"/>
                  <w:vAlign w:val="center"/>
                </w:tcPr>
                <w:p w14:paraId="7E57FEF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101-68-8</w:t>
                  </w:r>
                </w:p>
              </w:tc>
              <w:tc>
                <w:tcPr>
                  <w:tcW w:w="2414" w:type="pct"/>
                  <w:shd w:val="clear" w:color="auto" w:fill="auto"/>
                  <w:vAlign w:val="center"/>
                </w:tcPr>
                <w:p w14:paraId="3821C85E">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别名4，4MDI，白色至亮黄色至棕色固体，有微弱气味，溶于丙酮、苯、煤油、醚、乙酸乙酯等，遇水分解，熔点：38-39℃，沸点：196℃，MDI的挥发性随着温度的升高而增强</w:t>
                  </w:r>
                </w:p>
              </w:tc>
              <w:tc>
                <w:tcPr>
                  <w:tcW w:w="393" w:type="pct"/>
                  <w:shd w:val="clear" w:color="auto" w:fill="auto"/>
                  <w:vAlign w:val="center"/>
                </w:tcPr>
                <w:p w14:paraId="726E07B3">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不易燃</w:t>
                  </w:r>
                </w:p>
              </w:tc>
              <w:tc>
                <w:tcPr>
                  <w:tcW w:w="712" w:type="pct"/>
                  <w:shd w:val="clear" w:color="auto" w:fill="auto"/>
                  <w:vAlign w:val="center"/>
                </w:tcPr>
                <w:p w14:paraId="34C725E7">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LD50（大鼠经口）9200mg/kg</w:t>
                  </w:r>
                </w:p>
              </w:tc>
            </w:tr>
            <w:tr w14:paraId="3C23A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04" w:type="pct"/>
                  <w:shd w:val="clear" w:color="auto" w:fill="auto"/>
                  <w:vAlign w:val="center"/>
                </w:tcPr>
                <w:p w14:paraId="0277C755">
                  <w:pPr>
                    <w:pStyle w:val="43"/>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359" w:type="pct"/>
                  <w:shd w:val="clear" w:color="auto" w:fill="auto"/>
                  <w:vAlign w:val="center"/>
                </w:tcPr>
                <w:p w14:paraId="64A5F6F6">
                  <w:pPr>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丙烷</w:t>
                  </w:r>
                </w:p>
              </w:tc>
              <w:tc>
                <w:tcPr>
                  <w:tcW w:w="363" w:type="pct"/>
                  <w:shd w:val="clear" w:color="auto" w:fill="auto"/>
                  <w:vAlign w:val="center"/>
                </w:tcPr>
                <w:p w14:paraId="5B8015A5">
                  <w:pPr>
                    <w:jc w:val="center"/>
                    <w:rPr>
                      <w:rFonts w:hint="default" w:ascii="Times New Roman" w:hAnsi="Times New Roman" w:eastAsia="宋体" w:cs="Times New Roman"/>
                      <w:b w:val="0"/>
                      <w:bCs w:val="0"/>
                      <w:color w:val="auto"/>
                      <w:kern w:val="0"/>
                      <w:sz w:val="21"/>
                      <w:szCs w:val="21"/>
                      <w:vertAlign w:val="subscript"/>
                      <w:lang w:val="en-US" w:eastAsia="zh-CN" w:bidi="ar-SA"/>
                    </w:rPr>
                  </w:pPr>
                  <w:r>
                    <w:rPr>
                      <w:rFonts w:hint="default" w:ascii="Times New Roman" w:hAnsi="Times New Roman" w:eastAsia="宋体" w:cs="Times New Roman"/>
                      <w:b w:val="0"/>
                      <w:bCs w:val="0"/>
                      <w:color w:val="auto"/>
                      <w:kern w:val="0"/>
                      <w:sz w:val="21"/>
                      <w:szCs w:val="21"/>
                      <w:vertAlign w:val="baseline"/>
                      <w:lang w:val="en-US" w:eastAsia="zh-CN" w:bidi="ar-SA"/>
                    </w:rPr>
                    <w:t>C</w:t>
                  </w:r>
                  <w:r>
                    <w:rPr>
                      <w:rFonts w:hint="default" w:ascii="Times New Roman" w:hAnsi="Times New Roman" w:eastAsia="宋体" w:cs="Times New Roman"/>
                      <w:b w:val="0"/>
                      <w:bCs w:val="0"/>
                      <w:color w:val="auto"/>
                      <w:kern w:val="0"/>
                      <w:sz w:val="21"/>
                      <w:szCs w:val="21"/>
                      <w:vertAlign w:val="subscript"/>
                      <w:lang w:val="en-US" w:eastAsia="zh-CN" w:bidi="ar-SA"/>
                    </w:rPr>
                    <w:t>3</w:t>
                  </w:r>
                  <w:r>
                    <w:rPr>
                      <w:rFonts w:hint="default" w:ascii="Times New Roman" w:hAnsi="Times New Roman" w:eastAsia="宋体" w:cs="Times New Roman"/>
                      <w:b w:val="0"/>
                      <w:bCs w:val="0"/>
                      <w:color w:val="auto"/>
                      <w:kern w:val="0"/>
                      <w:sz w:val="21"/>
                      <w:szCs w:val="21"/>
                      <w:vertAlign w:val="baseline"/>
                      <w:lang w:val="en-US" w:eastAsia="zh-CN" w:bidi="ar-SA"/>
                    </w:rPr>
                    <w:t>H</w:t>
                  </w:r>
                  <w:r>
                    <w:rPr>
                      <w:rFonts w:hint="default" w:ascii="Times New Roman" w:hAnsi="Times New Roman" w:eastAsia="宋体" w:cs="Times New Roman"/>
                      <w:b w:val="0"/>
                      <w:bCs w:val="0"/>
                      <w:color w:val="auto"/>
                      <w:kern w:val="0"/>
                      <w:sz w:val="21"/>
                      <w:szCs w:val="21"/>
                      <w:vertAlign w:val="subscript"/>
                      <w:lang w:val="en-US" w:eastAsia="zh-CN" w:bidi="ar-SA"/>
                    </w:rPr>
                    <w:t>8</w:t>
                  </w:r>
                </w:p>
              </w:tc>
              <w:tc>
                <w:tcPr>
                  <w:tcW w:w="551" w:type="pct"/>
                  <w:shd w:val="clear" w:color="auto" w:fill="auto"/>
                  <w:vAlign w:val="center"/>
                </w:tcPr>
                <w:p w14:paraId="5FAA72D5">
                  <w:pPr>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74-98-6</w:t>
                  </w:r>
                </w:p>
              </w:tc>
              <w:tc>
                <w:tcPr>
                  <w:tcW w:w="2414" w:type="pct"/>
                  <w:shd w:val="clear" w:color="auto" w:fill="auto"/>
                  <w:vAlign w:val="center"/>
                </w:tcPr>
                <w:p w14:paraId="3672FD16">
                  <w:pPr>
                    <w:pStyle w:val="43"/>
                    <w:spacing w:line="240" w:lineRule="auto"/>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sz w:val="21"/>
                      <w:szCs w:val="21"/>
                    </w:rPr>
                    <w:t>常温常压下为无色气体；蒸汽压190Psi（37.7℃）；熔点-188℃；沸点</w:t>
                  </w: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rPr>
                    <w:t>42.1℃；溶解性：微溶于水，溶于乙醇、乙醚；密度：相对密度（水=1）1.55；相对密度（空气=1）1.6；自燃温度：450℃</w:t>
                  </w:r>
                </w:p>
              </w:tc>
              <w:tc>
                <w:tcPr>
                  <w:tcW w:w="393" w:type="pct"/>
                  <w:shd w:val="clear" w:color="auto" w:fill="auto"/>
                  <w:vAlign w:val="center"/>
                </w:tcPr>
                <w:p w14:paraId="0DE07463">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易燃</w:t>
                  </w:r>
                </w:p>
              </w:tc>
              <w:tc>
                <w:tcPr>
                  <w:tcW w:w="712" w:type="pct"/>
                  <w:shd w:val="clear" w:color="auto" w:fill="auto"/>
                  <w:vAlign w:val="center"/>
                </w:tcPr>
                <w:p w14:paraId="573DA8AA">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无资料</w:t>
                  </w:r>
                </w:p>
              </w:tc>
            </w:tr>
            <w:tr w14:paraId="33A5F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04" w:type="pct"/>
                  <w:vAlign w:val="center"/>
                </w:tcPr>
                <w:p w14:paraId="61A4306C">
                  <w:pPr>
                    <w:pStyle w:val="43"/>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359" w:type="pct"/>
                  <w:shd w:val="clear" w:color="auto" w:fill="auto"/>
                  <w:vAlign w:val="center"/>
                </w:tcPr>
                <w:p w14:paraId="71DC38D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氮气</w:t>
                  </w:r>
                </w:p>
              </w:tc>
              <w:tc>
                <w:tcPr>
                  <w:tcW w:w="363" w:type="pct"/>
                  <w:shd w:val="clear" w:color="auto" w:fill="auto"/>
                  <w:vAlign w:val="center"/>
                </w:tcPr>
                <w:p w14:paraId="6797DE6B">
                  <w:pPr>
                    <w:jc w:val="center"/>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 w:val="21"/>
                      <w:szCs w:val="21"/>
                      <w:shd w:val="clear" w:color="auto" w:fill="FFFFFF"/>
                      <w:lang w:val="en-US" w:eastAsia="zh-CN"/>
                    </w:rPr>
                    <w:t>N</w:t>
                  </w:r>
                  <w:r>
                    <w:rPr>
                      <w:rFonts w:hint="default" w:ascii="Times New Roman" w:hAnsi="Times New Roman" w:eastAsia="宋体" w:cs="Times New Roman"/>
                      <w:color w:val="auto"/>
                      <w:sz w:val="21"/>
                      <w:szCs w:val="21"/>
                      <w:shd w:val="clear" w:color="auto" w:fill="FFFFFF"/>
                      <w:vertAlign w:val="subscript"/>
                      <w:lang w:val="en-US" w:eastAsia="zh-CN"/>
                    </w:rPr>
                    <w:t>2</w:t>
                  </w:r>
                </w:p>
              </w:tc>
              <w:tc>
                <w:tcPr>
                  <w:tcW w:w="551" w:type="pct"/>
                  <w:shd w:val="clear" w:color="auto" w:fill="auto"/>
                  <w:vAlign w:val="center"/>
                </w:tcPr>
                <w:p w14:paraId="5C7C982B">
                  <w:pPr>
                    <w:jc w:val="center"/>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kern w:val="2"/>
                      <w:sz w:val="21"/>
                      <w:szCs w:val="21"/>
                      <w:shd w:val="clear" w:color="auto" w:fill="FFFFFF"/>
                      <w:lang w:val="en-US" w:eastAsia="zh-CN" w:bidi="ar-SA"/>
                    </w:rPr>
                    <w:t>7727-37-9</w:t>
                  </w:r>
                </w:p>
              </w:tc>
              <w:tc>
                <w:tcPr>
                  <w:tcW w:w="2414" w:type="pct"/>
                  <w:shd w:val="clear" w:color="auto" w:fill="auto"/>
                  <w:vAlign w:val="center"/>
                </w:tcPr>
                <w:p w14:paraId="74D8CA1F">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惰性</w:t>
                  </w:r>
                  <w:r>
                    <w:rPr>
                      <w:rFonts w:hint="eastAsia" w:ascii="Times New Roman" w:hAnsi="Times New Roman" w:eastAsia="宋体" w:cs="Times New Roman"/>
                      <w:color w:val="auto"/>
                      <w:sz w:val="21"/>
                      <w:szCs w:val="21"/>
                      <w:lang w:val="en-US" w:eastAsia="zh-CN"/>
                    </w:rPr>
                    <w:t>气体</w:t>
                  </w:r>
                  <w:r>
                    <w:rPr>
                      <w:rFonts w:hint="default" w:ascii="Times New Roman" w:hAnsi="Times New Roman" w:eastAsia="宋体" w:cs="Times New Roman"/>
                      <w:color w:val="auto"/>
                      <w:sz w:val="21"/>
                      <w:szCs w:val="21"/>
                    </w:rPr>
                    <w:t>，无色，无臭，无腐蚀性，不可燃，温度极低。氮构成了大气的大部分</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体积比78.03%，重量比75.5%</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。氮是不活泼的，不支持燃烧。汽化时大量吸热接触造成冻伤</w:t>
                  </w:r>
                </w:p>
              </w:tc>
              <w:tc>
                <w:tcPr>
                  <w:tcW w:w="393" w:type="pct"/>
                  <w:shd w:val="clear" w:color="auto" w:fill="auto"/>
                  <w:vAlign w:val="center"/>
                </w:tcPr>
                <w:p w14:paraId="34AC9A8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不燃</w:t>
                  </w:r>
                </w:p>
              </w:tc>
              <w:tc>
                <w:tcPr>
                  <w:tcW w:w="712" w:type="pct"/>
                  <w:shd w:val="clear" w:color="auto" w:fill="auto"/>
                  <w:vAlign w:val="center"/>
                </w:tcPr>
                <w:p w14:paraId="525C85F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无资料</w:t>
                  </w:r>
                </w:p>
              </w:tc>
            </w:tr>
            <w:tr w14:paraId="51A49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04" w:type="pct"/>
                  <w:vAlign w:val="center"/>
                </w:tcPr>
                <w:p w14:paraId="3DD195B9">
                  <w:pPr>
                    <w:pStyle w:val="43"/>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359" w:type="pct"/>
                  <w:shd w:val="clear" w:color="auto" w:fill="auto"/>
                  <w:vAlign w:val="center"/>
                </w:tcPr>
                <w:p w14:paraId="0ED5FB3E">
                  <w:pPr>
                    <w:pStyle w:val="43"/>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酒精</w:t>
                  </w:r>
                </w:p>
              </w:tc>
              <w:tc>
                <w:tcPr>
                  <w:tcW w:w="363" w:type="pct"/>
                  <w:shd w:val="clear" w:color="auto" w:fill="FFFFFF" w:themeFill="background1"/>
                  <w:vAlign w:val="center"/>
                </w:tcPr>
                <w:p w14:paraId="24C9137D">
                  <w:pPr>
                    <w:keepNext w:val="0"/>
                    <w:keepLines w:val="0"/>
                    <w:pageBreakBefore w:val="0"/>
                    <w:widowControl w:val="0"/>
                    <w:kinsoku/>
                    <w:wordWrap/>
                    <w:overflowPunct/>
                    <w:topLinePunct w:val="0"/>
                    <w:autoSpaceDE/>
                    <w:autoSpaceDN/>
                    <w:bidi w:val="0"/>
                    <w:snapToGrid w:val="0"/>
                    <w:jc w:val="center"/>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kern w:val="0"/>
                      <w:sz w:val="21"/>
                      <w:szCs w:val="21"/>
                      <w:lang w:val="en-US" w:eastAsia="zh-CN"/>
                    </w:rPr>
                    <w:t>C</w:t>
                  </w:r>
                  <w:r>
                    <w:rPr>
                      <w:rFonts w:hint="default" w:ascii="Times New Roman" w:hAnsi="Times New Roman" w:eastAsia="宋体" w:cs="Times New Roman"/>
                      <w:color w:val="auto"/>
                      <w:kern w:val="0"/>
                      <w:sz w:val="21"/>
                      <w:szCs w:val="21"/>
                      <w:vertAlign w:val="subscript"/>
                      <w:lang w:val="en-US" w:eastAsia="zh-CN"/>
                    </w:rPr>
                    <w:t>2</w:t>
                  </w:r>
                  <w:r>
                    <w:rPr>
                      <w:rFonts w:hint="default" w:ascii="Times New Roman" w:hAnsi="Times New Roman" w:eastAsia="宋体" w:cs="Times New Roman"/>
                      <w:color w:val="auto"/>
                      <w:kern w:val="0"/>
                      <w:sz w:val="21"/>
                      <w:szCs w:val="21"/>
                      <w:lang w:val="en-US" w:eastAsia="zh-CN"/>
                    </w:rPr>
                    <w:t>H</w:t>
                  </w:r>
                  <w:r>
                    <w:rPr>
                      <w:rFonts w:hint="default" w:ascii="Times New Roman" w:hAnsi="Times New Roman" w:eastAsia="宋体" w:cs="Times New Roman"/>
                      <w:color w:val="auto"/>
                      <w:kern w:val="0"/>
                      <w:sz w:val="21"/>
                      <w:szCs w:val="21"/>
                      <w:vertAlign w:val="subscript"/>
                      <w:lang w:val="en-US" w:eastAsia="zh-CN"/>
                    </w:rPr>
                    <w:t>6</w:t>
                  </w:r>
                  <w:r>
                    <w:rPr>
                      <w:rFonts w:hint="default" w:ascii="Times New Roman" w:hAnsi="Times New Roman" w:eastAsia="宋体" w:cs="Times New Roman"/>
                      <w:color w:val="auto"/>
                      <w:kern w:val="0"/>
                      <w:sz w:val="21"/>
                      <w:szCs w:val="21"/>
                      <w:lang w:val="en-US" w:eastAsia="zh-CN"/>
                    </w:rPr>
                    <w:t>O</w:t>
                  </w:r>
                </w:p>
              </w:tc>
              <w:tc>
                <w:tcPr>
                  <w:tcW w:w="551" w:type="pct"/>
                  <w:shd w:val="clear" w:color="auto" w:fill="FFFFFF" w:themeFill="background1"/>
                  <w:vAlign w:val="center"/>
                </w:tcPr>
                <w:p w14:paraId="1A10D3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64-17-5</w:t>
                  </w:r>
                </w:p>
              </w:tc>
              <w:tc>
                <w:tcPr>
                  <w:tcW w:w="2414" w:type="pct"/>
                  <w:shd w:val="clear" w:color="auto" w:fill="auto"/>
                  <w:vAlign w:val="center"/>
                </w:tcPr>
                <w:p w14:paraId="71A04ADF">
                  <w:pPr>
                    <w:keepNext w:val="0"/>
                    <w:keepLines w:val="0"/>
                    <w:widowControl/>
                    <w:suppressLineNumbers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无色液体，有酒香，熔点：（℃）-114.1，沸点：78.3，相对密度：（水=1）0.79，相对密度：（空气=1）1.59，与水混溶，可溶于醚、氯仿、甘油等多数有机溶剂</w:t>
                  </w:r>
                </w:p>
              </w:tc>
              <w:tc>
                <w:tcPr>
                  <w:tcW w:w="393" w:type="pct"/>
                  <w:shd w:val="clear" w:color="auto" w:fill="auto"/>
                  <w:vAlign w:val="center"/>
                </w:tcPr>
                <w:p w14:paraId="5BAAF399">
                  <w:pPr>
                    <w:keepNext w:val="0"/>
                    <w:keepLines w:val="0"/>
                    <w:widowControl/>
                    <w:suppressLineNumbers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易燃</w:t>
                  </w:r>
                </w:p>
              </w:tc>
              <w:tc>
                <w:tcPr>
                  <w:tcW w:w="712" w:type="pct"/>
                  <w:shd w:val="clear" w:color="auto" w:fill="auto"/>
                  <w:vAlign w:val="center"/>
                </w:tcPr>
                <w:p w14:paraId="16B4372A">
                  <w:pPr>
                    <w:keepNext w:val="0"/>
                    <w:keepLines w:val="0"/>
                    <w:widowControl/>
                    <w:suppressLineNumbers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急性毒性LD</w:t>
                  </w:r>
                  <w:r>
                    <w:rPr>
                      <w:rFonts w:hint="default" w:ascii="Times New Roman" w:hAnsi="Times New Roman" w:eastAsia="宋体" w:cs="Times New Roman"/>
                      <w:color w:val="auto"/>
                      <w:sz w:val="21"/>
                      <w:szCs w:val="21"/>
                      <w:vertAlign w:val="subscript"/>
                      <w:lang w:val="en-US" w:eastAsia="zh-CN"/>
                    </w:rPr>
                    <w:t>50</w:t>
                  </w:r>
                  <w:r>
                    <w:rPr>
                      <w:rFonts w:hint="default"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lang w:val="en-US" w:eastAsia="zh-CN"/>
                    </w:rPr>
                    <w:t>7060mg/kg（兔经口）7430mg/kg（兔经皮）LC</w:t>
                  </w:r>
                  <w:r>
                    <w:rPr>
                      <w:rFonts w:hint="default" w:ascii="Times New Roman" w:hAnsi="Times New Roman" w:eastAsia="宋体" w:cs="Times New Roman"/>
                      <w:color w:val="auto"/>
                      <w:sz w:val="21"/>
                      <w:szCs w:val="21"/>
                      <w:vertAlign w:val="subscript"/>
                      <w:lang w:val="en-US" w:eastAsia="zh-CN"/>
                    </w:rPr>
                    <w:t>50</w:t>
                  </w:r>
                  <w:r>
                    <w:rPr>
                      <w:rFonts w:hint="default"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lang w:val="en-US" w:eastAsia="zh-CN"/>
                    </w:rPr>
                    <w:t>37620mg/m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，10小时（大鼠吸入）</w:t>
                  </w:r>
                </w:p>
              </w:tc>
            </w:tr>
          </w:tbl>
          <w:p w14:paraId="5581EDDE">
            <w:pPr>
              <w:pStyle w:val="2"/>
              <w:spacing w:after="0"/>
              <w:ind w:firstLine="0" w:firstLineChars="0"/>
              <w:rPr>
                <w:rFonts w:hint="eastAsia" w:eastAsia="宋体"/>
                <w:color w:val="FF0000"/>
                <w:sz w:val="10"/>
                <w:szCs w:val="10"/>
                <w:lang w:val="en-US" w:eastAsia="zh-CN"/>
              </w:rPr>
            </w:pPr>
          </w:p>
          <w:p w14:paraId="0A669BE1">
            <w:pPr>
              <w:spacing w:line="348" w:lineRule="auto"/>
              <w:ind w:firstLine="480" w:firstLineChars="200"/>
              <w:rPr>
                <w:color w:val="auto"/>
                <w:sz w:val="24"/>
                <w:szCs w:val="24"/>
              </w:rPr>
            </w:pPr>
            <w:r>
              <w:rPr>
                <w:rFonts w:hint="eastAsia"/>
                <w:color w:val="auto"/>
                <w:sz w:val="24"/>
                <w:szCs w:val="24"/>
              </w:rPr>
              <w:t>（</w:t>
            </w:r>
            <w:r>
              <w:rPr>
                <w:rFonts w:hint="eastAsia"/>
                <w:color w:val="auto"/>
                <w:sz w:val="24"/>
                <w:szCs w:val="24"/>
                <w:lang w:val="en-US" w:eastAsia="zh-CN"/>
              </w:rPr>
              <w:t>3</w:t>
            </w:r>
            <w:r>
              <w:rPr>
                <w:rFonts w:hint="eastAsia"/>
                <w:color w:val="auto"/>
                <w:sz w:val="24"/>
                <w:szCs w:val="24"/>
              </w:rPr>
              <w:t>）</w:t>
            </w:r>
            <w:r>
              <w:rPr>
                <w:color w:val="auto"/>
                <w:sz w:val="24"/>
                <w:szCs w:val="24"/>
              </w:rPr>
              <w:t>主要设备</w:t>
            </w:r>
          </w:p>
          <w:p w14:paraId="04C3DED6">
            <w:pPr>
              <w:spacing w:line="348" w:lineRule="auto"/>
              <w:ind w:firstLine="480" w:firstLineChars="200"/>
              <w:rPr>
                <w:b/>
                <w:bCs/>
                <w:color w:val="auto"/>
                <w:sz w:val="24"/>
                <w:szCs w:val="24"/>
              </w:rPr>
            </w:pPr>
            <w:r>
              <w:rPr>
                <w:rFonts w:hint="eastAsia" w:ascii="Times New Roman" w:hAnsi="Times New Roman" w:eastAsia="宋体" w:cs="Times New Roman"/>
                <w:color w:val="auto"/>
                <w:sz w:val="24"/>
                <w:szCs w:val="24"/>
                <w:lang w:val="en-US" w:eastAsia="zh-CN"/>
              </w:rPr>
              <w:t>本项目</w:t>
            </w:r>
            <w:r>
              <w:rPr>
                <w:color w:val="auto"/>
                <w:sz w:val="24"/>
                <w:szCs w:val="24"/>
              </w:rPr>
              <w:t>主要设备及设施见表</w:t>
            </w:r>
            <w:r>
              <w:rPr>
                <w:rFonts w:hint="eastAsia"/>
                <w:color w:val="auto"/>
                <w:sz w:val="24"/>
                <w:szCs w:val="24"/>
              </w:rPr>
              <w:t>2</w:t>
            </w:r>
            <w:r>
              <w:rPr>
                <w:color w:val="auto"/>
                <w:sz w:val="24"/>
                <w:szCs w:val="24"/>
              </w:rPr>
              <w:t>-</w:t>
            </w:r>
            <w:r>
              <w:rPr>
                <w:rFonts w:hint="eastAsia"/>
                <w:color w:val="auto"/>
                <w:sz w:val="24"/>
                <w:szCs w:val="24"/>
                <w:lang w:val="en-US" w:eastAsia="zh-CN"/>
              </w:rPr>
              <w:t>6</w:t>
            </w:r>
            <w:r>
              <w:rPr>
                <w:color w:val="auto"/>
                <w:sz w:val="24"/>
                <w:szCs w:val="24"/>
              </w:rPr>
              <w:t>。</w:t>
            </w:r>
          </w:p>
          <w:p w14:paraId="610B179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auto"/>
                <w:kern w:val="0"/>
                <w:sz w:val="24"/>
                <w:szCs w:val="28"/>
              </w:rPr>
            </w:pPr>
            <w:r>
              <w:rPr>
                <w:rFonts w:hint="eastAsia" w:ascii="Times New Roman" w:hAnsi="Times New Roman" w:eastAsia="宋体" w:cs="Times New Roman"/>
                <w:b/>
                <w:color w:val="auto"/>
                <w:kern w:val="0"/>
                <w:sz w:val="24"/>
                <w:szCs w:val="28"/>
              </w:rPr>
              <w:t>表2-</w:t>
            </w:r>
            <w:r>
              <w:rPr>
                <w:rFonts w:hint="eastAsia" w:cs="Times New Roman"/>
                <w:b/>
                <w:color w:val="auto"/>
                <w:kern w:val="0"/>
                <w:sz w:val="24"/>
                <w:szCs w:val="28"/>
                <w:lang w:val="en-US" w:eastAsia="zh-CN"/>
              </w:rPr>
              <w:t>6</w:t>
            </w:r>
            <w:r>
              <w:rPr>
                <w:rFonts w:hint="eastAsia" w:ascii="Times New Roman" w:hAnsi="Times New Roman" w:eastAsia="宋体" w:cs="Times New Roman"/>
                <w:b/>
                <w:color w:val="auto"/>
                <w:kern w:val="0"/>
                <w:sz w:val="24"/>
                <w:szCs w:val="28"/>
                <w:lang w:val="en-US" w:eastAsia="zh-CN"/>
              </w:rPr>
              <w:t>本项目</w:t>
            </w:r>
            <w:r>
              <w:rPr>
                <w:rFonts w:hint="eastAsia" w:ascii="Times New Roman" w:hAnsi="Times New Roman" w:eastAsia="宋体" w:cs="Times New Roman"/>
                <w:b/>
                <w:color w:val="auto"/>
                <w:kern w:val="0"/>
                <w:sz w:val="24"/>
                <w:szCs w:val="28"/>
              </w:rPr>
              <w:t>主要设备及设施一览表</w:t>
            </w:r>
          </w:p>
          <w:tbl>
            <w:tblPr>
              <w:tblStyle w:val="35"/>
              <w:tblW w:w="8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
              <w:gridCol w:w="2124"/>
              <w:gridCol w:w="7"/>
              <w:gridCol w:w="1899"/>
              <w:gridCol w:w="10"/>
              <w:gridCol w:w="1586"/>
              <w:gridCol w:w="14"/>
              <w:gridCol w:w="1922"/>
              <w:gridCol w:w="34"/>
            </w:tblGrid>
            <w:tr w14:paraId="5A4F2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191" w:hRule="atLeast"/>
                <w:jc w:val="center"/>
              </w:trPr>
              <w:tc>
                <w:tcPr>
                  <w:tcW w:w="463" w:type="pct"/>
                  <w:vAlign w:val="center"/>
                </w:tcPr>
                <w:p w14:paraId="48BE599B">
                  <w:pPr>
                    <w:widowControl/>
                    <w:jc w:val="center"/>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b/>
                      <w:color w:val="auto"/>
                      <w:sz w:val="21"/>
                      <w:szCs w:val="21"/>
                    </w:rPr>
                    <w:t>类型</w:t>
                  </w:r>
                </w:p>
              </w:tc>
              <w:tc>
                <w:tcPr>
                  <w:tcW w:w="1272" w:type="pct"/>
                  <w:gridSpan w:val="2"/>
                  <w:vAlign w:val="center"/>
                </w:tcPr>
                <w:p w14:paraId="605A4A2B">
                  <w:pPr>
                    <w:widowControl/>
                    <w:jc w:val="center"/>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b/>
                      <w:color w:val="auto"/>
                      <w:sz w:val="21"/>
                      <w:szCs w:val="21"/>
                    </w:rPr>
                    <w:t>名称</w:t>
                  </w:r>
                </w:p>
              </w:tc>
              <w:tc>
                <w:tcPr>
                  <w:tcW w:w="1138" w:type="pct"/>
                  <w:gridSpan w:val="2"/>
                  <w:vAlign w:val="center"/>
                </w:tcPr>
                <w:p w14:paraId="529C2B21">
                  <w:pPr>
                    <w:jc w:val="center"/>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b/>
                      <w:color w:val="auto"/>
                      <w:sz w:val="21"/>
                      <w:szCs w:val="21"/>
                    </w:rPr>
                    <w:t>规格/型号</w:t>
                  </w:r>
                </w:p>
              </w:tc>
              <w:tc>
                <w:tcPr>
                  <w:tcW w:w="953" w:type="pct"/>
                  <w:gridSpan w:val="2"/>
                  <w:vAlign w:val="center"/>
                </w:tcPr>
                <w:p w14:paraId="477BC81B">
                  <w:pPr>
                    <w:jc w:val="center"/>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b/>
                      <w:color w:val="auto"/>
                      <w:sz w:val="21"/>
                      <w:szCs w:val="21"/>
                    </w:rPr>
                    <w:t>数量</w:t>
                  </w:r>
                  <w:r>
                    <w:rPr>
                      <w:rFonts w:hint="eastAsia" w:cs="Times New Roman" w:eastAsiaTheme="minorEastAsia"/>
                      <w:b/>
                      <w:color w:val="auto"/>
                      <w:sz w:val="21"/>
                      <w:szCs w:val="21"/>
                      <w:lang w:eastAsia="zh-CN"/>
                    </w:rPr>
                    <w:t>（</w:t>
                  </w:r>
                  <w:r>
                    <w:rPr>
                      <w:rFonts w:hint="eastAsia" w:cs="Times New Roman" w:eastAsiaTheme="minorEastAsia"/>
                      <w:b/>
                      <w:color w:val="auto"/>
                      <w:sz w:val="21"/>
                      <w:szCs w:val="21"/>
                      <w:lang w:val="en-US" w:eastAsia="zh-CN"/>
                    </w:rPr>
                    <w:t>台/套</w:t>
                  </w:r>
                  <w:r>
                    <w:rPr>
                      <w:rFonts w:hint="eastAsia" w:cs="Times New Roman" w:eastAsiaTheme="minorEastAsia"/>
                      <w:b/>
                      <w:color w:val="auto"/>
                      <w:sz w:val="21"/>
                      <w:szCs w:val="21"/>
                      <w:lang w:eastAsia="zh-CN"/>
                    </w:rPr>
                    <w:t>）</w:t>
                  </w:r>
                </w:p>
              </w:tc>
              <w:tc>
                <w:tcPr>
                  <w:tcW w:w="1156" w:type="pct"/>
                  <w:gridSpan w:val="2"/>
                  <w:vAlign w:val="center"/>
                </w:tcPr>
                <w:p w14:paraId="2B09D385">
                  <w:pPr>
                    <w:jc w:val="center"/>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b/>
                      <w:color w:val="auto"/>
                      <w:sz w:val="21"/>
                      <w:szCs w:val="21"/>
                    </w:rPr>
                    <w:t>备注</w:t>
                  </w:r>
                </w:p>
              </w:tc>
            </w:tr>
            <w:tr w14:paraId="141CB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pct"/>
                  <w:gridSpan w:val="2"/>
                  <w:vMerge w:val="restart"/>
                  <w:vAlign w:val="center"/>
                </w:tcPr>
                <w:p w14:paraId="4E1A214C">
                  <w:pPr>
                    <w:adjustRightInd w:val="0"/>
                    <w:snapToGrid w:val="0"/>
                    <w:spacing w:line="280" w:lineRule="exact"/>
                    <w:jc w:val="center"/>
                    <w:rPr>
                      <w:rFonts w:hint="eastAsia" w:cs="Times New Roman"/>
                      <w:color w:val="FF0000"/>
                      <w:sz w:val="21"/>
                      <w:szCs w:val="21"/>
                      <w:lang w:val="en-US" w:eastAsia="zh-CN"/>
                    </w:rPr>
                  </w:pPr>
                  <w:r>
                    <w:rPr>
                      <w:rFonts w:hint="eastAsia" w:cs="Times New Roman"/>
                      <w:color w:val="auto"/>
                      <w:sz w:val="21"/>
                      <w:szCs w:val="21"/>
                      <w:lang w:val="en-US" w:eastAsia="zh-CN"/>
                    </w:rPr>
                    <w:t>生产设备</w:t>
                  </w:r>
                </w:p>
              </w:tc>
              <w:tc>
                <w:tcPr>
                  <w:tcW w:w="1271" w:type="pct"/>
                  <w:gridSpan w:val="2"/>
                  <w:shd w:val="clear" w:color="auto" w:fill="auto"/>
                  <w:vAlign w:val="center"/>
                </w:tcPr>
                <w:p w14:paraId="63D81C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组装工台</w:t>
                  </w:r>
                </w:p>
              </w:tc>
              <w:tc>
                <w:tcPr>
                  <w:tcW w:w="1139" w:type="pct"/>
                  <w:gridSpan w:val="2"/>
                  <w:shd w:val="clear" w:color="auto" w:fill="auto"/>
                  <w:vAlign w:val="center"/>
                </w:tcPr>
                <w:p w14:paraId="1CD86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定制</w:t>
                  </w:r>
                </w:p>
              </w:tc>
              <w:tc>
                <w:tcPr>
                  <w:tcW w:w="954" w:type="pct"/>
                  <w:gridSpan w:val="2"/>
                  <w:shd w:val="clear" w:color="auto" w:fill="auto"/>
                  <w:vAlign w:val="center"/>
                </w:tcPr>
                <w:p w14:paraId="16E986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5</w:t>
                  </w:r>
                </w:p>
              </w:tc>
              <w:tc>
                <w:tcPr>
                  <w:tcW w:w="1167" w:type="pct"/>
                  <w:gridSpan w:val="2"/>
                  <w:shd w:val="clear" w:color="auto" w:fill="auto"/>
                  <w:vAlign w:val="center"/>
                </w:tcPr>
                <w:p w14:paraId="379462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组装</w:t>
                  </w:r>
                </w:p>
              </w:tc>
            </w:tr>
            <w:tr w14:paraId="2F60D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466" w:type="pct"/>
                  <w:gridSpan w:val="2"/>
                  <w:vMerge w:val="continue"/>
                  <w:vAlign w:val="center"/>
                </w:tcPr>
                <w:p w14:paraId="7FFDE694">
                  <w:pPr>
                    <w:adjustRightInd w:val="0"/>
                    <w:snapToGrid w:val="0"/>
                    <w:spacing w:line="280" w:lineRule="exact"/>
                    <w:jc w:val="center"/>
                    <w:rPr>
                      <w:rFonts w:hint="eastAsia" w:cs="Times New Roman"/>
                      <w:color w:val="FF0000"/>
                      <w:sz w:val="21"/>
                      <w:szCs w:val="21"/>
                      <w:lang w:val="en-US" w:eastAsia="zh-CN"/>
                    </w:rPr>
                  </w:pPr>
                </w:p>
              </w:tc>
              <w:tc>
                <w:tcPr>
                  <w:tcW w:w="1271" w:type="pct"/>
                  <w:gridSpan w:val="2"/>
                  <w:shd w:val="clear" w:color="auto" w:fill="auto"/>
                  <w:vAlign w:val="center"/>
                </w:tcPr>
                <w:p w14:paraId="274A1B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钎焊焊枪</w:t>
                  </w:r>
                </w:p>
              </w:tc>
              <w:tc>
                <w:tcPr>
                  <w:tcW w:w="1139" w:type="pct"/>
                  <w:gridSpan w:val="2"/>
                  <w:shd w:val="clear" w:color="auto" w:fill="auto"/>
                  <w:vAlign w:val="center"/>
                </w:tcPr>
                <w:p w14:paraId="1B6832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pacing w:val="1"/>
                      <w:kern w:val="2"/>
                      <w:sz w:val="21"/>
                      <w:szCs w:val="21"/>
                      <w:lang w:val="en-US" w:eastAsia="zh-CN" w:bidi="ar-SA"/>
                    </w:rPr>
                  </w:pPr>
                  <w:r>
                    <w:rPr>
                      <w:rFonts w:hint="eastAsia" w:ascii="Times New Roman" w:hAnsi="Times New Roman" w:eastAsia="宋体" w:cs="Times New Roman"/>
                      <w:b w:val="0"/>
                      <w:bCs w:val="0"/>
                      <w:color w:val="auto"/>
                      <w:spacing w:val="1"/>
                      <w:kern w:val="2"/>
                      <w:sz w:val="21"/>
                      <w:szCs w:val="21"/>
                      <w:lang w:val="en-US" w:eastAsia="zh-CN" w:bidi="ar-SA"/>
                    </w:rPr>
                    <w:t>R290</w:t>
                  </w:r>
                </w:p>
              </w:tc>
              <w:tc>
                <w:tcPr>
                  <w:tcW w:w="954" w:type="pct"/>
                  <w:gridSpan w:val="2"/>
                  <w:shd w:val="clear" w:color="auto" w:fill="auto"/>
                  <w:vAlign w:val="center"/>
                </w:tcPr>
                <w:p w14:paraId="5A5214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pacing w:val="1"/>
                      <w:kern w:val="2"/>
                      <w:sz w:val="21"/>
                      <w:szCs w:val="21"/>
                      <w:lang w:val="en-US" w:eastAsia="zh-CN" w:bidi="ar-SA"/>
                    </w:rPr>
                  </w:pPr>
                  <w:r>
                    <w:rPr>
                      <w:rFonts w:hint="eastAsia" w:ascii="Times New Roman" w:hAnsi="Times New Roman" w:eastAsia="宋体" w:cs="Times New Roman"/>
                      <w:b w:val="0"/>
                      <w:bCs w:val="0"/>
                      <w:color w:val="auto"/>
                      <w:spacing w:val="1"/>
                      <w:kern w:val="2"/>
                      <w:sz w:val="21"/>
                      <w:szCs w:val="21"/>
                      <w:lang w:val="en-US" w:eastAsia="zh-CN" w:bidi="ar-SA"/>
                    </w:rPr>
                    <w:t>1</w:t>
                  </w:r>
                </w:p>
              </w:tc>
              <w:tc>
                <w:tcPr>
                  <w:tcW w:w="1167" w:type="pct"/>
                  <w:gridSpan w:val="2"/>
                  <w:shd w:val="clear" w:color="auto" w:fill="auto"/>
                  <w:vAlign w:val="center"/>
                </w:tcPr>
                <w:p w14:paraId="005F5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焊接</w:t>
                  </w:r>
                </w:p>
              </w:tc>
            </w:tr>
            <w:tr w14:paraId="57C31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466" w:type="pct"/>
                  <w:gridSpan w:val="2"/>
                  <w:vMerge w:val="continue"/>
                  <w:vAlign w:val="center"/>
                </w:tcPr>
                <w:p w14:paraId="6A1A0965">
                  <w:pPr>
                    <w:adjustRightInd w:val="0"/>
                    <w:snapToGrid w:val="0"/>
                    <w:spacing w:line="280" w:lineRule="exact"/>
                    <w:jc w:val="center"/>
                    <w:rPr>
                      <w:rFonts w:hint="eastAsia" w:cs="Times New Roman"/>
                      <w:color w:val="FF0000"/>
                      <w:sz w:val="21"/>
                      <w:szCs w:val="21"/>
                      <w:lang w:val="en-US" w:eastAsia="zh-CN"/>
                    </w:rPr>
                  </w:pPr>
                </w:p>
              </w:tc>
              <w:tc>
                <w:tcPr>
                  <w:tcW w:w="1271" w:type="pct"/>
                  <w:gridSpan w:val="2"/>
                  <w:shd w:val="clear" w:color="auto" w:fill="auto"/>
                  <w:vAlign w:val="center"/>
                </w:tcPr>
                <w:p w14:paraId="6EB2B3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压力衰减法检漏仪</w:t>
                  </w:r>
                </w:p>
              </w:tc>
              <w:tc>
                <w:tcPr>
                  <w:tcW w:w="1139" w:type="pct"/>
                  <w:gridSpan w:val="2"/>
                  <w:shd w:val="clear" w:color="auto" w:fill="auto"/>
                  <w:vAlign w:val="center"/>
                </w:tcPr>
                <w:p w14:paraId="25CCCA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w:t>
                  </w:r>
                </w:p>
              </w:tc>
              <w:tc>
                <w:tcPr>
                  <w:tcW w:w="954" w:type="pct"/>
                  <w:gridSpan w:val="2"/>
                  <w:shd w:val="clear" w:color="auto" w:fill="auto"/>
                  <w:vAlign w:val="center"/>
                </w:tcPr>
                <w:p w14:paraId="5F5D99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1</w:t>
                  </w:r>
                </w:p>
              </w:tc>
              <w:tc>
                <w:tcPr>
                  <w:tcW w:w="1167" w:type="pct"/>
                  <w:gridSpan w:val="2"/>
                  <w:shd w:val="clear" w:color="auto" w:fill="auto"/>
                  <w:vAlign w:val="center"/>
                </w:tcPr>
                <w:p w14:paraId="096A24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测试</w:t>
                  </w:r>
                </w:p>
              </w:tc>
            </w:tr>
            <w:tr w14:paraId="05FE8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466" w:type="pct"/>
                  <w:gridSpan w:val="2"/>
                  <w:vMerge w:val="continue"/>
                  <w:vAlign w:val="center"/>
                </w:tcPr>
                <w:p w14:paraId="42A42060">
                  <w:pPr>
                    <w:adjustRightInd w:val="0"/>
                    <w:snapToGrid w:val="0"/>
                    <w:spacing w:line="280" w:lineRule="exact"/>
                    <w:jc w:val="center"/>
                    <w:rPr>
                      <w:rFonts w:hint="eastAsia" w:cs="Times New Roman"/>
                      <w:color w:val="FF0000"/>
                      <w:sz w:val="21"/>
                      <w:szCs w:val="21"/>
                      <w:lang w:val="en-US" w:eastAsia="zh-CN"/>
                    </w:rPr>
                  </w:pPr>
                </w:p>
              </w:tc>
              <w:tc>
                <w:tcPr>
                  <w:tcW w:w="1271" w:type="pct"/>
                  <w:gridSpan w:val="2"/>
                  <w:shd w:val="clear" w:color="auto" w:fill="auto"/>
                  <w:vAlign w:val="center"/>
                </w:tcPr>
                <w:p w14:paraId="76222A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发泡机</w:t>
                  </w:r>
                </w:p>
              </w:tc>
              <w:tc>
                <w:tcPr>
                  <w:tcW w:w="1139" w:type="pct"/>
                  <w:gridSpan w:val="2"/>
                  <w:shd w:val="clear" w:color="auto" w:fill="auto"/>
                  <w:vAlign w:val="center"/>
                </w:tcPr>
                <w:p w14:paraId="2AFC90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定制</w:t>
                  </w:r>
                </w:p>
              </w:tc>
              <w:tc>
                <w:tcPr>
                  <w:tcW w:w="954" w:type="pct"/>
                  <w:gridSpan w:val="2"/>
                  <w:shd w:val="clear" w:color="auto" w:fill="auto"/>
                  <w:vAlign w:val="center"/>
                </w:tcPr>
                <w:p w14:paraId="6090C6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1</w:t>
                  </w:r>
                </w:p>
              </w:tc>
              <w:tc>
                <w:tcPr>
                  <w:tcW w:w="1167" w:type="pct"/>
                  <w:gridSpan w:val="2"/>
                  <w:shd w:val="clear" w:color="auto" w:fill="auto"/>
                  <w:vAlign w:val="center"/>
                </w:tcPr>
                <w:p w14:paraId="796CB8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发泡</w:t>
                  </w:r>
                </w:p>
              </w:tc>
            </w:tr>
            <w:tr w14:paraId="66FEF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pct"/>
                  <w:gridSpan w:val="2"/>
                  <w:vMerge w:val="continue"/>
                  <w:vAlign w:val="center"/>
                </w:tcPr>
                <w:p w14:paraId="20A885C8">
                  <w:pPr>
                    <w:adjustRightInd w:val="0"/>
                    <w:snapToGrid w:val="0"/>
                    <w:spacing w:line="280" w:lineRule="exact"/>
                    <w:jc w:val="center"/>
                    <w:rPr>
                      <w:rFonts w:hint="eastAsia" w:cs="Times New Roman"/>
                      <w:color w:val="FF0000"/>
                      <w:sz w:val="21"/>
                      <w:szCs w:val="21"/>
                      <w:lang w:val="en-US" w:eastAsia="zh-CN"/>
                    </w:rPr>
                  </w:pPr>
                </w:p>
              </w:tc>
              <w:tc>
                <w:tcPr>
                  <w:tcW w:w="1271" w:type="pct"/>
                  <w:gridSpan w:val="2"/>
                  <w:shd w:val="clear" w:color="auto" w:fill="auto"/>
                  <w:vAlign w:val="center"/>
                </w:tcPr>
                <w:p w14:paraId="663C61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pacing w:val="1"/>
                      <w:kern w:val="2"/>
                      <w:sz w:val="21"/>
                      <w:szCs w:val="21"/>
                      <w:lang w:val="en-US" w:eastAsia="zh-CN" w:bidi="ar-SA"/>
                    </w:rPr>
                  </w:pPr>
                  <w:r>
                    <w:rPr>
                      <w:rFonts w:hint="eastAsia" w:ascii="Times New Roman" w:hAnsi="Times New Roman" w:eastAsia="宋体" w:cs="Times New Roman"/>
                      <w:b w:val="0"/>
                      <w:bCs w:val="0"/>
                      <w:color w:val="auto"/>
                      <w:spacing w:val="1"/>
                      <w:kern w:val="2"/>
                      <w:sz w:val="21"/>
                      <w:szCs w:val="21"/>
                      <w:lang w:val="en-US" w:eastAsia="zh-CN" w:bidi="ar-SA"/>
                    </w:rPr>
                    <w:t>冷媒充注机</w:t>
                  </w:r>
                </w:p>
              </w:tc>
              <w:tc>
                <w:tcPr>
                  <w:tcW w:w="1139" w:type="pct"/>
                  <w:gridSpan w:val="2"/>
                  <w:shd w:val="clear" w:color="auto" w:fill="auto"/>
                  <w:vAlign w:val="center"/>
                </w:tcPr>
                <w:p w14:paraId="724D8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pacing w:val="1"/>
                      <w:kern w:val="2"/>
                      <w:sz w:val="21"/>
                      <w:szCs w:val="21"/>
                      <w:lang w:val="en-US" w:eastAsia="zh-CN" w:bidi="ar-SA"/>
                    </w:rPr>
                  </w:pPr>
                  <w:r>
                    <w:rPr>
                      <w:rFonts w:hint="eastAsia" w:ascii="Times New Roman" w:hAnsi="Times New Roman" w:eastAsia="宋体" w:cs="Times New Roman"/>
                      <w:b w:val="0"/>
                      <w:bCs w:val="0"/>
                      <w:color w:val="auto"/>
                      <w:spacing w:val="1"/>
                      <w:kern w:val="2"/>
                      <w:sz w:val="21"/>
                      <w:szCs w:val="21"/>
                      <w:lang w:val="en-US" w:eastAsia="zh-CN" w:bidi="ar-SA"/>
                    </w:rPr>
                    <w:t>Testo</w:t>
                  </w:r>
                  <w:r>
                    <w:rPr>
                      <w:rFonts w:hint="eastAsia" w:cs="Times New Roman"/>
                      <w:b w:val="0"/>
                      <w:bCs w:val="0"/>
                      <w:color w:val="auto"/>
                      <w:spacing w:val="1"/>
                      <w:kern w:val="2"/>
                      <w:sz w:val="21"/>
                      <w:szCs w:val="21"/>
                      <w:lang w:val="en-US" w:eastAsia="zh-CN" w:bidi="ar-SA"/>
                    </w:rPr>
                    <w:t xml:space="preserve"> </w:t>
                  </w:r>
                  <w:r>
                    <w:rPr>
                      <w:rFonts w:hint="eastAsia" w:ascii="Times New Roman" w:hAnsi="Times New Roman" w:eastAsia="宋体" w:cs="Times New Roman"/>
                      <w:b w:val="0"/>
                      <w:bCs w:val="0"/>
                      <w:color w:val="auto"/>
                      <w:spacing w:val="1"/>
                      <w:kern w:val="2"/>
                      <w:sz w:val="21"/>
                      <w:szCs w:val="21"/>
                      <w:lang w:val="en-US" w:eastAsia="zh-CN" w:bidi="ar-SA"/>
                    </w:rPr>
                    <w:t>570s</w:t>
                  </w:r>
                </w:p>
              </w:tc>
              <w:tc>
                <w:tcPr>
                  <w:tcW w:w="954" w:type="pct"/>
                  <w:gridSpan w:val="2"/>
                  <w:shd w:val="clear" w:color="auto" w:fill="auto"/>
                  <w:vAlign w:val="center"/>
                </w:tcPr>
                <w:p w14:paraId="447239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2</w:t>
                  </w:r>
                </w:p>
              </w:tc>
              <w:tc>
                <w:tcPr>
                  <w:tcW w:w="1167" w:type="pct"/>
                  <w:gridSpan w:val="2"/>
                  <w:vMerge w:val="restart"/>
                  <w:shd w:val="clear" w:color="auto" w:fill="auto"/>
                  <w:vAlign w:val="center"/>
                </w:tcPr>
                <w:p w14:paraId="0AF808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充注</w:t>
                  </w:r>
                </w:p>
              </w:tc>
            </w:tr>
            <w:tr w14:paraId="7D1A8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pct"/>
                  <w:gridSpan w:val="2"/>
                  <w:vMerge w:val="continue"/>
                  <w:vAlign w:val="center"/>
                </w:tcPr>
                <w:p w14:paraId="2A7B48FB">
                  <w:pPr>
                    <w:adjustRightInd w:val="0"/>
                    <w:snapToGrid w:val="0"/>
                    <w:spacing w:line="280" w:lineRule="exact"/>
                    <w:jc w:val="center"/>
                    <w:rPr>
                      <w:rFonts w:hint="eastAsia" w:cs="Times New Roman"/>
                      <w:color w:val="FF0000"/>
                      <w:sz w:val="21"/>
                      <w:szCs w:val="21"/>
                      <w:lang w:val="en-US" w:eastAsia="zh-CN"/>
                    </w:rPr>
                  </w:pPr>
                </w:p>
              </w:tc>
              <w:tc>
                <w:tcPr>
                  <w:tcW w:w="1271" w:type="pct"/>
                  <w:gridSpan w:val="2"/>
                  <w:shd w:val="clear" w:color="auto" w:fill="auto"/>
                  <w:vAlign w:val="center"/>
                </w:tcPr>
                <w:p w14:paraId="2DE2F1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冷媒回收机</w:t>
                  </w:r>
                </w:p>
              </w:tc>
              <w:tc>
                <w:tcPr>
                  <w:tcW w:w="1139" w:type="pct"/>
                  <w:gridSpan w:val="2"/>
                  <w:shd w:val="clear" w:color="auto" w:fill="auto"/>
                  <w:vAlign w:val="center"/>
                </w:tcPr>
                <w:p w14:paraId="51DC7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w:t>
                  </w:r>
                </w:p>
              </w:tc>
              <w:tc>
                <w:tcPr>
                  <w:tcW w:w="954" w:type="pct"/>
                  <w:gridSpan w:val="2"/>
                  <w:shd w:val="clear" w:color="auto" w:fill="auto"/>
                  <w:vAlign w:val="center"/>
                </w:tcPr>
                <w:p w14:paraId="36DFC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2</w:t>
                  </w:r>
                </w:p>
              </w:tc>
              <w:tc>
                <w:tcPr>
                  <w:tcW w:w="1167" w:type="pct"/>
                  <w:gridSpan w:val="2"/>
                  <w:vMerge w:val="continue"/>
                  <w:shd w:val="clear" w:color="auto" w:fill="auto"/>
                  <w:vAlign w:val="center"/>
                </w:tcPr>
                <w:p w14:paraId="3081B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spacing w:val="1"/>
                      <w:kern w:val="2"/>
                      <w:sz w:val="21"/>
                      <w:szCs w:val="21"/>
                      <w:lang w:val="en-US" w:eastAsia="zh-CN" w:bidi="ar-SA"/>
                    </w:rPr>
                  </w:pPr>
                </w:p>
              </w:tc>
            </w:tr>
            <w:tr w14:paraId="27402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466" w:type="pct"/>
                  <w:gridSpan w:val="2"/>
                  <w:vMerge w:val="continue"/>
                  <w:vAlign w:val="center"/>
                </w:tcPr>
                <w:p w14:paraId="221B2FA3">
                  <w:pPr>
                    <w:adjustRightInd w:val="0"/>
                    <w:snapToGrid w:val="0"/>
                    <w:spacing w:line="280" w:lineRule="exact"/>
                    <w:jc w:val="center"/>
                    <w:rPr>
                      <w:rFonts w:hint="eastAsia" w:cs="Times New Roman"/>
                      <w:color w:val="FF0000"/>
                      <w:sz w:val="21"/>
                      <w:szCs w:val="21"/>
                      <w:lang w:val="en-US" w:eastAsia="zh-CN"/>
                    </w:rPr>
                  </w:pPr>
                </w:p>
              </w:tc>
              <w:tc>
                <w:tcPr>
                  <w:tcW w:w="1271" w:type="pct"/>
                  <w:gridSpan w:val="2"/>
                  <w:shd w:val="clear" w:color="auto" w:fill="auto"/>
                  <w:vAlign w:val="center"/>
                </w:tcPr>
                <w:p w14:paraId="7D2D19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pacing w:val="1"/>
                      <w:kern w:val="2"/>
                      <w:sz w:val="21"/>
                      <w:szCs w:val="21"/>
                      <w:lang w:val="en-US" w:eastAsia="zh-CN" w:bidi="ar-SA"/>
                    </w:rPr>
                  </w:pPr>
                  <w:r>
                    <w:rPr>
                      <w:rFonts w:hint="eastAsia" w:ascii="Times New Roman" w:hAnsi="Times New Roman" w:eastAsia="宋体" w:cs="Times New Roman"/>
                      <w:b w:val="0"/>
                      <w:bCs w:val="0"/>
                      <w:color w:val="auto"/>
                      <w:spacing w:val="1"/>
                      <w:kern w:val="2"/>
                      <w:sz w:val="21"/>
                      <w:szCs w:val="21"/>
                      <w:lang w:val="en-US" w:eastAsia="zh-CN" w:bidi="ar-SA"/>
                    </w:rPr>
                    <w:t>电器测试仪</w:t>
                  </w:r>
                </w:p>
              </w:tc>
              <w:tc>
                <w:tcPr>
                  <w:tcW w:w="1139" w:type="pct"/>
                  <w:gridSpan w:val="2"/>
                  <w:shd w:val="clear" w:color="auto" w:fill="auto"/>
                  <w:vAlign w:val="center"/>
                </w:tcPr>
                <w:p w14:paraId="746C2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pacing w:val="1"/>
                      <w:kern w:val="2"/>
                      <w:sz w:val="21"/>
                      <w:szCs w:val="21"/>
                      <w:lang w:val="en-US" w:eastAsia="zh-CN" w:bidi="ar-SA"/>
                    </w:rPr>
                  </w:pPr>
                  <w:r>
                    <w:rPr>
                      <w:rFonts w:hint="default" w:ascii="Times New Roman" w:hAnsi="Times New Roman" w:eastAsia="宋体" w:cs="Times New Roman"/>
                      <w:b w:val="0"/>
                      <w:bCs w:val="0"/>
                      <w:color w:val="auto"/>
                      <w:spacing w:val="1"/>
                      <w:kern w:val="2"/>
                      <w:sz w:val="21"/>
                      <w:szCs w:val="21"/>
                      <w:lang w:val="en-US" w:eastAsia="zh-CN" w:bidi="ar-SA"/>
                    </w:rPr>
                    <w:t>Secutest ST Prime</w:t>
                  </w:r>
                </w:p>
              </w:tc>
              <w:tc>
                <w:tcPr>
                  <w:tcW w:w="954" w:type="pct"/>
                  <w:gridSpan w:val="2"/>
                  <w:shd w:val="clear" w:color="auto" w:fill="auto"/>
                  <w:vAlign w:val="center"/>
                </w:tcPr>
                <w:p w14:paraId="17E54F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3</w:t>
                  </w:r>
                </w:p>
              </w:tc>
              <w:tc>
                <w:tcPr>
                  <w:tcW w:w="1167" w:type="pct"/>
                  <w:gridSpan w:val="2"/>
                  <w:vMerge w:val="restart"/>
                  <w:shd w:val="clear" w:color="auto" w:fill="auto"/>
                  <w:vAlign w:val="center"/>
                </w:tcPr>
                <w:p w14:paraId="1FA15A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检测</w:t>
                  </w:r>
                </w:p>
              </w:tc>
            </w:tr>
            <w:tr w14:paraId="7A64E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466" w:type="pct"/>
                  <w:gridSpan w:val="2"/>
                  <w:vMerge w:val="continue"/>
                  <w:vAlign w:val="center"/>
                </w:tcPr>
                <w:p w14:paraId="76EA01A4">
                  <w:pPr>
                    <w:adjustRightInd w:val="0"/>
                    <w:snapToGrid w:val="0"/>
                    <w:spacing w:line="280" w:lineRule="exact"/>
                    <w:jc w:val="center"/>
                    <w:rPr>
                      <w:rFonts w:hint="eastAsia" w:cs="Times New Roman"/>
                      <w:color w:val="FF0000"/>
                      <w:sz w:val="21"/>
                      <w:szCs w:val="21"/>
                      <w:lang w:val="en-US" w:eastAsia="zh-CN"/>
                    </w:rPr>
                  </w:pPr>
                </w:p>
              </w:tc>
              <w:tc>
                <w:tcPr>
                  <w:tcW w:w="1271" w:type="pct"/>
                  <w:gridSpan w:val="2"/>
                  <w:shd w:val="clear" w:color="auto" w:fill="auto"/>
                  <w:vAlign w:val="center"/>
                </w:tcPr>
                <w:p w14:paraId="1B1F06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手持万能表</w:t>
                  </w:r>
                </w:p>
              </w:tc>
              <w:tc>
                <w:tcPr>
                  <w:tcW w:w="1139" w:type="pct"/>
                  <w:gridSpan w:val="2"/>
                  <w:shd w:val="clear" w:color="auto" w:fill="auto"/>
                  <w:vAlign w:val="center"/>
                </w:tcPr>
                <w:p w14:paraId="709635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TESTO760-1</w:t>
                  </w:r>
                </w:p>
              </w:tc>
              <w:tc>
                <w:tcPr>
                  <w:tcW w:w="954" w:type="pct"/>
                  <w:gridSpan w:val="2"/>
                  <w:shd w:val="clear" w:color="auto" w:fill="auto"/>
                  <w:vAlign w:val="center"/>
                </w:tcPr>
                <w:p w14:paraId="479B8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2</w:t>
                  </w:r>
                </w:p>
              </w:tc>
              <w:tc>
                <w:tcPr>
                  <w:tcW w:w="1167" w:type="pct"/>
                  <w:gridSpan w:val="2"/>
                  <w:vMerge w:val="continue"/>
                  <w:shd w:val="clear" w:color="auto" w:fill="auto"/>
                  <w:vAlign w:val="center"/>
                </w:tcPr>
                <w:p w14:paraId="67447F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FF0000"/>
                      <w:spacing w:val="1"/>
                      <w:kern w:val="2"/>
                      <w:sz w:val="21"/>
                      <w:szCs w:val="21"/>
                      <w:lang w:val="en-US" w:eastAsia="zh-CN" w:bidi="ar-SA"/>
                    </w:rPr>
                  </w:pPr>
                </w:p>
              </w:tc>
            </w:tr>
            <w:tr w14:paraId="0103C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466" w:type="pct"/>
                  <w:gridSpan w:val="2"/>
                  <w:vMerge w:val="continue"/>
                  <w:vAlign w:val="center"/>
                </w:tcPr>
                <w:p w14:paraId="4269E9A8">
                  <w:pPr>
                    <w:adjustRightInd w:val="0"/>
                    <w:snapToGrid w:val="0"/>
                    <w:spacing w:line="280" w:lineRule="exact"/>
                    <w:jc w:val="center"/>
                    <w:rPr>
                      <w:rFonts w:hint="eastAsia" w:cs="Times New Roman"/>
                      <w:color w:val="FF0000"/>
                      <w:sz w:val="21"/>
                      <w:szCs w:val="21"/>
                      <w:lang w:val="en-US" w:eastAsia="zh-CN"/>
                    </w:rPr>
                  </w:pPr>
                </w:p>
              </w:tc>
              <w:tc>
                <w:tcPr>
                  <w:tcW w:w="1271" w:type="pct"/>
                  <w:gridSpan w:val="2"/>
                  <w:shd w:val="clear" w:color="auto" w:fill="auto"/>
                  <w:vAlign w:val="center"/>
                </w:tcPr>
                <w:p w14:paraId="621CD1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擦拭工台</w:t>
                  </w:r>
                </w:p>
              </w:tc>
              <w:tc>
                <w:tcPr>
                  <w:tcW w:w="1139" w:type="pct"/>
                  <w:gridSpan w:val="2"/>
                  <w:shd w:val="clear" w:color="auto" w:fill="auto"/>
                  <w:vAlign w:val="center"/>
                </w:tcPr>
                <w:p w14:paraId="1DADD3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定制</w:t>
                  </w:r>
                </w:p>
              </w:tc>
              <w:tc>
                <w:tcPr>
                  <w:tcW w:w="954" w:type="pct"/>
                  <w:gridSpan w:val="2"/>
                  <w:shd w:val="clear" w:color="auto" w:fill="auto"/>
                  <w:vAlign w:val="center"/>
                </w:tcPr>
                <w:p w14:paraId="264DE7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1</w:t>
                  </w:r>
                </w:p>
              </w:tc>
              <w:tc>
                <w:tcPr>
                  <w:tcW w:w="1167" w:type="pct"/>
                  <w:gridSpan w:val="2"/>
                  <w:shd w:val="clear" w:color="auto" w:fill="auto"/>
                  <w:vAlign w:val="center"/>
                </w:tcPr>
                <w:p w14:paraId="44394D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FF0000"/>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擦拭</w:t>
                  </w:r>
                </w:p>
              </w:tc>
            </w:tr>
            <w:tr w14:paraId="473EA0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pct"/>
                  <w:gridSpan w:val="2"/>
                  <w:vMerge w:val="restart"/>
                  <w:vAlign w:val="center"/>
                </w:tcPr>
                <w:p w14:paraId="603F4364">
                  <w:pPr>
                    <w:jc w:val="center"/>
                    <w:rPr>
                      <w:rFonts w:hint="default" w:ascii="Times New Roman" w:hAnsi="Times New Roman" w:cs="Times New Roman"/>
                      <w:color w:val="FF0000"/>
                      <w:sz w:val="21"/>
                      <w:szCs w:val="21"/>
                      <w:lang w:val="en-US" w:eastAsia="zh-CN"/>
                    </w:rPr>
                  </w:pPr>
                  <w:r>
                    <w:rPr>
                      <w:rFonts w:hint="default" w:ascii="Times New Roman" w:hAnsi="Times New Roman" w:cs="Times New Roman"/>
                      <w:color w:val="auto"/>
                      <w:sz w:val="21"/>
                      <w:szCs w:val="21"/>
                      <w:lang w:val="en-US" w:eastAsia="zh-CN"/>
                    </w:rPr>
                    <w:t>公辅设备</w:t>
                  </w:r>
                </w:p>
              </w:tc>
              <w:tc>
                <w:tcPr>
                  <w:tcW w:w="1271" w:type="pct"/>
                  <w:gridSpan w:val="2"/>
                  <w:shd w:val="clear" w:color="auto" w:fill="auto"/>
                  <w:vAlign w:val="center"/>
                </w:tcPr>
                <w:p w14:paraId="4B8A5AB8">
                  <w:pPr>
                    <w:adjustRightInd w:val="0"/>
                    <w:snapToGrid w:val="0"/>
                    <w:spacing w:line="28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空压机</w:t>
                  </w:r>
                </w:p>
              </w:tc>
              <w:tc>
                <w:tcPr>
                  <w:tcW w:w="1139" w:type="pct"/>
                  <w:gridSpan w:val="2"/>
                  <w:shd w:val="clear" w:color="auto" w:fill="auto"/>
                  <w:vAlign w:val="center"/>
                </w:tcPr>
                <w:p w14:paraId="14E715B3">
                  <w:pPr>
                    <w:spacing w:line="240" w:lineRule="exact"/>
                    <w:jc w:val="center"/>
                    <w:rPr>
                      <w:rFonts w:hint="eastAsia" w:cs="Times New Roman" w:eastAsiaTheme="minorEastAsia"/>
                      <w:color w:val="auto"/>
                      <w:sz w:val="21"/>
                      <w:szCs w:val="21"/>
                      <w:lang w:val="en-US" w:eastAsia="zh-CN"/>
                    </w:rPr>
                  </w:pPr>
                  <w:r>
                    <w:rPr>
                      <w:rFonts w:hint="eastAsia" w:eastAsia="宋体" w:cs="Times New Roman"/>
                      <w:color w:val="auto"/>
                      <w:sz w:val="21"/>
                      <w:szCs w:val="21"/>
                      <w:lang w:val="en-US" w:eastAsia="zh-CN"/>
                    </w:rPr>
                    <w:t>0.</w:t>
                  </w:r>
                  <w:r>
                    <w:rPr>
                      <w:rFonts w:hint="eastAsia" w:cs="Times New Roman"/>
                      <w:color w:val="auto"/>
                      <w:sz w:val="21"/>
                      <w:szCs w:val="21"/>
                      <w:lang w:val="en-US" w:eastAsia="zh-CN"/>
                    </w:rPr>
                    <w:t>9</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/min</w:t>
                  </w:r>
                </w:p>
              </w:tc>
              <w:tc>
                <w:tcPr>
                  <w:tcW w:w="954" w:type="pct"/>
                  <w:gridSpan w:val="2"/>
                  <w:shd w:val="clear" w:color="auto" w:fill="auto"/>
                  <w:vAlign w:val="center"/>
                </w:tcPr>
                <w:p w14:paraId="1458DF38">
                  <w:pPr>
                    <w:adjustRightInd w:val="0"/>
                    <w:snapToGrid w:val="0"/>
                    <w:spacing w:line="28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1</w:t>
                  </w:r>
                </w:p>
              </w:tc>
              <w:tc>
                <w:tcPr>
                  <w:tcW w:w="1167" w:type="pct"/>
                  <w:gridSpan w:val="2"/>
                  <w:vMerge w:val="restart"/>
                  <w:shd w:val="clear" w:color="auto" w:fill="auto"/>
                  <w:vAlign w:val="center"/>
                </w:tcPr>
                <w:p w14:paraId="0F8C6860">
                  <w:pPr>
                    <w:adjustRightInd w:val="0"/>
                    <w:snapToGrid w:val="0"/>
                    <w:spacing w:line="28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为生产设备提供空气动力</w:t>
                  </w:r>
                </w:p>
              </w:tc>
            </w:tr>
            <w:tr w14:paraId="1C1C3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pct"/>
                  <w:gridSpan w:val="2"/>
                  <w:vMerge w:val="continue"/>
                  <w:vAlign w:val="center"/>
                </w:tcPr>
                <w:p w14:paraId="35AB1F9B">
                  <w:pPr>
                    <w:jc w:val="center"/>
                    <w:rPr>
                      <w:rFonts w:hint="default" w:ascii="Times New Roman" w:hAnsi="Times New Roman" w:cs="Times New Roman"/>
                      <w:color w:val="FF0000"/>
                      <w:sz w:val="21"/>
                      <w:szCs w:val="21"/>
                      <w:lang w:val="en-US" w:eastAsia="zh-CN"/>
                    </w:rPr>
                  </w:pPr>
                </w:p>
              </w:tc>
              <w:tc>
                <w:tcPr>
                  <w:tcW w:w="1271" w:type="pct"/>
                  <w:gridSpan w:val="2"/>
                  <w:shd w:val="clear" w:color="auto" w:fill="auto"/>
                  <w:vAlign w:val="center"/>
                </w:tcPr>
                <w:p w14:paraId="7F50C5D2">
                  <w:pPr>
                    <w:adjustRightInd w:val="0"/>
                    <w:snapToGrid w:val="0"/>
                    <w:spacing w:line="28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储气罐</w:t>
                  </w:r>
                </w:p>
              </w:tc>
              <w:tc>
                <w:tcPr>
                  <w:tcW w:w="1139" w:type="pct"/>
                  <w:gridSpan w:val="2"/>
                  <w:shd w:val="clear" w:color="auto" w:fill="auto"/>
                  <w:vAlign w:val="center"/>
                </w:tcPr>
                <w:p w14:paraId="0E274002">
                  <w:pPr>
                    <w:spacing w:line="240" w:lineRule="exact"/>
                    <w:jc w:val="center"/>
                    <w:rPr>
                      <w:rFonts w:hint="default"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1</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p>
              </w:tc>
              <w:tc>
                <w:tcPr>
                  <w:tcW w:w="954" w:type="pct"/>
                  <w:gridSpan w:val="2"/>
                  <w:shd w:val="clear" w:color="auto" w:fill="auto"/>
                  <w:vAlign w:val="center"/>
                </w:tcPr>
                <w:p w14:paraId="303945D3">
                  <w:pPr>
                    <w:adjustRightInd w:val="0"/>
                    <w:snapToGrid w:val="0"/>
                    <w:spacing w:line="28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p>
              </w:tc>
              <w:tc>
                <w:tcPr>
                  <w:tcW w:w="1167" w:type="pct"/>
                  <w:gridSpan w:val="2"/>
                  <w:vMerge w:val="continue"/>
                  <w:vAlign w:val="center"/>
                </w:tcPr>
                <w:p w14:paraId="12115C1F">
                  <w:pPr>
                    <w:adjustRightInd w:val="0"/>
                    <w:snapToGrid w:val="0"/>
                    <w:spacing w:line="280" w:lineRule="exact"/>
                    <w:jc w:val="center"/>
                    <w:rPr>
                      <w:rFonts w:hint="eastAsia" w:ascii="Times New Roman" w:hAnsi="Times New Roman" w:eastAsia="宋体" w:cs="Times New Roman"/>
                      <w:color w:val="auto"/>
                      <w:sz w:val="21"/>
                      <w:szCs w:val="21"/>
                      <w:lang w:val="en-US" w:eastAsia="zh-CN"/>
                    </w:rPr>
                  </w:pPr>
                </w:p>
              </w:tc>
            </w:tr>
          </w:tbl>
          <w:p w14:paraId="464CC31D">
            <w:pPr>
              <w:jc w:val="left"/>
              <w:rPr>
                <w:rFonts w:hint="default"/>
                <w:color w:val="FF0000"/>
                <w:sz w:val="18"/>
                <w:szCs w:val="18"/>
                <w:lang w:val="en-US" w:eastAsia="zh-CN"/>
              </w:rPr>
            </w:pPr>
          </w:p>
          <w:p w14:paraId="0F7BD733">
            <w:pPr>
              <w:snapToGrid w:val="0"/>
              <w:spacing w:line="360" w:lineRule="auto"/>
              <w:ind w:firstLine="480" w:firstLineChars="200"/>
              <w:rPr>
                <w:rFonts w:eastAsiaTheme="minorEastAsia"/>
                <w:color w:val="auto"/>
                <w:sz w:val="24"/>
                <w:szCs w:val="24"/>
              </w:rPr>
            </w:pPr>
            <w:r>
              <w:rPr>
                <w:rFonts w:hint="eastAsia" w:eastAsiaTheme="minorEastAsia"/>
                <w:color w:val="auto"/>
                <w:sz w:val="24"/>
                <w:szCs w:val="24"/>
                <w:lang w:val="en-US" w:eastAsia="zh-CN"/>
              </w:rPr>
              <w:t>8</w:t>
            </w:r>
            <w:r>
              <w:rPr>
                <w:rFonts w:hint="eastAsia" w:eastAsiaTheme="minorEastAsia"/>
                <w:color w:val="auto"/>
                <w:sz w:val="24"/>
                <w:szCs w:val="24"/>
              </w:rPr>
              <w:t>、水平衡分析</w:t>
            </w:r>
          </w:p>
          <w:p w14:paraId="46D85955">
            <w:pPr>
              <w:snapToGrid w:val="0"/>
              <w:spacing w:line="360" w:lineRule="auto"/>
              <w:ind w:firstLine="480" w:firstLineChars="200"/>
              <w:rPr>
                <w:rFonts w:hint="eastAsia"/>
                <w:bCs/>
                <w:color w:val="auto"/>
                <w:sz w:val="24"/>
                <w:szCs w:val="24"/>
                <w:lang w:eastAsia="zh-CN"/>
              </w:rPr>
            </w:pPr>
            <w:r>
              <w:rPr>
                <w:rFonts w:hint="eastAsia"/>
                <w:bCs/>
                <w:color w:val="auto"/>
                <w:sz w:val="24"/>
                <w:szCs w:val="24"/>
              </w:rPr>
              <w:t>本项目</w:t>
            </w:r>
            <w:r>
              <w:rPr>
                <w:rFonts w:hint="eastAsia"/>
                <w:bCs/>
                <w:color w:val="auto"/>
                <w:sz w:val="24"/>
                <w:szCs w:val="24"/>
                <w:lang w:val="en-US" w:eastAsia="zh-CN"/>
              </w:rPr>
              <w:t>用水为均为员工生活用水，本项目用排水平衡见图2-1</w:t>
            </w:r>
            <w:r>
              <w:rPr>
                <w:rFonts w:hint="eastAsia"/>
                <w:bCs/>
                <w:color w:val="auto"/>
                <w:sz w:val="24"/>
                <w:szCs w:val="24"/>
                <w:lang w:eastAsia="zh-CN"/>
              </w:rPr>
              <w:t>：</w:t>
            </w:r>
          </w:p>
          <w:p w14:paraId="37C3414B">
            <w:pPr>
              <w:pStyle w:val="3"/>
              <w:jc w:val="center"/>
              <w:rPr>
                <w:rFonts w:hint="eastAsia" w:eastAsia="宋体"/>
                <w:color w:val="FF0000"/>
                <w:sz w:val="24"/>
                <w:szCs w:val="24"/>
                <w:lang w:eastAsia="zh-CN"/>
              </w:rPr>
            </w:pPr>
            <w:r>
              <w:rPr>
                <w:rFonts w:hint="eastAsia" w:eastAsia="宋体"/>
                <w:color w:val="FF0000"/>
                <w:sz w:val="24"/>
                <w:szCs w:val="24"/>
                <w:lang w:eastAsia="zh-CN"/>
              </w:rPr>
              <w:drawing>
                <wp:inline distT="0" distB="0" distL="114300" distR="114300">
                  <wp:extent cx="5103495" cy="778510"/>
                  <wp:effectExtent l="0" t="0" r="0" b="2540"/>
                  <wp:docPr id="6" name="E657119C-6982-421D-8BA7-E74DEB70A7D9-1" descr="C:/Users/Administrator/AppData/Local/Temp/wps.MutStq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657119C-6982-421D-8BA7-E74DEB70A7D9-1" descr="C:/Users/Administrator/AppData/Local/Temp/wps.MutStqwps"/>
                          <pic:cNvPicPr>
                            <a:picLocks noChangeAspect="1"/>
                          </pic:cNvPicPr>
                        </pic:nvPicPr>
                        <pic:blipFill>
                          <a:blip r:embed="rId12"/>
                          <a:srcRect t="21444" b="16083"/>
                          <a:stretch>
                            <a:fillRect/>
                          </a:stretch>
                        </pic:blipFill>
                        <pic:spPr>
                          <a:xfrm>
                            <a:off x="0" y="0"/>
                            <a:ext cx="5103495" cy="778510"/>
                          </a:xfrm>
                          <a:prstGeom prst="rect">
                            <a:avLst/>
                          </a:prstGeom>
                        </pic:spPr>
                      </pic:pic>
                    </a:graphicData>
                  </a:graphic>
                </wp:inline>
              </w:drawing>
            </w:r>
          </w:p>
          <w:p w14:paraId="78E05FDF">
            <w:pPr>
              <w:rPr>
                <w:rFonts w:hint="eastAsia"/>
                <w:color w:val="FF0000"/>
                <w:sz w:val="10"/>
                <w:szCs w:val="10"/>
                <w:lang w:eastAsia="zh-CN"/>
              </w:rPr>
            </w:pPr>
          </w:p>
          <w:p w14:paraId="18A8B74A">
            <w:pPr>
              <w:tabs>
                <w:tab w:val="left" w:pos="2655"/>
              </w:tabs>
              <w:spacing w:line="360" w:lineRule="auto"/>
              <w:jc w:val="center"/>
              <w:rPr>
                <w:rFonts w:hint="eastAsia" w:eastAsiaTheme="minorEastAsia"/>
                <w:color w:val="auto"/>
                <w:sz w:val="10"/>
                <w:szCs w:val="10"/>
                <w:lang w:val="en-US" w:eastAsia="zh-CN"/>
              </w:rPr>
            </w:pPr>
            <w:r>
              <w:rPr>
                <w:rFonts w:hint="eastAsia" w:ascii="Times New Roman" w:hAnsi="Times New Roman" w:cs="Times New Roman"/>
                <w:b/>
                <w:bCs/>
                <w:color w:val="auto"/>
                <w:sz w:val="24"/>
                <w:szCs w:val="24"/>
                <w:lang w:val="en-US" w:eastAsia="zh-CN"/>
              </w:rPr>
              <w:t>图2</w:t>
            </w:r>
            <w:r>
              <w:rPr>
                <w:rFonts w:hint="eastAsia" w:ascii="Times New Roman" w:hAnsi="Times New Roman" w:cs="Times New Roman"/>
                <w:b/>
                <w:bCs/>
                <w:color w:val="auto"/>
                <w:sz w:val="24"/>
                <w:szCs w:val="24"/>
                <w:lang w:val="en-GB" w:eastAsia="zh-CN"/>
              </w:rPr>
              <w:t>-</w:t>
            </w:r>
            <w:r>
              <w:rPr>
                <w:rFonts w:hint="eastAsia" w:cs="Times New Roman"/>
                <w:b/>
                <w:bCs/>
                <w:color w:val="auto"/>
                <w:sz w:val="24"/>
                <w:szCs w:val="24"/>
                <w:lang w:val="en-US" w:eastAsia="zh-CN"/>
              </w:rPr>
              <w:t>1建设项目建成后</w:t>
            </w:r>
            <w:r>
              <w:rPr>
                <w:rFonts w:hint="eastAsia" w:ascii="Times New Roman" w:hAnsi="Times New Roman" w:cs="Times New Roman"/>
                <w:b/>
                <w:bCs/>
                <w:color w:val="auto"/>
                <w:sz w:val="24"/>
                <w:szCs w:val="24"/>
                <w:lang w:val="en-US" w:eastAsia="zh-CN"/>
              </w:rPr>
              <w:t>用排水平衡图（单位：m</w:t>
            </w:r>
            <w:r>
              <w:rPr>
                <w:rFonts w:hint="eastAsia" w:ascii="Times New Roman" w:hAnsi="Times New Roman" w:cs="Times New Roman"/>
                <w:b/>
                <w:bCs/>
                <w:color w:val="auto"/>
                <w:sz w:val="24"/>
                <w:szCs w:val="24"/>
                <w:vertAlign w:val="superscript"/>
                <w:lang w:val="en-US" w:eastAsia="zh-CN"/>
              </w:rPr>
              <w:t>3</w:t>
            </w:r>
            <w:r>
              <w:rPr>
                <w:rFonts w:hint="eastAsia" w:ascii="Times New Roman" w:hAnsi="Times New Roman" w:cs="Times New Roman"/>
                <w:b/>
                <w:bCs/>
                <w:color w:val="auto"/>
                <w:sz w:val="24"/>
                <w:szCs w:val="24"/>
                <w:lang w:val="en-US" w:eastAsia="zh-CN"/>
              </w:rPr>
              <w:t>/a）</w:t>
            </w:r>
          </w:p>
          <w:p w14:paraId="5897C2E9">
            <w:pPr>
              <w:snapToGrid w:val="0"/>
              <w:spacing w:line="360" w:lineRule="auto"/>
              <w:ind w:firstLine="480" w:firstLineChars="200"/>
              <w:rPr>
                <w:rFonts w:eastAsiaTheme="minorEastAsia"/>
                <w:color w:val="auto"/>
                <w:sz w:val="24"/>
                <w:szCs w:val="24"/>
              </w:rPr>
            </w:pPr>
            <w:r>
              <w:rPr>
                <w:rFonts w:hint="eastAsia" w:eastAsiaTheme="minorEastAsia"/>
                <w:color w:val="auto"/>
                <w:sz w:val="24"/>
                <w:szCs w:val="24"/>
                <w:lang w:val="en-US" w:eastAsia="zh-CN"/>
              </w:rPr>
              <w:t>9</w:t>
            </w:r>
            <w:r>
              <w:rPr>
                <w:rFonts w:eastAsiaTheme="minorEastAsia"/>
                <w:color w:val="auto"/>
                <w:sz w:val="24"/>
                <w:szCs w:val="24"/>
              </w:rPr>
              <w:t>、职工人数、工作制度及配套生活设施</w:t>
            </w:r>
          </w:p>
          <w:p w14:paraId="5EE67B0A">
            <w:pPr>
              <w:snapToGrid w:val="0"/>
              <w:spacing w:line="360" w:lineRule="auto"/>
              <w:ind w:firstLine="480" w:firstLineChars="200"/>
              <w:rPr>
                <w:rFonts w:ascii="Times New Roman" w:hAnsi="Times New Roman" w:cs="Times New Roman" w:eastAsiaTheme="minorEastAsia"/>
                <w:color w:val="auto"/>
                <w:sz w:val="24"/>
                <w:szCs w:val="24"/>
              </w:rPr>
            </w:pPr>
            <w:r>
              <w:rPr>
                <w:rFonts w:eastAsiaTheme="minorEastAsia"/>
                <w:color w:val="auto"/>
                <w:sz w:val="24"/>
                <w:szCs w:val="24"/>
              </w:rPr>
              <w:t>本项目职工定员</w:t>
            </w:r>
            <w:r>
              <w:rPr>
                <w:rFonts w:hint="eastAsia" w:cs="Times New Roman" w:eastAsiaTheme="minorEastAsia"/>
                <w:color w:val="auto"/>
                <w:sz w:val="24"/>
                <w:szCs w:val="24"/>
                <w:lang w:val="en-US" w:eastAsia="zh-CN"/>
              </w:rPr>
              <w:t>20</w:t>
            </w:r>
            <w:r>
              <w:rPr>
                <w:rFonts w:ascii="Times New Roman" w:hAnsi="Times New Roman" w:cs="Times New Roman" w:eastAsiaTheme="minorEastAsia"/>
                <w:color w:val="auto"/>
                <w:sz w:val="24"/>
                <w:szCs w:val="24"/>
              </w:rPr>
              <w:t>人，</w:t>
            </w:r>
            <w:r>
              <w:rPr>
                <w:rFonts w:hint="eastAsia" w:ascii="Times New Roman" w:hAnsi="Times New Roman" w:cs="Times New Roman" w:eastAsiaTheme="minorEastAsia"/>
                <w:color w:val="auto"/>
                <w:sz w:val="24"/>
                <w:szCs w:val="24"/>
                <w:lang w:val="en-US" w:eastAsia="zh-CN"/>
              </w:rPr>
              <w:t>采用</w:t>
            </w:r>
            <w:r>
              <w:rPr>
                <w:rFonts w:hint="eastAsia" w:cs="Times New Roman" w:eastAsiaTheme="minorEastAsia"/>
                <w:color w:val="auto"/>
                <w:sz w:val="24"/>
                <w:szCs w:val="24"/>
                <w:lang w:val="en-US" w:eastAsia="zh-CN"/>
              </w:rPr>
              <w:t>单班制、每班8</w:t>
            </w:r>
            <w:r>
              <w:rPr>
                <w:rFonts w:hint="eastAsia" w:ascii="Times New Roman" w:hAnsi="Times New Roman" w:cs="Times New Roman" w:eastAsiaTheme="minorEastAsia"/>
                <w:color w:val="auto"/>
                <w:sz w:val="24"/>
                <w:szCs w:val="24"/>
                <w:lang w:val="en-US" w:eastAsia="zh-CN"/>
              </w:rPr>
              <w:t>小时工作制，</w:t>
            </w:r>
            <w:r>
              <w:rPr>
                <w:rFonts w:ascii="Times New Roman" w:hAnsi="Times New Roman" w:cs="Times New Roman" w:eastAsiaTheme="minorEastAsia"/>
                <w:color w:val="auto"/>
                <w:sz w:val="24"/>
                <w:szCs w:val="24"/>
              </w:rPr>
              <w:t>年工作</w:t>
            </w:r>
            <w:r>
              <w:rPr>
                <w:rFonts w:hint="eastAsia" w:ascii="Times New Roman" w:hAnsi="Times New Roman" w:cs="Times New Roman" w:eastAsiaTheme="minorEastAsia"/>
                <w:color w:val="auto"/>
                <w:sz w:val="24"/>
                <w:szCs w:val="24"/>
              </w:rPr>
              <w:t>30</w:t>
            </w:r>
            <w:r>
              <w:rPr>
                <w:rFonts w:ascii="Times New Roman" w:hAnsi="Times New Roman" w:cs="Times New Roman" w:eastAsiaTheme="minorEastAsia"/>
                <w:color w:val="auto"/>
                <w:sz w:val="24"/>
                <w:szCs w:val="24"/>
              </w:rPr>
              <w:t>0天，年工作时间按</w:t>
            </w:r>
            <w:r>
              <w:rPr>
                <w:rFonts w:hint="eastAsia" w:cs="Times New Roman" w:eastAsiaTheme="minorEastAsia"/>
                <w:color w:val="auto"/>
                <w:sz w:val="24"/>
                <w:szCs w:val="24"/>
                <w:lang w:val="en-US" w:eastAsia="zh-CN"/>
              </w:rPr>
              <w:t>24</w:t>
            </w:r>
            <w:r>
              <w:rPr>
                <w:rFonts w:hint="eastAsia" w:ascii="Times New Roman" w:hAnsi="Times New Roman" w:cs="Times New Roman" w:eastAsiaTheme="minorEastAsia"/>
                <w:color w:val="auto"/>
                <w:sz w:val="24"/>
                <w:szCs w:val="24"/>
                <w:lang w:val="en-US" w:eastAsia="zh-CN"/>
              </w:rPr>
              <w:t>00</w:t>
            </w:r>
            <w:r>
              <w:rPr>
                <w:rFonts w:ascii="Times New Roman" w:hAnsi="Times New Roman" w:cs="Times New Roman" w:eastAsiaTheme="minorEastAsia"/>
                <w:color w:val="auto"/>
                <w:sz w:val="24"/>
                <w:szCs w:val="24"/>
              </w:rPr>
              <w:t>小时计。</w:t>
            </w:r>
            <w:r>
              <w:rPr>
                <w:rFonts w:hint="default" w:ascii="Times New Roman" w:hAnsi="Times New Roman" w:cs="Times New Roman" w:eastAsiaTheme="minorEastAsia"/>
                <w:color w:val="auto"/>
                <w:sz w:val="24"/>
                <w:szCs w:val="24"/>
                <w:lang w:eastAsia="zh-CN"/>
              </w:rPr>
              <w:t>本项目</w:t>
            </w:r>
            <w:r>
              <w:rPr>
                <w:rFonts w:eastAsiaTheme="minorEastAsia"/>
                <w:color w:val="auto"/>
                <w:sz w:val="24"/>
                <w:szCs w:val="24"/>
              </w:rPr>
              <w:t>不设食堂、宿舍及浴室，职工就餐外购快餐解决。</w:t>
            </w:r>
          </w:p>
          <w:p w14:paraId="589C6E26">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rPr>
                <w:rFonts w:hint="default" w:ascii="Times New Roman" w:hAnsi="Times New Roman" w:cs="Times New Roman" w:eastAsiaTheme="minorEastAsia"/>
                <w:color w:val="auto"/>
                <w:kern w:val="0"/>
                <w:sz w:val="24"/>
                <w:szCs w:val="24"/>
                <w:shd w:val="clear" w:color="auto" w:fill="auto"/>
                <w:lang w:val="en-US" w:eastAsia="zh-CN" w:bidi="ar-SA"/>
              </w:rPr>
            </w:pPr>
            <w:r>
              <w:rPr>
                <w:rFonts w:hint="default" w:ascii="Times New Roman" w:hAnsi="Times New Roman" w:cs="Times New Roman" w:eastAsiaTheme="minorEastAsia"/>
                <w:color w:val="auto"/>
                <w:kern w:val="0"/>
                <w:sz w:val="24"/>
                <w:szCs w:val="24"/>
                <w:shd w:val="clear" w:color="auto" w:fill="auto"/>
                <w:lang w:val="en-US" w:eastAsia="zh-CN" w:bidi="ar-SA"/>
              </w:rPr>
              <w:t>10、厂区平面布置</w:t>
            </w:r>
          </w:p>
          <w:p w14:paraId="4BCD622A">
            <w:pPr>
              <w:pStyle w:val="43"/>
              <w:keepNext w:val="0"/>
              <w:keepLines w:val="0"/>
              <w:pageBreakBefore w:val="0"/>
              <w:widowControl w:val="0"/>
              <w:kinsoku/>
              <w:wordWrap/>
              <w:overflowPunct/>
              <w:topLinePunct w:val="0"/>
              <w:bidi w:val="0"/>
              <w:ind w:firstLine="480" w:firstLineChars="200"/>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kern w:val="0"/>
                <w:sz w:val="24"/>
                <w:szCs w:val="24"/>
                <w:shd w:val="clear" w:color="auto" w:fill="auto"/>
                <w:lang w:val="en-US" w:eastAsia="zh-CN" w:bidi="ar-SA"/>
              </w:rPr>
              <w:t>本项目位于江苏省常州市新北区滨江经济开发区赣江路318号中瑞（常州）国际合作产业园，租用</w:t>
            </w:r>
            <w:r>
              <w:rPr>
                <w:rFonts w:hint="default" w:ascii="Times New Roman" w:hAnsi="Times New Roman" w:cs="Times New Roman"/>
                <w:color w:val="auto"/>
                <w:kern w:val="0"/>
                <w:sz w:val="24"/>
                <w:szCs w:val="24"/>
                <w:lang w:val="en-US" w:eastAsia="zh-CN" w:bidi="ar-SA"/>
              </w:rPr>
              <w:t>常州上鸿科技服务有限公司现有厂房（5幢1号）进行生产，园</w:t>
            </w:r>
            <w:r>
              <w:rPr>
                <w:rFonts w:hint="default" w:ascii="Times New Roman" w:hAnsi="Times New Roman" w:cs="Times New Roman" w:eastAsiaTheme="minorEastAsia"/>
                <w:color w:val="auto"/>
                <w:kern w:val="0"/>
                <w:sz w:val="24"/>
                <w:szCs w:val="24"/>
                <w:shd w:val="clear" w:color="auto" w:fill="auto"/>
                <w:lang w:val="en-US" w:eastAsia="zh-CN" w:bidi="ar-SA"/>
              </w:rPr>
              <w:t>区出入口沿西侧东港三路设置</w:t>
            </w:r>
            <w:r>
              <w:rPr>
                <w:rFonts w:hint="eastAsia" w:ascii="Times New Roman" w:hAnsi="Times New Roman" w:cs="Times New Roman"/>
                <w:color w:val="auto"/>
                <w:kern w:val="2"/>
                <w:sz w:val="24"/>
                <w:szCs w:val="24"/>
                <w:lang w:val="en-US" w:eastAsia="zh-CN" w:bidi="ar-SA"/>
              </w:rPr>
              <w:t>，园区内共有11幢主体建筑，分别为1#~11#</w:t>
            </w:r>
            <w:r>
              <w:rPr>
                <w:rFonts w:hint="default" w:ascii="Times New Roman" w:hAnsi="Times New Roman" w:cs="Times New Roman" w:eastAsiaTheme="minorEastAsia"/>
                <w:color w:val="auto"/>
                <w:kern w:val="0"/>
                <w:sz w:val="24"/>
                <w:szCs w:val="24"/>
                <w:shd w:val="clear" w:color="auto" w:fill="auto"/>
                <w:lang w:val="en-US" w:eastAsia="zh-CN" w:bidi="ar-SA"/>
              </w:rPr>
              <w:t>。</w:t>
            </w:r>
            <w:r>
              <w:rPr>
                <w:rFonts w:hint="default" w:ascii="Times New Roman" w:hAnsi="Times New Roman" w:cs="Times New Roman"/>
                <w:color w:val="auto"/>
                <w:sz w:val="24"/>
                <w:szCs w:val="24"/>
              </w:rPr>
              <w:t>主体功能见表</w:t>
            </w:r>
            <w:r>
              <w:rPr>
                <w:rFonts w:hint="default" w:ascii="Times New Roman" w:hAnsi="Times New Roman" w:cs="Times New Roman" w:eastAsiaTheme="minorEastAsia"/>
                <w:color w:val="auto"/>
                <w:kern w:val="2"/>
                <w:sz w:val="24"/>
                <w:szCs w:val="24"/>
                <w:lang w:val="en-US" w:eastAsia="zh-CN" w:bidi="ar-SA"/>
              </w:rPr>
              <w:t>2-</w:t>
            </w:r>
            <w:r>
              <w:rPr>
                <w:rFonts w:hint="eastAsia" w:ascii="Times New Roman" w:hAnsi="Times New Roman" w:cs="Times New Roman" w:eastAsiaTheme="minorEastAsia"/>
                <w:color w:val="auto"/>
                <w:kern w:val="2"/>
                <w:sz w:val="24"/>
                <w:szCs w:val="24"/>
                <w:lang w:val="en-US" w:eastAsia="zh-CN" w:bidi="ar-SA"/>
              </w:rPr>
              <w:t>7</w:t>
            </w:r>
            <w:r>
              <w:rPr>
                <w:rFonts w:hint="default" w:ascii="Times New Roman" w:hAnsi="Times New Roman" w:cs="Times New Roman" w:eastAsiaTheme="minorEastAsia"/>
                <w:color w:val="auto"/>
              </w:rPr>
              <w:t>。</w:t>
            </w:r>
          </w:p>
          <w:p w14:paraId="0C11C2E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auto"/>
                <w:kern w:val="0"/>
                <w:sz w:val="24"/>
                <w:szCs w:val="28"/>
              </w:rPr>
            </w:pPr>
            <w:r>
              <w:rPr>
                <w:rFonts w:hint="eastAsia" w:ascii="Times New Roman" w:hAnsi="Times New Roman" w:eastAsia="宋体" w:cs="Times New Roman"/>
                <w:b/>
                <w:color w:val="auto"/>
                <w:kern w:val="0"/>
                <w:sz w:val="24"/>
                <w:szCs w:val="28"/>
              </w:rPr>
              <w:t>表2-</w:t>
            </w:r>
            <w:r>
              <w:rPr>
                <w:rFonts w:hint="eastAsia" w:cs="Times New Roman"/>
                <w:b/>
                <w:color w:val="auto"/>
                <w:kern w:val="0"/>
                <w:sz w:val="24"/>
                <w:szCs w:val="28"/>
                <w:lang w:val="en-US" w:eastAsia="zh-CN"/>
              </w:rPr>
              <w:t>7</w:t>
            </w:r>
            <w:r>
              <w:rPr>
                <w:rFonts w:hint="eastAsia" w:ascii="Times New Roman" w:hAnsi="Times New Roman" w:eastAsia="宋体" w:cs="Times New Roman"/>
                <w:b/>
                <w:color w:val="auto"/>
                <w:kern w:val="0"/>
                <w:sz w:val="24"/>
                <w:szCs w:val="28"/>
                <w:lang w:eastAsia="zh-CN"/>
              </w:rPr>
              <w:t>车间</w:t>
            </w:r>
            <w:r>
              <w:rPr>
                <w:rFonts w:hint="eastAsia" w:ascii="Times New Roman" w:hAnsi="Times New Roman" w:eastAsia="宋体" w:cs="Times New Roman"/>
                <w:b/>
                <w:color w:val="auto"/>
                <w:kern w:val="0"/>
                <w:sz w:val="24"/>
                <w:szCs w:val="28"/>
              </w:rPr>
              <w:t>各层功能表</w:t>
            </w:r>
          </w:p>
          <w:tbl>
            <w:tblPr>
              <w:tblStyle w:val="35"/>
              <w:tblW w:w="8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395"/>
              <w:gridCol w:w="990"/>
              <w:gridCol w:w="1635"/>
              <w:gridCol w:w="3229"/>
            </w:tblGrid>
            <w:tr w14:paraId="501B0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673" w:type="pct"/>
                  <w:vAlign w:val="center"/>
                </w:tcPr>
                <w:p w14:paraId="12FED831">
                  <w:pPr>
                    <w:jc w:val="center"/>
                    <w:rPr>
                      <w:rFonts w:hint="eastAsia" w:hAnsi="宋体" w:eastAsia="宋体"/>
                      <w:b/>
                      <w:color w:val="auto"/>
                      <w:szCs w:val="21"/>
                      <w:lang w:val="en-US" w:eastAsia="zh-CN"/>
                    </w:rPr>
                  </w:pPr>
                  <w:r>
                    <w:rPr>
                      <w:rFonts w:hint="eastAsia" w:hAnsi="宋体"/>
                      <w:b/>
                      <w:color w:val="auto"/>
                      <w:szCs w:val="21"/>
                      <w:lang w:val="en-US" w:eastAsia="zh-CN"/>
                    </w:rPr>
                    <w:t>建筑编号</w:t>
                  </w:r>
                </w:p>
              </w:tc>
              <w:tc>
                <w:tcPr>
                  <w:tcW w:w="832" w:type="pct"/>
                  <w:vAlign w:val="center"/>
                </w:tcPr>
                <w:p w14:paraId="294B6E8A">
                  <w:pPr>
                    <w:jc w:val="center"/>
                    <w:rPr>
                      <w:rFonts w:hAnsi="宋体"/>
                      <w:b/>
                      <w:color w:val="auto"/>
                      <w:szCs w:val="21"/>
                    </w:rPr>
                  </w:pPr>
                  <w:r>
                    <w:rPr>
                      <w:rFonts w:hint="eastAsia" w:hAnsi="宋体"/>
                      <w:b/>
                      <w:color w:val="auto"/>
                      <w:szCs w:val="21"/>
                    </w:rPr>
                    <w:t>建筑物名称</w:t>
                  </w:r>
                </w:p>
              </w:tc>
              <w:tc>
                <w:tcPr>
                  <w:tcW w:w="590" w:type="pct"/>
                  <w:vAlign w:val="center"/>
                </w:tcPr>
                <w:p w14:paraId="489645CE">
                  <w:pPr>
                    <w:jc w:val="center"/>
                    <w:rPr>
                      <w:rFonts w:hAnsi="宋体"/>
                      <w:b/>
                      <w:color w:val="auto"/>
                      <w:szCs w:val="21"/>
                    </w:rPr>
                  </w:pPr>
                  <w:r>
                    <w:rPr>
                      <w:rFonts w:hint="eastAsia" w:hAnsi="宋体"/>
                      <w:b/>
                      <w:color w:val="auto"/>
                      <w:szCs w:val="21"/>
                    </w:rPr>
                    <w:t>楼层数</w:t>
                  </w:r>
                </w:p>
              </w:tc>
              <w:tc>
                <w:tcPr>
                  <w:tcW w:w="975" w:type="pct"/>
                  <w:vAlign w:val="center"/>
                </w:tcPr>
                <w:p w14:paraId="5CAD1B8E">
                  <w:pPr>
                    <w:jc w:val="center"/>
                    <w:rPr>
                      <w:rFonts w:hAnsi="宋体"/>
                      <w:b/>
                      <w:color w:val="auto"/>
                      <w:szCs w:val="21"/>
                    </w:rPr>
                  </w:pPr>
                  <w:r>
                    <w:rPr>
                      <w:rFonts w:hint="eastAsia" w:hAnsi="宋体"/>
                      <w:b/>
                      <w:color w:val="auto"/>
                      <w:szCs w:val="21"/>
                    </w:rPr>
                    <w:t>主体功能</w:t>
                  </w:r>
                </w:p>
              </w:tc>
              <w:tc>
                <w:tcPr>
                  <w:tcW w:w="1927" w:type="pct"/>
                  <w:vAlign w:val="center"/>
                </w:tcPr>
                <w:p w14:paraId="2D705EA1">
                  <w:pPr>
                    <w:jc w:val="center"/>
                    <w:rPr>
                      <w:rFonts w:hAnsi="宋体"/>
                      <w:b/>
                      <w:color w:val="auto"/>
                      <w:szCs w:val="21"/>
                    </w:rPr>
                  </w:pPr>
                  <w:r>
                    <w:rPr>
                      <w:rFonts w:hint="eastAsia" w:hAnsi="宋体"/>
                      <w:b/>
                      <w:color w:val="auto"/>
                      <w:szCs w:val="21"/>
                      <w:lang w:val="en-US" w:eastAsia="zh-CN"/>
                    </w:rPr>
                    <w:t>备注</w:t>
                  </w:r>
                </w:p>
              </w:tc>
            </w:tr>
            <w:tr w14:paraId="24894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3" w:type="pct"/>
                  <w:vMerge w:val="restart"/>
                  <w:vAlign w:val="center"/>
                </w:tcPr>
                <w:p w14:paraId="56DB01C6">
                  <w:pPr>
                    <w:jc w:val="center"/>
                    <w:rPr>
                      <w:rFonts w:hint="default"/>
                      <w:color w:val="auto"/>
                      <w:sz w:val="21"/>
                      <w:szCs w:val="21"/>
                      <w:lang w:val="en-US" w:eastAsia="zh-CN"/>
                    </w:rPr>
                  </w:pPr>
                  <w:r>
                    <w:rPr>
                      <w:rFonts w:hint="eastAsia"/>
                      <w:color w:val="auto"/>
                      <w:sz w:val="21"/>
                      <w:szCs w:val="21"/>
                      <w:lang w:val="en-US" w:eastAsia="zh-CN"/>
                    </w:rPr>
                    <w:t>5幢1号</w:t>
                  </w:r>
                </w:p>
              </w:tc>
              <w:tc>
                <w:tcPr>
                  <w:tcW w:w="832" w:type="pct"/>
                  <w:vMerge w:val="restart"/>
                  <w:vAlign w:val="center"/>
                </w:tcPr>
                <w:p w14:paraId="6E1E43C9">
                  <w:pPr>
                    <w:jc w:val="center"/>
                    <w:rPr>
                      <w:rFonts w:hint="eastAsia"/>
                      <w:color w:val="auto"/>
                      <w:sz w:val="21"/>
                      <w:szCs w:val="21"/>
                      <w:lang w:val="en-US" w:eastAsia="zh-CN"/>
                    </w:rPr>
                  </w:pPr>
                  <w:r>
                    <w:rPr>
                      <w:rFonts w:hint="eastAsia"/>
                      <w:color w:val="auto"/>
                      <w:sz w:val="21"/>
                      <w:szCs w:val="21"/>
                      <w:lang w:val="en-US" w:eastAsia="zh-CN"/>
                    </w:rPr>
                    <w:t>生产车间</w:t>
                  </w:r>
                </w:p>
                <w:p w14:paraId="2B4D6D7B">
                  <w:pPr>
                    <w:jc w:val="center"/>
                    <w:rPr>
                      <w:rFonts w:hint="default" w:eastAsia="宋体"/>
                      <w:color w:val="auto"/>
                      <w:sz w:val="21"/>
                      <w:szCs w:val="21"/>
                      <w:lang w:val="en-US" w:eastAsia="zh-CN"/>
                    </w:rPr>
                  </w:pPr>
                  <w:r>
                    <w:rPr>
                      <w:rFonts w:hint="eastAsia"/>
                      <w:color w:val="auto"/>
                      <w:sz w:val="21"/>
                      <w:szCs w:val="21"/>
                      <w:lang w:val="en-US" w:eastAsia="zh-CN"/>
                    </w:rPr>
                    <w:t>（共1层，面积1088m</w:t>
                  </w:r>
                  <w:r>
                    <w:rPr>
                      <w:rFonts w:hint="eastAsia"/>
                      <w:color w:val="auto"/>
                      <w:sz w:val="21"/>
                      <w:szCs w:val="21"/>
                      <w:vertAlign w:val="superscript"/>
                      <w:lang w:val="en-US" w:eastAsia="zh-CN"/>
                    </w:rPr>
                    <w:t>2</w:t>
                  </w:r>
                  <w:r>
                    <w:rPr>
                      <w:rFonts w:hint="eastAsia"/>
                      <w:color w:val="auto"/>
                      <w:sz w:val="21"/>
                      <w:szCs w:val="21"/>
                      <w:lang w:val="en-US" w:eastAsia="zh-CN"/>
                    </w:rPr>
                    <w:t>）</w:t>
                  </w:r>
                </w:p>
              </w:tc>
              <w:tc>
                <w:tcPr>
                  <w:tcW w:w="590" w:type="pct"/>
                  <w:vMerge w:val="restart"/>
                  <w:vAlign w:val="center"/>
                </w:tcPr>
                <w:p w14:paraId="0FE5E35A">
                  <w:pPr>
                    <w:jc w:val="center"/>
                    <w:rPr>
                      <w:rFonts w:hint="default" w:eastAsia="宋体"/>
                      <w:color w:val="auto"/>
                      <w:sz w:val="21"/>
                      <w:szCs w:val="21"/>
                      <w:lang w:val="en-US" w:eastAsia="zh-CN"/>
                    </w:rPr>
                  </w:pPr>
                  <w:r>
                    <w:rPr>
                      <w:rFonts w:hint="eastAsia"/>
                      <w:color w:val="auto"/>
                      <w:sz w:val="21"/>
                      <w:szCs w:val="21"/>
                      <w:lang w:val="en-US" w:eastAsia="zh-CN"/>
                    </w:rPr>
                    <w:t>一层</w:t>
                  </w:r>
                </w:p>
              </w:tc>
              <w:tc>
                <w:tcPr>
                  <w:tcW w:w="975" w:type="pct"/>
                  <w:shd w:val="clear" w:color="auto" w:fill="auto"/>
                  <w:vAlign w:val="center"/>
                </w:tcPr>
                <w:p w14:paraId="75ADC71B">
                  <w:pPr>
                    <w:jc w:val="center"/>
                    <w:rPr>
                      <w:rFonts w:hint="default" w:cs="Times New Roman"/>
                      <w:color w:val="auto"/>
                      <w:sz w:val="21"/>
                      <w:szCs w:val="21"/>
                      <w:lang w:val="en-US" w:eastAsia="zh-CN"/>
                    </w:rPr>
                  </w:pPr>
                  <w:r>
                    <w:rPr>
                      <w:rFonts w:hint="eastAsia" w:cs="Times New Roman"/>
                      <w:color w:val="auto"/>
                      <w:sz w:val="21"/>
                      <w:szCs w:val="21"/>
                      <w:lang w:val="en-US" w:eastAsia="zh-CN"/>
                    </w:rPr>
                    <w:t>办公区</w:t>
                  </w:r>
                </w:p>
              </w:tc>
              <w:tc>
                <w:tcPr>
                  <w:tcW w:w="1927" w:type="pct"/>
                  <w:shd w:val="clear" w:color="auto" w:fill="auto"/>
                  <w:vAlign w:val="center"/>
                </w:tcPr>
                <w:p w14:paraId="462B5DC6">
                  <w:pPr>
                    <w:jc w:val="center"/>
                    <w:rPr>
                      <w:rFonts w:hint="default"/>
                      <w:color w:val="auto"/>
                      <w:sz w:val="21"/>
                      <w:szCs w:val="21"/>
                      <w:vertAlign w:val="superscript"/>
                      <w:lang w:val="en-US" w:eastAsia="zh-CN"/>
                    </w:rPr>
                  </w:pPr>
                  <w:r>
                    <w:rPr>
                      <w:rFonts w:hint="eastAsia"/>
                      <w:color w:val="auto"/>
                      <w:sz w:val="21"/>
                      <w:szCs w:val="21"/>
                      <w:vertAlign w:val="baseline"/>
                      <w:lang w:val="en-US" w:eastAsia="zh-CN"/>
                    </w:rPr>
                    <w:t>200m</w:t>
                  </w:r>
                  <w:r>
                    <w:rPr>
                      <w:rFonts w:hint="eastAsia"/>
                      <w:color w:val="auto"/>
                      <w:sz w:val="21"/>
                      <w:szCs w:val="21"/>
                      <w:vertAlign w:val="superscript"/>
                      <w:lang w:val="en-US" w:eastAsia="zh-CN"/>
                    </w:rPr>
                    <w:t>2</w:t>
                  </w:r>
                </w:p>
              </w:tc>
            </w:tr>
            <w:tr w14:paraId="66E7E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3" w:type="pct"/>
                  <w:vMerge w:val="continue"/>
                  <w:vAlign w:val="center"/>
                </w:tcPr>
                <w:p w14:paraId="5FF935E2">
                  <w:pPr>
                    <w:jc w:val="center"/>
                    <w:rPr>
                      <w:rFonts w:hint="default"/>
                      <w:color w:val="auto"/>
                      <w:sz w:val="21"/>
                      <w:szCs w:val="21"/>
                      <w:lang w:val="en-US" w:eastAsia="zh-CN"/>
                    </w:rPr>
                  </w:pPr>
                </w:p>
              </w:tc>
              <w:tc>
                <w:tcPr>
                  <w:tcW w:w="832" w:type="pct"/>
                  <w:vMerge w:val="continue"/>
                  <w:vAlign w:val="center"/>
                </w:tcPr>
                <w:p w14:paraId="5304CC73">
                  <w:pPr>
                    <w:jc w:val="center"/>
                    <w:rPr>
                      <w:rFonts w:hint="default" w:eastAsia="宋体"/>
                      <w:color w:val="auto"/>
                      <w:sz w:val="21"/>
                      <w:szCs w:val="21"/>
                      <w:lang w:val="en-US" w:eastAsia="zh-CN"/>
                    </w:rPr>
                  </w:pPr>
                </w:p>
              </w:tc>
              <w:tc>
                <w:tcPr>
                  <w:tcW w:w="590" w:type="pct"/>
                  <w:vMerge w:val="continue"/>
                  <w:vAlign w:val="center"/>
                </w:tcPr>
                <w:p w14:paraId="5EF98EAA">
                  <w:pPr>
                    <w:jc w:val="center"/>
                    <w:rPr>
                      <w:rFonts w:hint="default" w:eastAsia="宋体"/>
                      <w:color w:val="auto"/>
                      <w:sz w:val="21"/>
                      <w:szCs w:val="21"/>
                      <w:lang w:val="en-US" w:eastAsia="zh-CN"/>
                    </w:rPr>
                  </w:pPr>
                </w:p>
              </w:tc>
              <w:tc>
                <w:tcPr>
                  <w:tcW w:w="975" w:type="pct"/>
                  <w:shd w:val="clear" w:color="auto" w:fill="auto"/>
                  <w:vAlign w:val="center"/>
                </w:tcPr>
                <w:p w14:paraId="36D0E493">
                  <w:pPr>
                    <w:jc w:val="center"/>
                    <w:rPr>
                      <w:rFonts w:hint="eastAsia"/>
                      <w:color w:val="auto"/>
                      <w:sz w:val="21"/>
                      <w:szCs w:val="21"/>
                      <w:lang w:val="en-US" w:eastAsia="zh-CN"/>
                    </w:rPr>
                  </w:pPr>
                  <w:r>
                    <w:rPr>
                      <w:rFonts w:hint="eastAsia" w:cs="Times New Roman"/>
                      <w:color w:val="auto"/>
                      <w:sz w:val="21"/>
                      <w:szCs w:val="21"/>
                      <w:lang w:val="en-US" w:eastAsia="zh-CN"/>
                    </w:rPr>
                    <w:t>生产区</w:t>
                  </w:r>
                </w:p>
              </w:tc>
              <w:tc>
                <w:tcPr>
                  <w:tcW w:w="1927" w:type="pct"/>
                  <w:shd w:val="clear" w:color="auto" w:fill="auto"/>
                  <w:vAlign w:val="center"/>
                </w:tcPr>
                <w:p w14:paraId="19C53767">
                  <w:pPr>
                    <w:jc w:val="center"/>
                    <w:rPr>
                      <w:rFonts w:hint="default"/>
                      <w:color w:val="auto"/>
                      <w:sz w:val="21"/>
                      <w:szCs w:val="21"/>
                      <w:vertAlign w:val="superscript"/>
                      <w:lang w:val="en-US" w:eastAsia="zh-CN"/>
                    </w:rPr>
                  </w:pPr>
                  <w:r>
                    <w:rPr>
                      <w:rFonts w:hint="eastAsia"/>
                      <w:color w:val="auto"/>
                      <w:sz w:val="21"/>
                      <w:szCs w:val="21"/>
                      <w:vertAlign w:val="baseline"/>
                      <w:lang w:val="en-US" w:eastAsia="zh-CN"/>
                    </w:rPr>
                    <w:t>拟布置钎焊焊枪、冷媒充注机等生产设备，610m</w:t>
                  </w:r>
                  <w:r>
                    <w:rPr>
                      <w:rFonts w:hint="eastAsia"/>
                      <w:color w:val="auto"/>
                      <w:sz w:val="21"/>
                      <w:szCs w:val="21"/>
                      <w:vertAlign w:val="superscript"/>
                      <w:lang w:val="en-US" w:eastAsia="zh-CN"/>
                    </w:rPr>
                    <w:t>2</w:t>
                  </w:r>
                </w:p>
              </w:tc>
            </w:tr>
            <w:tr w14:paraId="34C8D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3" w:type="pct"/>
                  <w:vMerge w:val="continue"/>
                  <w:vAlign w:val="center"/>
                </w:tcPr>
                <w:p w14:paraId="621F6456">
                  <w:pPr>
                    <w:jc w:val="center"/>
                    <w:rPr>
                      <w:rFonts w:hint="eastAsia"/>
                      <w:color w:val="auto"/>
                      <w:sz w:val="21"/>
                      <w:szCs w:val="21"/>
                      <w:lang w:val="en-US" w:eastAsia="zh-CN"/>
                    </w:rPr>
                  </w:pPr>
                </w:p>
              </w:tc>
              <w:tc>
                <w:tcPr>
                  <w:tcW w:w="832" w:type="pct"/>
                  <w:vMerge w:val="continue"/>
                  <w:vAlign w:val="center"/>
                </w:tcPr>
                <w:p w14:paraId="5B1F7570">
                  <w:pPr>
                    <w:jc w:val="center"/>
                    <w:rPr>
                      <w:rFonts w:hint="eastAsia"/>
                      <w:color w:val="FF0000"/>
                      <w:sz w:val="21"/>
                      <w:szCs w:val="21"/>
                      <w:lang w:val="en-US" w:eastAsia="zh-CN"/>
                    </w:rPr>
                  </w:pPr>
                </w:p>
              </w:tc>
              <w:tc>
                <w:tcPr>
                  <w:tcW w:w="590" w:type="pct"/>
                  <w:vMerge w:val="continue"/>
                  <w:vAlign w:val="center"/>
                </w:tcPr>
                <w:p w14:paraId="277E85F3">
                  <w:pPr>
                    <w:jc w:val="center"/>
                    <w:rPr>
                      <w:rFonts w:hint="eastAsia"/>
                      <w:color w:val="FF0000"/>
                      <w:sz w:val="21"/>
                      <w:szCs w:val="21"/>
                      <w:lang w:val="en-US" w:eastAsia="zh-CN"/>
                    </w:rPr>
                  </w:pPr>
                </w:p>
              </w:tc>
              <w:tc>
                <w:tcPr>
                  <w:tcW w:w="975" w:type="pct"/>
                  <w:shd w:val="clear" w:color="auto" w:fill="auto"/>
                  <w:vAlign w:val="center"/>
                </w:tcPr>
                <w:p w14:paraId="20232491">
                  <w:pPr>
                    <w:jc w:val="center"/>
                    <w:rPr>
                      <w:rFonts w:hint="default" w:cs="Times New Roman"/>
                      <w:color w:val="auto"/>
                      <w:sz w:val="21"/>
                      <w:szCs w:val="21"/>
                      <w:lang w:val="en-US" w:eastAsia="zh-CN"/>
                    </w:rPr>
                  </w:pPr>
                  <w:r>
                    <w:rPr>
                      <w:rFonts w:hint="eastAsia" w:cs="Times New Roman"/>
                      <w:color w:val="auto"/>
                      <w:sz w:val="21"/>
                      <w:szCs w:val="21"/>
                      <w:lang w:val="en-US" w:eastAsia="zh-CN"/>
                    </w:rPr>
                    <w:t>发泡间</w:t>
                  </w:r>
                </w:p>
              </w:tc>
              <w:tc>
                <w:tcPr>
                  <w:tcW w:w="1927" w:type="pct"/>
                  <w:shd w:val="clear" w:color="auto" w:fill="auto"/>
                  <w:vAlign w:val="center"/>
                </w:tcPr>
                <w:p w14:paraId="41C6B379">
                  <w:pPr>
                    <w:jc w:val="center"/>
                    <w:rPr>
                      <w:rFonts w:hint="default"/>
                      <w:color w:val="auto"/>
                      <w:sz w:val="21"/>
                      <w:szCs w:val="21"/>
                      <w:vertAlign w:val="superscript"/>
                      <w:lang w:val="en-US" w:eastAsia="zh-CN"/>
                    </w:rPr>
                  </w:pPr>
                  <w:r>
                    <w:rPr>
                      <w:rFonts w:hint="eastAsia"/>
                      <w:color w:val="auto"/>
                      <w:sz w:val="21"/>
                      <w:szCs w:val="21"/>
                      <w:vertAlign w:val="baseline"/>
                      <w:lang w:val="en-US" w:eastAsia="zh-CN"/>
                    </w:rPr>
                    <w:t>拟布置发泡机，55m</w:t>
                  </w:r>
                  <w:r>
                    <w:rPr>
                      <w:rFonts w:hint="eastAsia"/>
                      <w:color w:val="auto"/>
                      <w:sz w:val="21"/>
                      <w:szCs w:val="21"/>
                      <w:vertAlign w:val="superscript"/>
                      <w:lang w:val="en-US" w:eastAsia="zh-CN"/>
                    </w:rPr>
                    <w:t>2</w:t>
                  </w:r>
                </w:p>
              </w:tc>
            </w:tr>
            <w:tr w14:paraId="1CAF6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673" w:type="pct"/>
                  <w:vMerge w:val="continue"/>
                  <w:vAlign w:val="center"/>
                </w:tcPr>
                <w:p w14:paraId="4F8455BB">
                  <w:pPr>
                    <w:jc w:val="center"/>
                    <w:rPr>
                      <w:rFonts w:hint="eastAsia"/>
                      <w:color w:val="FF0000"/>
                      <w:sz w:val="21"/>
                      <w:szCs w:val="21"/>
                      <w:lang w:val="en-US" w:eastAsia="zh-CN"/>
                    </w:rPr>
                  </w:pPr>
                </w:p>
              </w:tc>
              <w:tc>
                <w:tcPr>
                  <w:tcW w:w="832" w:type="pct"/>
                  <w:vMerge w:val="continue"/>
                  <w:vAlign w:val="center"/>
                </w:tcPr>
                <w:p w14:paraId="415D8682">
                  <w:pPr>
                    <w:jc w:val="center"/>
                    <w:rPr>
                      <w:rFonts w:hint="eastAsia"/>
                      <w:color w:val="FF0000"/>
                      <w:sz w:val="21"/>
                      <w:szCs w:val="21"/>
                      <w:lang w:val="en-US" w:eastAsia="zh-CN"/>
                    </w:rPr>
                  </w:pPr>
                </w:p>
              </w:tc>
              <w:tc>
                <w:tcPr>
                  <w:tcW w:w="590" w:type="pct"/>
                  <w:vMerge w:val="continue"/>
                  <w:vAlign w:val="center"/>
                </w:tcPr>
                <w:p w14:paraId="5104C9A7">
                  <w:pPr>
                    <w:jc w:val="center"/>
                    <w:rPr>
                      <w:rFonts w:hint="eastAsia"/>
                      <w:color w:val="FF0000"/>
                      <w:sz w:val="21"/>
                      <w:szCs w:val="21"/>
                      <w:lang w:val="en-US" w:eastAsia="zh-CN"/>
                    </w:rPr>
                  </w:pPr>
                </w:p>
              </w:tc>
              <w:tc>
                <w:tcPr>
                  <w:tcW w:w="975" w:type="pct"/>
                  <w:shd w:val="clear" w:color="auto" w:fill="auto"/>
                  <w:vAlign w:val="center"/>
                </w:tcPr>
                <w:p w14:paraId="5F70C7C4">
                  <w:pPr>
                    <w:jc w:val="center"/>
                    <w:rPr>
                      <w:rFonts w:hint="default" w:cs="Times New Roman"/>
                      <w:color w:val="auto"/>
                      <w:sz w:val="21"/>
                      <w:szCs w:val="21"/>
                      <w:lang w:val="en-US" w:eastAsia="zh-CN"/>
                    </w:rPr>
                  </w:pPr>
                  <w:r>
                    <w:rPr>
                      <w:rFonts w:hint="eastAsia" w:cs="Times New Roman"/>
                      <w:color w:val="auto"/>
                      <w:sz w:val="21"/>
                      <w:szCs w:val="21"/>
                      <w:lang w:val="en-US" w:eastAsia="zh-CN"/>
                    </w:rPr>
                    <w:t>原料仓库</w:t>
                  </w:r>
                </w:p>
              </w:tc>
              <w:tc>
                <w:tcPr>
                  <w:tcW w:w="1927" w:type="pct"/>
                  <w:shd w:val="clear" w:color="auto" w:fill="auto"/>
                  <w:vAlign w:val="center"/>
                </w:tcPr>
                <w:p w14:paraId="6CF6A08B">
                  <w:pPr>
                    <w:jc w:val="center"/>
                    <w:rPr>
                      <w:rFonts w:hint="eastAsia"/>
                      <w:color w:val="auto"/>
                      <w:sz w:val="21"/>
                      <w:szCs w:val="21"/>
                      <w:vertAlign w:val="baseline"/>
                      <w:lang w:val="en-US" w:eastAsia="zh-CN"/>
                    </w:rPr>
                  </w:pPr>
                  <w:r>
                    <w:rPr>
                      <w:rFonts w:hint="eastAsia"/>
                      <w:bCs/>
                      <w:color w:val="auto"/>
                      <w:sz w:val="21"/>
                      <w:szCs w:val="21"/>
                      <w:lang w:val="en-US" w:eastAsia="zh-CN"/>
                    </w:rPr>
                    <w:t>100m</w:t>
                  </w:r>
                  <w:r>
                    <w:rPr>
                      <w:rFonts w:hint="eastAsia"/>
                      <w:bCs/>
                      <w:color w:val="auto"/>
                      <w:sz w:val="21"/>
                      <w:szCs w:val="21"/>
                      <w:vertAlign w:val="superscript"/>
                      <w:lang w:val="en-US" w:eastAsia="zh-CN"/>
                    </w:rPr>
                    <w:t>2</w:t>
                  </w:r>
                </w:p>
              </w:tc>
            </w:tr>
            <w:tr w14:paraId="4A685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673" w:type="pct"/>
                  <w:vMerge w:val="continue"/>
                  <w:vAlign w:val="center"/>
                </w:tcPr>
                <w:p w14:paraId="2ED1BE93">
                  <w:pPr>
                    <w:jc w:val="center"/>
                    <w:rPr>
                      <w:rFonts w:hint="eastAsia"/>
                      <w:color w:val="FF0000"/>
                      <w:sz w:val="21"/>
                      <w:szCs w:val="21"/>
                      <w:lang w:val="en-US" w:eastAsia="zh-CN"/>
                    </w:rPr>
                  </w:pPr>
                </w:p>
              </w:tc>
              <w:tc>
                <w:tcPr>
                  <w:tcW w:w="832" w:type="pct"/>
                  <w:vMerge w:val="continue"/>
                  <w:vAlign w:val="center"/>
                </w:tcPr>
                <w:p w14:paraId="6CF5E39D">
                  <w:pPr>
                    <w:jc w:val="center"/>
                    <w:rPr>
                      <w:rFonts w:hint="eastAsia"/>
                      <w:color w:val="FF0000"/>
                      <w:sz w:val="21"/>
                      <w:szCs w:val="21"/>
                      <w:lang w:val="en-US" w:eastAsia="zh-CN"/>
                    </w:rPr>
                  </w:pPr>
                </w:p>
              </w:tc>
              <w:tc>
                <w:tcPr>
                  <w:tcW w:w="590" w:type="pct"/>
                  <w:vMerge w:val="continue"/>
                  <w:vAlign w:val="center"/>
                </w:tcPr>
                <w:p w14:paraId="15F4306D">
                  <w:pPr>
                    <w:jc w:val="center"/>
                    <w:rPr>
                      <w:rFonts w:hint="eastAsia"/>
                      <w:color w:val="FF0000"/>
                      <w:sz w:val="21"/>
                      <w:szCs w:val="21"/>
                      <w:lang w:val="en-US" w:eastAsia="zh-CN"/>
                    </w:rPr>
                  </w:pPr>
                </w:p>
              </w:tc>
              <w:tc>
                <w:tcPr>
                  <w:tcW w:w="975" w:type="pct"/>
                  <w:shd w:val="clear" w:color="auto" w:fill="auto"/>
                  <w:vAlign w:val="center"/>
                </w:tcPr>
                <w:p w14:paraId="2B02226B">
                  <w:pPr>
                    <w:jc w:val="center"/>
                    <w:rPr>
                      <w:rFonts w:hint="default" w:cs="Times New Roman"/>
                      <w:color w:val="auto"/>
                      <w:sz w:val="21"/>
                      <w:szCs w:val="21"/>
                      <w:lang w:val="en-US" w:eastAsia="zh-CN"/>
                    </w:rPr>
                  </w:pPr>
                  <w:r>
                    <w:rPr>
                      <w:rFonts w:hint="eastAsia" w:cs="Times New Roman"/>
                      <w:color w:val="auto"/>
                      <w:sz w:val="21"/>
                      <w:szCs w:val="21"/>
                      <w:lang w:val="en-US" w:eastAsia="zh-CN"/>
                    </w:rPr>
                    <w:t>成品仓库</w:t>
                  </w:r>
                </w:p>
              </w:tc>
              <w:tc>
                <w:tcPr>
                  <w:tcW w:w="1927" w:type="pct"/>
                  <w:shd w:val="clear" w:color="auto" w:fill="auto"/>
                  <w:vAlign w:val="center"/>
                </w:tcPr>
                <w:p w14:paraId="088AB167">
                  <w:pPr>
                    <w:jc w:val="center"/>
                    <w:rPr>
                      <w:rFonts w:hint="eastAsia"/>
                      <w:color w:val="auto"/>
                      <w:sz w:val="21"/>
                      <w:szCs w:val="21"/>
                      <w:vertAlign w:val="baseline"/>
                      <w:lang w:val="en-US" w:eastAsia="zh-CN"/>
                    </w:rPr>
                  </w:pPr>
                  <w:r>
                    <w:rPr>
                      <w:rFonts w:hint="eastAsia"/>
                      <w:bCs/>
                      <w:color w:val="auto"/>
                      <w:sz w:val="21"/>
                      <w:szCs w:val="21"/>
                      <w:lang w:val="en-US" w:eastAsia="zh-CN"/>
                    </w:rPr>
                    <w:t>100m</w:t>
                  </w:r>
                  <w:r>
                    <w:rPr>
                      <w:rFonts w:hint="eastAsia"/>
                      <w:bCs/>
                      <w:color w:val="auto"/>
                      <w:sz w:val="21"/>
                      <w:szCs w:val="21"/>
                      <w:vertAlign w:val="superscript"/>
                      <w:lang w:val="en-US" w:eastAsia="zh-CN"/>
                    </w:rPr>
                    <w:t>2</w:t>
                  </w:r>
                </w:p>
              </w:tc>
            </w:tr>
            <w:tr w14:paraId="539C6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673" w:type="pct"/>
                  <w:vMerge w:val="continue"/>
                  <w:vAlign w:val="center"/>
                </w:tcPr>
                <w:p w14:paraId="298DEF31">
                  <w:pPr>
                    <w:jc w:val="center"/>
                    <w:rPr>
                      <w:rFonts w:hint="eastAsia"/>
                      <w:color w:val="FF0000"/>
                      <w:sz w:val="21"/>
                      <w:szCs w:val="21"/>
                      <w:lang w:val="en-US" w:eastAsia="zh-CN"/>
                    </w:rPr>
                  </w:pPr>
                </w:p>
              </w:tc>
              <w:tc>
                <w:tcPr>
                  <w:tcW w:w="832" w:type="pct"/>
                  <w:vMerge w:val="continue"/>
                  <w:vAlign w:val="center"/>
                </w:tcPr>
                <w:p w14:paraId="699159E2">
                  <w:pPr>
                    <w:jc w:val="center"/>
                    <w:rPr>
                      <w:rFonts w:hint="eastAsia"/>
                      <w:color w:val="FF0000"/>
                      <w:sz w:val="21"/>
                      <w:szCs w:val="21"/>
                      <w:lang w:val="en-US" w:eastAsia="zh-CN"/>
                    </w:rPr>
                  </w:pPr>
                </w:p>
              </w:tc>
              <w:tc>
                <w:tcPr>
                  <w:tcW w:w="590" w:type="pct"/>
                  <w:vMerge w:val="continue"/>
                  <w:vAlign w:val="center"/>
                </w:tcPr>
                <w:p w14:paraId="502932E6">
                  <w:pPr>
                    <w:jc w:val="center"/>
                    <w:rPr>
                      <w:rFonts w:hint="eastAsia"/>
                      <w:color w:val="FF0000"/>
                      <w:sz w:val="21"/>
                      <w:szCs w:val="21"/>
                      <w:lang w:val="en-US" w:eastAsia="zh-CN"/>
                    </w:rPr>
                  </w:pPr>
                </w:p>
              </w:tc>
              <w:tc>
                <w:tcPr>
                  <w:tcW w:w="975" w:type="pct"/>
                  <w:shd w:val="clear" w:color="auto" w:fill="auto"/>
                  <w:vAlign w:val="center"/>
                </w:tcPr>
                <w:p w14:paraId="7D9461A0">
                  <w:pPr>
                    <w:jc w:val="center"/>
                    <w:rPr>
                      <w:rFonts w:hint="default" w:cs="Times New Roman"/>
                      <w:color w:val="auto"/>
                      <w:sz w:val="21"/>
                      <w:szCs w:val="21"/>
                      <w:lang w:val="en-US" w:eastAsia="zh-CN"/>
                    </w:rPr>
                  </w:pPr>
                  <w:r>
                    <w:rPr>
                      <w:rFonts w:hint="eastAsia" w:cs="Times New Roman"/>
                      <w:color w:val="auto"/>
                      <w:sz w:val="21"/>
                      <w:szCs w:val="21"/>
                      <w:lang w:val="en-US" w:eastAsia="zh-CN"/>
                    </w:rPr>
                    <w:t>危废仓库</w:t>
                  </w:r>
                </w:p>
              </w:tc>
              <w:tc>
                <w:tcPr>
                  <w:tcW w:w="1927" w:type="pct"/>
                  <w:shd w:val="clear" w:color="auto" w:fill="auto"/>
                  <w:vAlign w:val="center"/>
                </w:tcPr>
                <w:p w14:paraId="6F3EFE60">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12m</w:t>
                  </w:r>
                  <w:r>
                    <w:rPr>
                      <w:rFonts w:hint="eastAsia"/>
                      <w:color w:val="auto"/>
                      <w:sz w:val="21"/>
                      <w:szCs w:val="21"/>
                      <w:vertAlign w:val="superscript"/>
                      <w:lang w:val="en-US" w:eastAsia="zh-CN"/>
                    </w:rPr>
                    <w:t>2</w:t>
                  </w:r>
                </w:p>
              </w:tc>
            </w:tr>
            <w:tr w14:paraId="142D8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673" w:type="pct"/>
                  <w:vMerge w:val="continue"/>
                  <w:vAlign w:val="center"/>
                </w:tcPr>
                <w:p w14:paraId="66154D22">
                  <w:pPr>
                    <w:jc w:val="center"/>
                    <w:rPr>
                      <w:rFonts w:hint="eastAsia"/>
                      <w:color w:val="FF0000"/>
                      <w:sz w:val="21"/>
                      <w:szCs w:val="21"/>
                      <w:lang w:val="en-US" w:eastAsia="zh-CN"/>
                    </w:rPr>
                  </w:pPr>
                </w:p>
              </w:tc>
              <w:tc>
                <w:tcPr>
                  <w:tcW w:w="832" w:type="pct"/>
                  <w:vMerge w:val="continue"/>
                  <w:vAlign w:val="center"/>
                </w:tcPr>
                <w:p w14:paraId="5A68F013">
                  <w:pPr>
                    <w:jc w:val="center"/>
                    <w:rPr>
                      <w:rFonts w:hint="eastAsia"/>
                      <w:color w:val="FF0000"/>
                      <w:sz w:val="21"/>
                      <w:szCs w:val="21"/>
                      <w:lang w:val="en-US" w:eastAsia="zh-CN"/>
                    </w:rPr>
                  </w:pPr>
                </w:p>
              </w:tc>
              <w:tc>
                <w:tcPr>
                  <w:tcW w:w="590" w:type="pct"/>
                  <w:vMerge w:val="continue"/>
                  <w:vAlign w:val="center"/>
                </w:tcPr>
                <w:p w14:paraId="2431CCDD">
                  <w:pPr>
                    <w:jc w:val="center"/>
                    <w:rPr>
                      <w:rFonts w:hint="eastAsia"/>
                      <w:color w:val="FF0000"/>
                      <w:sz w:val="21"/>
                      <w:szCs w:val="21"/>
                      <w:lang w:val="en-US" w:eastAsia="zh-CN"/>
                    </w:rPr>
                  </w:pPr>
                </w:p>
              </w:tc>
              <w:tc>
                <w:tcPr>
                  <w:tcW w:w="975" w:type="pct"/>
                  <w:shd w:val="clear" w:color="auto" w:fill="auto"/>
                  <w:vAlign w:val="center"/>
                </w:tcPr>
                <w:p w14:paraId="11695D90">
                  <w:pPr>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一般固废堆场</w:t>
                  </w:r>
                </w:p>
              </w:tc>
              <w:tc>
                <w:tcPr>
                  <w:tcW w:w="1927" w:type="pct"/>
                  <w:shd w:val="clear" w:color="auto" w:fill="auto"/>
                  <w:vAlign w:val="center"/>
                </w:tcPr>
                <w:p w14:paraId="18F9BB44">
                  <w:pPr>
                    <w:jc w:val="center"/>
                    <w:rPr>
                      <w:rFonts w:hint="eastAsia" w:ascii="Times New Roman" w:hAnsi="Times New Roman" w:eastAsia="宋体" w:cs="Times New Roman"/>
                      <w:bCs/>
                      <w:color w:val="auto"/>
                      <w:kern w:val="2"/>
                      <w:sz w:val="21"/>
                      <w:szCs w:val="21"/>
                      <w:vertAlign w:val="baseline"/>
                      <w:lang w:val="en-US" w:eastAsia="zh-CN" w:bidi="ar-SA"/>
                    </w:rPr>
                  </w:pPr>
                  <w:r>
                    <w:rPr>
                      <w:rFonts w:hint="eastAsia"/>
                      <w:bCs/>
                      <w:color w:val="auto"/>
                      <w:sz w:val="21"/>
                      <w:szCs w:val="21"/>
                      <w:lang w:val="en-US" w:eastAsia="zh-CN"/>
                    </w:rPr>
                    <w:t>10m</w:t>
                  </w:r>
                  <w:r>
                    <w:rPr>
                      <w:rFonts w:hint="eastAsia"/>
                      <w:bCs/>
                      <w:color w:val="auto"/>
                      <w:sz w:val="21"/>
                      <w:szCs w:val="21"/>
                      <w:vertAlign w:val="superscript"/>
                      <w:lang w:val="en-US" w:eastAsia="zh-CN"/>
                    </w:rPr>
                    <w:t>2</w:t>
                  </w:r>
                </w:p>
              </w:tc>
            </w:tr>
          </w:tbl>
          <w:p w14:paraId="257CC6D3">
            <w:pPr>
              <w:snapToGrid w:val="0"/>
              <w:spacing w:line="240" w:lineRule="auto"/>
              <w:ind w:left="483"/>
              <w:rPr>
                <w:rFonts w:eastAsiaTheme="minorEastAsia"/>
                <w:color w:val="FF0000"/>
                <w:sz w:val="10"/>
                <w:szCs w:val="10"/>
              </w:rPr>
            </w:pPr>
          </w:p>
          <w:p w14:paraId="642560C6">
            <w:pPr>
              <w:snapToGrid w:val="0"/>
              <w:spacing w:line="360" w:lineRule="auto"/>
              <w:ind w:left="483"/>
              <w:rPr>
                <w:rFonts w:eastAsiaTheme="minorEastAsia"/>
                <w:color w:val="auto"/>
                <w:sz w:val="24"/>
                <w:szCs w:val="24"/>
              </w:rPr>
            </w:pPr>
            <w:r>
              <w:rPr>
                <w:rFonts w:eastAsiaTheme="minorEastAsia"/>
                <w:color w:val="auto"/>
                <w:sz w:val="24"/>
                <w:szCs w:val="24"/>
              </w:rPr>
              <w:t>厂区总平面布置及车间平面布置情况分别见附图</w:t>
            </w:r>
            <w:r>
              <w:rPr>
                <w:rFonts w:hint="eastAsia" w:eastAsiaTheme="minorEastAsia"/>
                <w:color w:val="auto"/>
                <w:sz w:val="24"/>
                <w:szCs w:val="24"/>
                <w:lang w:val="en-US" w:eastAsia="zh-CN"/>
              </w:rPr>
              <w:t>3、附图4</w:t>
            </w:r>
            <w:r>
              <w:rPr>
                <w:rFonts w:eastAsiaTheme="minorEastAsia"/>
                <w:color w:val="auto"/>
                <w:sz w:val="24"/>
                <w:szCs w:val="24"/>
              </w:rPr>
              <w:t>。</w:t>
            </w:r>
          </w:p>
          <w:p w14:paraId="5724CD9E">
            <w:pPr>
              <w:snapToGrid w:val="0"/>
              <w:spacing w:line="360" w:lineRule="auto"/>
              <w:ind w:left="480"/>
              <w:rPr>
                <w:rFonts w:eastAsiaTheme="minorEastAsia"/>
                <w:color w:val="auto"/>
                <w:sz w:val="24"/>
                <w:szCs w:val="24"/>
              </w:rPr>
            </w:pPr>
            <w:r>
              <w:rPr>
                <w:rFonts w:hint="eastAsia" w:eastAsiaTheme="minorEastAsia"/>
                <w:color w:val="auto"/>
                <w:sz w:val="24"/>
                <w:szCs w:val="24"/>
              </w:rPr>
              <w:t>1</w:t>
            </w:r>
            <w:r>
              <w:rPr>
                <w:rFonts w:hint="eastAsia" w:eastAsiaTheme="minorEastAsia"/>
                <w:color w:val="auto"/>
                <w:sz w:val="24"/>
                <w:szCs w:val="24"/>
                <w:lang w:val="en-US" w:eastAsia="zh-CN"/>
              </w:rPr>
              <w:t>1</w:t>
            </w:r>
            <w:r>
              <w:rPr>
                <w:rFonts w:hint="eastAsia" w:eastAsiaTheme="minorEastAsia"/>
                <w:color w:val="auto"/>
                <w:sz w:val="24"/>
                <w:szCs w:val="24"/>
              </w:rPr>
              <w:t>、周边环境概况</w:t>
            </w:r>
          </w:p>
          <w:p w14:paraId="677C5782">
            <w:pPr>
              <w:snapToGrid w:val="0"/>
              <w:spacing w:line="360" w:lineRule="auto"/>
              <w:ind w:firstLine="480" w:firstLineChars="200"/>
              <w:rPr>
                <w:rFonts w:hint="eastAsia" w:eastAsiaTheme="minorEastAsia"/>
                <w:color w:val="auto"/>
                <w:sz w:val="24"/>
                <w:szCs w:val="24"/>
                <w:lang w:val="en-US" w:eastAsia="zh-CN"/>
              </w:rPr>
            </w:pPr>
            <w:r>
              <w:rPr>
                <w:rFonts w:hint="eastAsia" w:ascii="Times New Roman" w:hAnsi="Times New Roman" w:cs="Times New Roman" w:eastAsiaTheme="minorEastAsia"/>
                <w:color w:val="auto"/>
                <w:kern w:val="0"/>
                <w:sz w:val="24"/>
                <w:szCs w:val="24"/>
                <w:shd w:val="clear" w:color="auto" w:fill="auto"/>
                <w:lang w:val="en-US" w:eastAsia="zh-CN" w:bidi="ar-SA"/>
              </w:rPr>
              <w:t>本项目</w:t>
            </w:r>
            <w:r>
              <w:rPr>
                <w:rFonts w:hint="eastAsia" w:cs="Times New Roman" w:eastAsiaTheme="minorEastAsia"/>
                <w:color w:val="auto"/>
                <w:kern w:val="0"/>
                <w:sz w:val="24"/>
                <w:szCs w:val="24"/>
                <w:shd w:val="clear" w:color="auto" w:fill="auto"/>
                <w:lang w:val="en-US" w:eastAsia="zh-CN" w:bidi="ar-SA"/>
              </w:rPr>
              <w:t>位</w:t>
            </w:r>
            <w:r>
              <w:rPr>
                <w:rFonts w:hint="eastAsia" w:ascii="Times New Roman" w:hAnsi="Times New Roman" w:cs="Times New Roman" w:eastAsiaTheme="minorEastAsia"/>
                <w:color w:val="auto"/>
                <w:kern w:val="0"/>
                <w:sz w:val="24"/>
                <w:szCs w:val="24"/>
                <w:shd w:val="clear" w:color="auto" w:fill="auto"/>
                <w:lang w:val="en-US" w:eastAsia="zh-CN" w:bidi="ar-SA"/>
              </w:rPr>
              <w:t>于江苏省常州市新北区滨江经济开发区赣江路318号中瑞（常州）国际合作产业园一地块，</w:t>
            </w:r>
            <w:r>
              <w:rPr>
                <w:rFonts w:hint="eastAsia"/>
                <w:color w:val="auto"/>
                <w:sz w:val="24"/>
                <w:szCs w:val="24"/>
                <w:lang w:val="en-US" w:eastAsia="zh-CN"/>
              </w:rPr>
              <w:t>园区</w:t>
            </w:r>
            <w:r>
              <w:rPr>
                <w:rFonts w:eastAsiaTheme="minorEastAsia"/>
                <w:color w:val="auto"/>
                <w:sz w:val="24"/>
              </w:rPr>
              <w:t>东侧为</w:t>
            </w:r>
            <w:r>
              <w:rPr>
                <w:rFonts w:hint="eastAsia" w:eastAsiaTheme="minorEastAsia"/>
                <w:color w:val="auto"/>
                <w:sz w:val="24"/>
                <w:lang w:val="en-US" w:eastAsia="zh-CN"/>
              </w:rPr>
              <w:t>龙江北路，隔路为百馨西苑五期南区（E，220m）</w:t>
            </w:r>
            <w:r>
              <w:rPr>
                <w:rFonts w:eastAsiaTheme="minorEastAsia"/>
                <w:color w:val="auto"/>
                <w:sz w:val="24"/>
              </w:rPr>
              <w:t>；南侧为</w:t>
            </w:r>
            <w:r>
              <w:rPr>
                <w:rFonts w:hint="eastAsia" w:eastAsiaTheme="minorEastAsia"/>
                <w:color w:val="auto"/>
                <w:sz w:val="24"/>
                <w:lang w:val="en-US" w:eastAsia="zh-CN"/>
              </w:rPr>
              <w:t>赣江路，隔路为平谦国际（常州）现代产业园</w:t>
            </w:r>
            <w:r>
              <w:rPr>
                <w:rFonts w:eastAsiaTheme="minorEastAsia"/>
                <w:color w:val="auto"/>
                <w:sz w:val="24"/>
              </w:rPr>
              <w:t>；西侧为</w:t>
            </w:r>
            <w:r>
              <w:rPr>
                <w:rFonts w:hint="eastAsia" w:eastAsiaTheme="minorEastAsia"/>
                <w:color w:val="auto"/>
                <w:sz w:val="24"/>
                <w:lang w:val="en-US" w:eastAsia="zh-CN"/>
              </w:rPr>
              <w:t>东港三路，隔路为中瑞（常州）国际合作产业园二地块</w:t>
            </w:r>
            <w:r>
              <w:rPr>
                <w:rFonts w:hint="eastAsia" w:eastAsiaTheme="minorEastAsia"/>
                <w:color w:val="auto"/>
                <w:sz w:val="24"/>
              </w:rPr>
              <w:t>；北侧为</w:t>
            </w:r>
            <w:r>
              <w:rPr>
                <w:rFonts w:hint="eastAsia" w:eastAsiaTheme="minorEastAsia"/>
                <w:color w:val="auto"/>
                <w:sz w:val="24"/>
                <w:lang w:val="en-US" w:eastAsia="zh-CN"/>
              </w:rPr>
              <w:t>空地（已规划为工业用地）</w:t>
            </w:r>
            <w:r>
              <w:rPr>
                <w:rFonts w:eastAsiaTheme="minorEastAsia"/>
                <w:color w:val="auto"/>
                <w:sz w:val="24"/>
              </w:rPr>
              <w:t>。</w:t>
            </w:r>
            <w:r>
              <w:rPr>
                <w:rFonts w:hint="eastAsia" w:eastAsiaTheme="minorEastAsia"/>
                <w:color w:val="auto"/>
                <w:sz w:val="24"/>
                <w:szCs w:val="24"/>
                <w:lang w:val="en-US" w:eastAsia="zh-CN"/>
              </w:rPr>
              <w:t>项目周边500米范围内具体用地现状见附图2。</w:t>
            </w:r>
          </w:p>
          <w:p w14:paraId="63E893C6">
            <w:pPr>
              <w:snapToGrid w:val="0"/>
              <w:spacing w:line="360" w:lineRule="auto"/>
              <w:ind w:firstLine="480" w:firstLineChars="200"/>
              <w:rPr>
                <w:rFonts w:hint="eastAsia" w:eastAsiaTheme="minorEastAsia"/>
                <w:color w:val="auto"/>
                <w:sz w:val="24"/>
                <w:szCs w:val="24"/>
                <w:lang w:val="en-US" w:eastAsia="zh-CN"/>
              </w:rPr>
            </w:pPr>
          </w:p>
          <w:p w14:paraId="11FAEF56">
            <w:pPr>
              <w:snapToGrid w:val="0"/>
              <w:spacing w:line="360" w:lineRule="auto"/>
              <w:ind w:firstLine="480" w:firstLineChars="200"/>
              <w:rPr>
                <w:rFonts w:hint="eastAsia" w:eastAsiaTheme="minorEastAsia"/>
                <w:color w:val="auto"/>
                <w:sz w:val="24"/>
                <w:szCs w:val="24"/>
                <w:lang w:val="en-US" w:eastAsia="zh-CN"/>
              </w:rPr>
            </w:pPr>
          </w:p>
          <w:p w14:paraId="048616EA">
            <w:pPr>
              <w:snapToGrid w:val="0"/>
              <w:spacing w:line="360" w:lineRule="auto"/>
              <w:ind w:firstLine="480" w:firstLineChars="200"/>
              <w:rPr>
                <w:rFonts w:hint="eastAsia" w:eastAsiaTheme="minorEastAsia"/>
                <w:color w:val="auto"/>
                <w:sz w:val="24"/>
                <w:szCs w:val="24"/>
                <w:lang w:val="en-US" w:eastAsia="zh-CN"/>
              </w:rPr>
            </w:pPr>
          </w:p>
          <w:p w14:paraId="5781E567">
            <w:pPr>
              <w:snapToGrid w:val="0"/>
              <w:spacing w:line="360" w:lineRule="auto"/>
              <w:ind w:firstLine="480" w:firstLineChars="200"/>
              <w:rPr>
                <w:rFonts w:hint="eastAsia" w:eastAsiaTheme="minorEastAsia"/>
                <w:color w:val="auto"/>
                <w:sz w:val="24"/>
                <w:szCs w:val="24"/>
                <w:lang w:val="en-US" w:eastAsia="zh-CN"/>
              </w:rPr>
            </w:pPr>
          </w:p>
          <w:p w14:paraId="73D83A0B">
            <w:pPr>
              <w:snapToGrid w:val="0"/>
              <w:spacing w:line="360" w:lineRule="auto"/>
              <w:ind w:firstLine="480" w:firstLineChars="200"/>
              <w:rPr>
                <w:rFonts w:hint="eastAsia" w:eastAsiaTheme="minorEastAsia"/>
                <w:color w:val="auto"/>
                <w:sz w:val="24"/>
                <w:szCs w:val="24"/>
                <w:lang w:val="en-US" w:eastAsia="zh-CN"/>
              </w:rPr>
            </w:pPr>
          </w:p>
          <w:p w14:paraId="508B7D22">
            <w:pPr>
              <w:snapToGrid w:val="0"/>
              <w:spacing w:line="360" w:lineRule="auto"/>
              <w:ind w:firstLine="480" w:firstLineChars="200"/>
              <w:rPr>
                <w:rFonts w:hint="eastAsia" w:eastAsiaTheme="minorEastAsia"/>
                <w:color w:val="auto"/>
                <w:sz w:val="24"/>
                <w:szCs w:val="24"/>
                <w:lang w:val="en-US" w:eastAsia="zh-CN"/>
              </w:rPr>
            </w:pPr>
          </w:p>
          <w:p w14:paraId="5B93F2F6">
            <w:pPr>
              <w:snapToGrid w:val="0"/>
              <w:spacing w:line="360" w:lineRule="auto"/>
              <w:ind w:firstLine="480" w:firstLineChars="200"/>
              <w:rPr>
                <w:rFonts w:hint="eastAsia" w:eastAsiaTheme="minorEastAsia"/>
                <w:color w:val="auto"/>
                <w:sz w:val="24"/>
                <w:szCs w:val="24"/>
                <w:lang w:val="en-US" w:eastAsia="zh-CN"/>
              </w:rPr>
            </w:pPr>
          </w:p>
          <w:p w14:paraId="7BB26A4F">
            <w:pPr>
              <w:snapToGrid w:val="0"/>
              <w:spacing w:line="360" w:lineRule="auto"/>
              <w:ind w:firstLine="480" w:firstLineChars="200"/>
              <w:rPr>
                <w:rFonts w:hint="eastAsia" w:eastAsiaTheme="minorEastAsia"/>
                <w:color w:val="auto"/>
                <w:sz w:val="24"/>
                <w:szCs w:val="24"/>
                <w:lang w:val="en-US" w:eastAsia="zh-CN"/>
              </w:rPr>
            </w:pPr>
          </w:p>
          <w:p w14:paraId="5ED28D02">
            <w:pPr>
              <w:snapToGrid w:val="0"/>
              <w:spacing w:line="360" w:lineRule="auto"/>
              <w:ind w:firstLine="480" w:firstLineChars="200"/>
              <w:rPr>
                <w:rFonts w:hint="eastAsia" w:eastAsiaTheme="minorEastAsia"/>
                <w:color w:val="auto"/>
                <w:sz w:val="24"/>
                <w:szCs w:val="24"/>
                <w:lang w:val="en-US" w:eastAsia="zh-CN"/>
              </w:rPr>
            </w:pPr>
          </w:p>
          <w:p w14:paraId="33706305">
            <w:pPr>
              <w:snapToGrid w:val="0"/>
              <w:spacing w:line="360" w:lineRule="auto"/>
              <w:ind w:firstLine="480" w:firstLineChars="200"/>
              <w:rPr>
                <w:rFonts w:hint="eastAsia" w:eastAsiaTheme="minorEastAsia"/>
                <w:color w:val="auto"/>
                <w:sz w:val="24"/>
                <w:szCs w:val="24"/>
                <w:lang w:val="en-US" w:eastAsia="zh-CN"/>
              </w:rPr>
            </w:pPr>
          </w:p>
          <w:p w14:paraId="4391B1FD">
            <w:pPr>
              <w:snapToGrid w:val="0"/>
              <w:spacing w:line="360" w:lineRule="auto"/>
              <w:ind w:firstLine="480" w:firstLineChars="200"/>
              <w:rPr>
                <w:rFonts w:hint="eastAsia" w:eastAsiaTheme="minorEastAsia"/>
                <w:color w:val="auto"/>
                <w:sz w:val="24"/>
                <w:szCs w:val="24"/>
                <w:lang w:val="en-US" w:eastAsia="zh-CN"/>
              </w:rPr>
            </w:pPr>
          </w:p>
          <w:p w14:paraId="1C2AC927">
            <w:pPr>
              <w:snapToGrid w:val="0"/>
              <w:spacing w:line="360" w:lineRule="auto"/>
              <w:ind w:firstLine="480" w:firstLineChars="200"/>
              <w:rPr>
                <w:rFonts w:hint="eastAsia" w:eastAsiaTheme="minorEastAsia"/>
                <w:color w:val="auto"/>
                <w:sz w:val="24"/>
                <w:szCs w:val="24"/>
                <w:lang w:val="en-US" w:eastAsia="zh-CN"/>
              </w:rPr>
            </w:pPr>
          </w:p>
          <w:p w14:paraId="78945347">
            <w:pPr>
              <w:snapToGrid w:val="0"/>
              <w:spacing w:line="360" w:lineRule="auto"/>
              <w:ind w:firstLine="480" w:firstLineChars="200"/>
              <w:rPr>
                <w:rFonts w:hint="eastAsia" w:eastAsiaTheme="minorEastAsia"/>
                <w:color w:val="auto"/>
                <w:sz w:val="24"/>
                <w:szCs w:val="24"/>
                <w:lang w:val="en-US" w:eastAsia="zh-CN"/>
              </w:rPr>
            </w:pPr>
          </w:p>
          <w:p w14:paraId="013CC685">
            <w:pPr>
              <w:pStyle w:val="2"/>
              <w:rPr>
                <w:rFonts w:hint="eastAsia"/>
                <w:lang w:val="en-US" w:eastAsia="zh-CN"/>
              </w:rPr>
            </w:pPr>
          </w:p>
        </w:tc>
      </w:tr>
      <w:tr w14:paraId="73E05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9" w:hRule="atLeast"/>
          <w:jc w:val="center"/>
        </w:trPr>
        <w:tc>
          <w:tcPr>
            <w:tcW w:w="451" w:type="dxa"/>
            <w:vAlign w:val="center"/>
          </w:tcPr>
          <w:p w14:paraId="7F643300">
            <w:pPr>
              <w:pStyle w:val="32"/>
              <w:adjustRightInd w:val="0"/>
              <w:snapToGrid w:val="0"/>
              <w:spacing w:before="0" w:beforeAutospacing="0" w:after="0" w:afterAutospacing="0"/>
              <w:jc w:val="center"/>
              <w:rPr>
                <w:b/>
                <w:bCs/>
                <w:color w:val="FF0000"/>
                <w:sz w:val="21"/>
                <w:szCs w:val="21"/>
              </w:rPr>
            </w:pPr>
            <w:r>
              <w:rPr>
                <w:rFonts w:hint="eastAsia"/>
                <w:b/>
                <w:bCs/>
                <w:color w:val="auto"/>
                <w:sz w:val="24"/>
                <w:szCs w:val="24"/>
              </w:rPr>
              <w:t>工艺流程和产排污环节</w:t>
            </w:r>
          </w:p>
        </w:tc>
        <w:tc>
          <w:tcPr>
            <w:tcW w:w="8513" w:type="dxa"/>
            <w:vAlign w:val="center"/>
          </w:tcPr>
          <w:p w14:paraId="1A67445A">
            <w:pPr>
              <w:spacing w:line="360" w:lineRule="auto"/>
              <w:rPr>
                <w:b/>
                <w:bCs/>
                <w:color w:val="auto"/>
                <w:sz w:val="24"/>
                <w:szCs w:val="24"/>
              </w:rPr>
            </w:pPr>
            <w:r>
              <w:rPr>
                <w:b/>
                <w:bCs/>
                <w:color w:val="auto"/>
                <w:sz w:val="24"/>
                <w:szCs w:val="24"/>
              </w:rPr>
              <w:t>工艺流程简述（图示）：</w:t>
            </w:r>
          </w:p>
          <w:p w14:paraId="49CC02FA">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both"/>
              <w:textAlignment w:val="auto"/>
              <w:rPr>
                <w:rFonts w:hint="eastAsia"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w:t>
            </w:r>
            <w:r>
              <w:rPr>
                <w:rFonts w:hint="eastAsia" w:cs="Times New Roman"/>
                <w:color w:val="auto"/>
                <w:sz w:val="24"/>
                <w:szCs w:val="24"/>
                <w:lang w:val="en-US" w:eastAsia="zh-CN"/>
              </w:rPr>
              <w:t>主要从事</w:t>
            </w:r>
            <w:r>
              <w:rPr>
                <w:rFonts w:hint="eastAsia" w:cs="Times New Roman"/>
                <w:color w:val="auto"/>
                <w:kern w:val="0"/>
                <w:sz w:val="24"/>
                <w:szCs w:val="24"/>
                <w:lang w:val="en-US" w:eastAsia="zh-CN" w:bidi="ar-SA"/>
              </w:rPr>
              <w:t>高端医用离心机、冻干</w:t>
            </w:r>
            <w:r>
              <w:rPr>
                <w:rFonts w:hint="eastAsia" w:ascii="Times New Roman" w:hAnsi="Times New Roman" w:eastAsia="宋体" w:cs="Times New Roman"/>
                <w:color w:val="auto"/>
                <w:kern w:val="0"/>
                <w:sz w:val="24"/>
                <w:szCs w:val="24"/>
                <w:lang w:val="en-US" w:eastAsia="zh-CN" w:bidi="ar-SA"/>
              </w:rPr>
              <w:t>机的生产</w:t>
            </w:r>
            <w:r>
              <w:rPr>
                <w:rFonts w:hint="eastAsia" w:ascii="Times New Roman" w:hAnsi="Times New Roman" w:cs="Times New Roman"/>
                <w:color w:val="auto"/>
                <w:kern w:val="0"/>
                <w:sz w:val="24"/>
                <w:szCs w:val="24"/>
                <w:lang w:val="en-US" w:eastAsia="zh-CN" w:bidi="ar-SA"/>
              </w:rPr>
              <w:t>，高端医用离心机、冻干机仅使用的组装零部件不同，生产工艺</w:t>
            </w:r>
            <w:r>
              <w:rPr>
                <w:rFonts w:hint="eastAsia" w:cs="Times New Roman"/>
                <w:color w:val="auto"/>
                <w:kern w:val="0"/>
                <w:sz w:val="24"/>
                <w:szCs w:val="24"/>
                <w:lang w:val="en-US" w:eastAsia="zh-CN" w:bidi="ar-SA"/>
              </w:rPr>
              <w:t>均</w:t>
            </w:r>
            <w:r>
              <w:rPr>
                <w:rFonts w:hint="eastAsia" w:ascii="Times New Roman" w:hAnsi="Times New Roman" w:cs="Times New Roman"/>
                <w:color w:val="auto"/>
                <w:kern w:val="0"/>
                <w:sz w:val="24"/>
                <w:szCs w:val="24"/>
                <w:lang w:val="en-US" w:eastAsia="zh-CN" w:bidi="ar-SA"/>
              </w:rPr>
              <w:t>相同，主要工艺包括组装、焊接、测试、发泡、充注、检测、擦拭</w:t>
            </w:r>
            <w:r>
              <w:rPr>
                <w:rFonts w:hint="eastAsia" w:cs="Times New Roman"/>
                <w:color w:val="auto"/>
                <w:kern w:val="0"/>
                <w:sz w:val="24"/>
                <w:szCs w:val="24"/>
                <w:lang w:val="en-US" w:eastAsia="zh-CN" w:bidi="ar-SA"/>
              </w:rPr>
              <w:t>。</w:t>
            </w:r>
          </w:p>
          <w:p w14:paraId="4DC4F062">
            <w:pPr>
              <w:jc w:val="center"/>
              <w:rPr>
                <w:rFonts w:hint="eastAsia" w:cs="Times New Roman"/>
                <w:color w:val="FF0000"/>
                <w:kern w:val="0"/>
                <w:sz w:val="24"/>
                <w:szCs w:val="24"/>
                <w:lang w:val="en-US" w:eastAsia="zh-CN" w:bidi="ar-SA"/>
              </w:rPr>
            </w:pPr>
            <w:r>
              <w:rPr>
                <w:rFonts w:hint="eastAsia" w:cs="Times New Roman"/>
                <w:color w:val="FF0000"/>
                <w:kern w:val="0"/>
                <w:sz w:val="24"/>
                <w:szCs w:val="24"/>
                <w:lang w:val="en-US" w:eastAsia="zh-CN" w:bidi="ar-SA"/>
              </w:rPr>
              <w:drawing>
                <wp:inline distT="0" distB="0" distL="114300" distR="114300">
                  <wp:extent cx="3080385" cy="4191000"/>
                  <wp:effectExtent l="0" t="0" r="0" b="0"/>
                  <wp:docPr id="1" name="E657119C-6982-421D-8BA7-E74DEB70A7D9-2" descr="C:/Users/Administrator/AppData/Local/Temp/wps.GgOxwE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657119C-6982-421D-8BA7-E74DEB70A7D9-2" descr="C:/Users/Administrator/AppData/Local/Temp/wps.GgOxwEwps"/>
                          <pic:cNvPicPr>
                            <a:picLocks noChangeAspect="1"/>
                          </pic:cNvPicPr>
                        </pic:nvPicPr>
                        <pic:blipFill>
                          <a:blip r:embed="rId13"/>
                          <a:srcRect t="4583" r="-4992" b="4293"/>
                          <a:stretch>
                            <a:fillRect/>
                          </a:stretch>
                        </pic:blipFill>
                        <pic:spPr>
                          <a:xfrm>
                            <a:off x="0" y="0"/>
                            <a:ext cx="3080385" cy="4191000"/>
                          </a:xfrm>
                          <a:prstGeom prst="rect">
                            <a:avLst/>
                          </a:prstGeom>
                        </pic:spPr>
                      </pic:pic>
                    </a:graphicData>
                  </a:graphic>
                </wp:inline>
              </w:drawing>
            </w:r>
          </w:p>
          <w:p w14:paraId="54A28527">
            <w:pPr>
              <w:tabs>
                <w:tab w:val="left" w:pos="2655"/>
              </w:tabs>
              <w:spacing w:line="360" w:lineRule="auto"/>
              <w:jc w:val="center"/>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图2-</w:t>
            </w:r>
            <w:r>
              <w:rPr>
                <w:rFonts w:hint="eastAsia" w:cs="Times New Roman"/>
                <w:b/>
                <w:bCs/>
                <w:color w:val="auto"/>
                <w:sz w:val="24"/>
                <w:szCs w:val="24"/>
                <w:lang w:val="en-US" w:eastAsia="zh-CN"/>
              </w:rPr>
              <w:t>2</w:t>
            </w:r>
            <w:r>
              <w:rPr>
                <w:rFonts w:hint="eastAsia" w:ascii="Times New Roman" w:hAnsi="Times New Roman" w:cs="Times New Roman"/>
                <w:b/>
                <w:bCs/>
                <w:color w:val="auto"/>
                <w:sz w:val="24"/>
                <w:szCs w:val="24"/>
                <w:lang w:val="en-US" w:eastAsia="zh-CN"/>
              </w:rPr>
              <w:t>高端医用离心机、冻干机</w:t>
            </w:r>
            <w:r>
              <w:rPr>
                <w:rFonts w:hint="default" w:ascii="Times New Roman" w:hAnsi="Times New Roman" w:cs="Times New Roman"/>
                <w:b/>
                <w:bCs/>
                <w:color w:val="auto"/>
                <w:sz w:val="24"/>
                <w:szCs w:val="24"/>
              </w:rPr>
              <w:t>工艺流程图</w:t>
            </w:r>
          </w:p>
          <w:p w14:paraId="4E7B6871">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sz w:val="24"/>
              </w:rPr>
              <w:t>工艺流程说明</w:t>
            </w:r>
            <w:r>
              <w:rPr>
                <w:rFonts w:hint="eastAsia" w:eastAsia="宋体" w:cs="Times New Roman"/>
                <w:color w:val="auto"/>
                <w:sz w:val="24"/>
                <w:lang w:eastAsia="zh-CN"/>
              </w:rPr>
              <w:t>：</w:t>
            </w:r>
          </w:p>
          <w:p w14:paraId="1D6FCCF8">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both"/>
              <w:textAlignment w:val="auto"/>
              <w:rPr>
                <w:rFonts w:hint="default" w:cs="Times New Roman"/>
                <w:color w:val="auto"/>
                <w:kern w:val="0"/>
                <w:sz w:val="24"/>
                <w:szCs w:val="24"/>
                <w:lang w:val="en-US" w:eastAsia="zh-CN" w:bidi="ar-SA"/>
              </w:rPr>
            </w:pPr>
            <w:r>
              <w:rPr>
                <w:rFonts w:hint="eastAsia" w:cs="Times New Roman"/>
                <w:color w:val="auto"/>
                <w:kern w:val="0"/>
                <w:sz w:val="24"/>
                <w:szCs w:val="24"/>
                <w:lang w:val="en-US" w:eastAsia="zh-CN" w:bidi="ar-SA"/>
              </w:rPr>
              <w:t>组装：人工在组装工台上，将外购的电路板、控制板、外壳等金属件组装，此工序无污染物产生及排放。</w:t>
            </w:r>
          </w:p>
          <w:p w14:paraId="20CC048F">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both"/>
              <w:textAlignment w:val="auto"/>
              <w:rPr>
                <w:rFonts w:hint="eastAsia" w:cs="Times New Roman"/>
                <w:color w:val="auto"/>
                <w:kern w:val="0"/>
                <w:sz w:val="24"/>
                <w:szCs w:val="24"/>
                <w:lang w:val="en-US" w:eastAsia="zh-CN" w:bidi="ar-SA"/>
              </w:rPr>
            </w:pPr>
            <w:r>
              <w:rPr>
                <w:rFonts w:hint="eastAsia" w:cs="Times New Roman"/>
                <w:color w:val="auto"/>
                <w:kern w:val="0"/>
                <w:sz w:val="24"/>
                <w:szCs w:val="24"/>
                <w:lang w:val="en-US" w:eastAsia="zh-CN" w:bidi="ar-SA"/>
              </w:rPr>
              <w:t>焊接：部分零部件需焊</w:t>
            </w:r>
            <w:r>
              <w:rPr>
                <w:rFonts w:hint="eastAsia" w:cs="Times New Roman"/>
                <w:b w:val="0"/>
                <w:bCs w:val="0"/>
                <w:color w:val="auto"/>
                <w:kern w:val="0"/>
                <w:sz w:val="24"/>
                <w:szCs w:val="24"/>
                <w:lang w:val="en-US" w:eastAsia="zh-CN" w:bidi="ar-SA"/>
              </w:rPr>
              <w:t>接固定，焊接工段使用钎焊焊枪，使用丙烷+氧气</w:t>
            </w:r>
            <w:r>
              <w:rPr>
                <w:rStyle w:val="38"/>
                <w:rFonts w:ascii="宋体" w:hAnsi="宋体" w:eastAsia="宋体" w:cs="宋体"/>
                <w:b w:val="0"/>
                <w:bCs w:val="0"/>
                <w:color w:val="000000"/>
                <w:sz w:val="24"/>
                <w:szCs w:val="24"/>
              </w:rPr>
              <w:t>火焰</w:t>
            </w:r>
            <w:r>
              <w:rPr>
                <w:rFonts w:ascii="宋体" w:hAnsi="宋体" w:eastAsia="宋体" w:cs="宋体"/>
                <w:b w:val="0"/>
                <w:bCs w:val="0"/>
                <w:sz w:val="24"/>
                <w:szCs w:val="24"/>
              </w:rPr>
              <w:t>加热工件接头，</w:t>
            </w:r>
            <w:r>
              <w:rPr>
                <w:rStyle w:val="38"/>
                <w:rFonts w:ascii="宋体" w:hAnsi="宋体" w:eastAsia="宋体" w:cs="宋体"/>
                <w:b w:val="0"/>
                <w:bCs w:val="0"/>
                <w:color w:val="000000"/>
                <w:sz w:val="24"/>
                <w:szCs w:val="24"/>
              </w:rPr>
              <w:t>只熔化钎料</w:t>
            </w:r>
            <w:r>
              <w:rPr>
                <w:rStyle w:val="38"/>
                <w:rFonts w:hint="eastAsia" w:ascii="宋体" w:hAnsi="宋体" w:eastAsia="宋体" w:cs="宋体"/>
                <w:b w:val="0"/>
                <w:bCs w:val="0"/>
                <w:color w:val="000000"/>
                <w:sz w:val="24"/>
                <w:szCs w:val="24"/>
                <w:lang w:eastAsia="zh-CN"/>
              </w:rPr>
              <w:t>（</w:t>
            </w:r>
            <w:r>
              <w:rPr>
                <w:rStyle w:val="38"/>
                <w:rFonts w:hint="eastAsia" w:ascii="宋体" w:hAnsi="宋体" w:eastAsia="宋体" w:cs="宋体"/>
                <w:b w:val="0"/>
                <w:bCs w:val="0"/>
                <w:color w:val="000000"/>
                <w:sz w:val="24"/>
                <w:szCs w:val="24"/>
                <w:lang w:val="en-US" w:eastAsia="zh-CN"/>
              </w:rPr>
              <w:t>无铅焊丝</w:t>
            </w:r>
            <w:r>
              <w:rPr>
                <w:rStyle w:val="38"/>
                <w:rFonts w:hint="eastAsia" w:ascii="宋体" w:hAnsi="宋体" w:eastAsia="宋体" w:cs="宋体"/>
                <w:b w:val="0"/>
                <w:bCs w:val="0"/>
                <w:color w:val="000000"/>
                <w:sz w:val="24"/>
                <w:szCs w:val="24"/>
                <w:lang w:eastAsia="zh-CN"/>
              </w:rPr>
              <w:t>）</w:t>
            </w:r>
            <w:r>
              <w:rPr>
                <w:rStyle w:val="38"/>
                <w:rFonts w:ascii="宋体" w:hAnsi="宋体" w:eastAsia="宋体" w:cs="宋体"/>
                <w:b w:val="0"/>
                <w:bCs w:val="0"/>
                <w:color w:val="000000"/>
                <w:sz w:val="24"/>
                <w:szCs w:val="24"/>
              </w:rPr>
              <w:t>、不熔化母材</w:t>
            </w:r>
            <w:r>
              <w:rPr>
                <w:rFonts w:ascii="宋体" w:hAnsi="宋体" w:eastAsia="宋体" w:cs="宋体"/>
                <w:b w:val="0"/>
                <w:bCs w:val="0"/>
                <w:sz w:val="24"/>
                <w:szCs w:val="24"/>
              </w:rPr>
              <w:t>，靠</w:t>
            </w:r>
            <w:r>
              <w:rPr>
                <w:rStyle w:val="38"/>
                <w:rFonts w:ascii="宋体" w:hAnsi="宋体" w:eastAsia="宋体" w:cs="宋体"/>
                <w:b w:val="0"/>
                <w:bCs w:val="0"/>
                <w:color w:val="000000"/>
                <w:sz w:val="24"/>
                <w:szCs w:val="24"/>
              </w:rPr>
              <w:t>毛细作用</w:t>
            </w:r>
            <w:r>
              <w:rPr>
                <w:rFonts w:ascii="宋体" w:hAnsi="宋体" w:eastAsia="宋体" w:cs="宋体"/>
                <w:b w:val="0"/>
                <w:bCs w:val="0"/>
                <w:sz w:val="24"/>
                <w:szCs w:val="24"/>
              </w:rPr>
              <w:t>让</w:t>
            </w:r>
            <w:r>
              <w:rPr>
                <w:rFonts w:ascii="宋体" w:hAnsi="宋体" w:eastAsia="宋体" w:cs="宋体"/>
                <w:sz w:val="24"/>
                <w:szCs w:val="24"/>
              </w:rPr>
              <w:t>钎料渗入工件缝隙，</w:t>
            </w:r>
            <w:r>
              <w:rPr>
                <w:rFonts w:hint="eastAsia" w:ascii="宋体" w:hAnsi="宋体" w:eastAsia="宋体" w:cs="宋体"/>
                <w:sz w:val="24"/>
                <w:szCs w:val="24"/>
                <w:lang w:val="en-US" w:eastAsia="zh-CN"/>
              </w:rPr>
              <w:t>自然</w:t>
            </w:r>
            <w:r>
              <w:rPr>
                <w:rFonts w:ascii="宋体" w:hAnsi="宋体" w:eastAsia="宋体" w:cs="宋体"/>
                <w:sz w:val="24"/>
                <w:szCs w:val="24"/>
              </w:rPr>
              <w:t>冷却后形成牢固接头</w:t>
            </w:r>
            <w:r>
              <w:rPr>
                <w:rFonts w:hint="eastAsia" w:cs="Times New Roman"/>
                <w:color w:val="auto"/>
                <w:kern w:val="0"/>
                <w:sz w:val="24"/>
                <w:szCs w:val="24"/>
                <w:lang w:val="en-US" w:eastAsia="zh-CN" w:bidi="ar-SA"/>
              </w:rPr>
              <w:t>，此工序产生焊接烟尘G1、焊渣S1。</w:t>
            </w:r>
          </w:p>
          <w:p w14:paraId="232687B3">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both"/>
              <w:textAlignment w:val="auto"/>
              <w:rPr>
                <w:rFonts w:hint="default" w:cs="Times New Roman"/>
                <w:color w:val="auto"/>
                <w:kern w:val="0"/>
                <w:sz w:val="24"/>
                <w:szCs w:val="24"/>
                <w:lang w:val="en-US" w:eastAsia="zh-CN" w:bidi="ar-SA"/>
              </w:rPr>
            </w:pPr>
            <w:r>
              <w:rPr>
                <w:rFonts w:hint="eastAsia" w:cs="Times New Roman"/>
                <w:color w:val="auto"/>
                <w:kern w:val="0"/>
                <w:sz w:val="24"/>
                <w:szCs w:val="24"/>
                <w:lang w:val="en-US" w:eastAsia="zh-CN" w:bidi="ar-SA"/>
              </w:rPr>
              <w:t>测试：往工件中充入氮气，进行气密性测试，使用压力衰减法检漏仪测试压力，不合格品返回焊接工段返工，此工序无污染物产生及排放。</w:t>
            </w:r>
          </w:p>
          <w:p w14:paraId="3680F4B4">
            <w:pPr>
              <w:spacing w:line="360" w:lineRule="auto"/>
              <w:ind w:firstLine="480" w:firstLineChars="200"/>
              <w:rPr>
                <w:rFonts w:hint="default" w:ascii="Times New Roman" w:hAnsi="Times New Roman" w:cs="Times New Roman" w:eastAsiaTheme="minorEastAsia"/>
                <w:color w:val="000000"/>
                <w:sz w:val="24"/>
                <w:highlight w:val="none"/>
                <w:lang w:val="en-US" w:eastAsia="zh-CN"/>
              </w:rPr>
            </w:pPr>
            <w:r>
              <w:rPr>
                <w:rFonts w:hint="eastAsia" w:cs="Times New Roman"/>
                <w:color w:val="auto"/>
                <w:kern w:val="0"/>
                <w:sz w:val="24"/>
                <w:szCs w:val="24"/>
                <w:lang w:val="en-US" w:eastAsia="zh-CN" w:bidi="ar-SA"/>
              </w:rPr>
              <w:t>发泡：</w:t>
            </w:r>
            <w:r>
              <w:rPr>
                <w:rFonts w:hint="default" w:ascii="Times New Roman" w:hAnsi="Times New Roman" w:cs="Times New Roman" w:eastAsiaTheme="minorEastAsia"/>
                <w:color w:val="auto"/>
                <w:sz w:val="24"/>
                <w:szCs w:val="24"/>
                <w:lang w:val="en-US" w:eastAsia="zh-CN"/>
              </w:rPr>
              <w:t>将外购的</w:t>
            </w:r>
            <w:r>
              <w:rPr>
                <w:rFonts w:hint="eastAsia" w:cs="Times New Roman" w:eastAsiaTheme="minorEastAsia"/>
                <w:color w:val="auto"/>
                <w:sz w:val="24"/>
                <w:szCs w:val="24"/>
                <w:lang w:val="en-US" w:eastAsia="zh-CN"/>
              </w:rPr>
              <w:t>发泡</w:t>
            </w:r>
            <w:r>
              <w:rPr>
                <w:rFonts w:hint="eastAsia" w:ascii="Times New Roman" w:hAnsi="Times New Roman" w:cs="Times New Roman" w:eastAsiaTheme="minorEastAsia"/>
                <w:color w:val="auto"/>
                <w:sz w:val="24"/>
                <w:szCs w:val="24"/>
                <w:lang w:val="en-US" w:eastAsia="zh-CN"/>
              </w:rPr>
              <w:t>主剂</w:t>
            </w:r>
            <w:r>
              <w:rPr>
                <w:rFonts w:hint="default" w:ascii="Times New Roman" w:hAnsi="Times New Roman" w:cs="Times New Roman" w:eastAsiaTheme="minorEastAsia"/>
                <w:color w:val="auto"/>
                <w:sz w:val="24"/>
                <w:szCs w:val="24"/>
                <w:lang w:val="en-US" w:eastAsia="zh-CN"/>
              </w:rPr>
              <w:t>和</w:t>
            </w:r>
            <w:r>
              <w:rPr>
                <w:rFonts w:hint="eastAsia" w:ascii="Times New Roman" w:hAnsi="Times New Roman" w:cs="Times New Roman" w:eastAsiaTheme="minorEastAsia"/>
                <w:color w:val="auto"/>
                <w:sz w:val="24"/>
                <w:szCs w:val="24"/>
                <w:lang w:val="en-US" w:eastAsia="zh-CN"/>
              </w:rPr>
              <w:t>发泡固化剂</w:t>
            </w:r>
            <w:r>
              <w:rPr>
                <w:rFonts w:hint="default" w:ascii="Times New Roman" w:hAnsi="Times New Roman" w:cs="Times New Roman" w:eastAsiaTheme="minorEastAsia"/>
                <w:color w:val="000000"/>
                <w:sz w:val="24"/>
                <w:lang w:val="en-US" w:eastAsia="zh-CN"/>
              </w:rPr>
              <w:t>自动抽料</w:t>
            </w:r>
            <w:r>
              <w:rPr>
                <w:rFonts w:hint="eastAsia" w:cs="Times New Roman" w:eastAsiaTheme="minorEastAsia"/>
                <w:color w:val="000000"/>
                <w:sz w:val="24"/>
                <w:lang w:val="en-US" w:eastAsia="zh-CN"/>
              </w:rPr>
              <w:t>进</w:t>
            </w:r>
            <w:r>
              <w:rPr>
                <w:rFonts w:hint="default" w:ascii="Times New Roman" w:hAnsi="Times New Roman" w:cs="Times New Roman" w:eastAsiaTheme="minorEastAsia"/>
                <w:color w:val="000000"/>
                <w:sz w:val="24"/>
                <w:lang w:val="en-US" w:eastAsia="zh-CN"/>
              </w:rPr>
              <w:t>入</w:t>
            </w:r>
            <w:r>
              <w:rPr>
                <w:rFonts w:hint="eastAsia" w:ascii="Times New Roman" w:hAnsi="Times New Roman" w:cs="Times New Roman" w:eastAsiaTheme="minorEastAsia"/>
                <w:color w:val="000000"/>
                <w:sz w:val="24"/>
                <w:lang w:val="en-US" w:eastAsia="zh-CN"/>
              </w:rPr>
              <w:t>发泡</w:t>
            </w:r>
            <w:r>
              <w:rPr>
                <w:rFonts w:hint="default" w:ascii="Times New Roman" w:hAnsi="Times New Roman" w:cs="Times New Roman" w:eastAsiaTheme="minorEastAsia"/>
                <w:color w:val="000000"/>
                <w:sz w:val="24"/>
                <w:lang w:val="en-US" w:eastAsia="zh-CN"/>
              </w:rPr>
              <w:t>机</w:t>
            </w:r>
            <w:r>
              <w:rPr>
                <w:rFonts w:hint="eastAsia" w:cs="Times New Roman" w:eastAsiaTheme="minorEastAsia"/>
                <w:color w:val="000000"/>
                <w:sz w:val="24"/>
                <w:lang w:val="en-US" w:eastAsia="zh-CN"/>
              </w:rPr>
              <w:t>自带</w:t>
            </w:r>
            <w:r>
              <w:rPr>
                <w:rFonts w:hint="default" w:ascii="Times New Roman" w:hAnsi="Times New Roman" w:cs="Times New Roman" w:eastAsiaTheme="minorEastAsia"/>
                <w:color w:val="000000"/>
                <w:sz w:val="24"/>
                <w:lang w:val="en-US" w:eastAsia="zh-CN"/>
              </w:rPr>
              <w:t>的密闭</w:t>
            </w:r>
            <w:r>
              <w:rPr>
                <w:rFonts w:hint="eastAsia" w:cs="Times New Roman" w:eastAsiaTheme="minorEastAsia"/>
                <w:sz w:val="24"/>
                <w:lang w:val="en-US" w:eastAsia="zh-CN"/>
              </w:rPr>
              <w:t>原料桶内</w:t>
            </w:r>
            <w:r>
              <w:rPr>
                <w:rFonts w:hint="default" w:ascii="Times New Roman" w:hAnsi="Times New Roman" w:cs="Times New Roman" w:eastAsiaTheme="minorEastAsia"/>
                <w:sz w:val="24"/>
                <w:lang w:eastAsia="zh-CN"/>
              </w:rPr>
              <w:t>（</w:t>
            </w:r>
            <w:r>
              <w:rPr>
                <w:rFonts w:hint="eastAsia" w:cs="Times New Roman" w:eastAsiaTheme="minorEastAsia"/>
                <w:sz w:val="24"/>
                <w:lang w:val="en-US" w:eastAsia="zh-CN"/>
              </w:rPr>
              <w:t>原料</w:t>
            </w:r>
            <w:r>
              <w:rPr>
                <w:rFonts w:hint="default" w:ascii="Times New Roman" w:hAnsi="Times New Roman" w:cs="Times New Roman" w:eastAsiaTheme="minorEastAsia"/>
                <w:sz w:val="24"/>
              </w:rPr>
              <w:t>桶材质内胆为304不锈钢*3MM厚</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外胆为冷板5MM厚、钣金焊接</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w:t>
            </w:r>
            <w:r>
              <w:rPr>
                <w:rFonts w:hint="default" w:ascii="Times New Roman" w:hAnsi="Times New Roman" w:cs="Times New Roman" w:eastAsiaTheme="minorEastAsia"/>
                <w:color w:val="000000"/>
                <w:sz w:val="24"/>
                <w:lang w:val="en-US" w:eastAsia="zh-CN"/>
              </w:rPr>
              <w:t>原料桶的原料经高精度计量装置精确计量</w:t>
            </w:r>
            <w:r>
              <w:rPr>
                <w:rFonts w:hint="default" w:ascii="Times New Roman" w:hAnsi="Times New Roman" w:cs="Times New Roman" w:eastAsiaTheme="minorEastAsia"/>
                <w:sz w:val="24"/>
              </w:rPr>
              <w:t>连续</w:t>
            </w:r>
            <w:r>
              <w:rPr>
                <w:rFonts w:hint="default" w:ascii="Times New Roman" w:hAnsi="Times New Roman" w:cs="Times New Roman" w:eastAsiaTheme="minorEastAsia"/>
                <w:color w:val="000000"/>
                <w:sz w:val="24"/>
                <w:highlight w:val="none"/>
                <w:lang w:val="en-US" w:eastAsia="zh-CN"/>
              </w:rPr>
              <w:t>或间断注料后（</w:t>
            </w:r>
            <w:r>
              <w:rPr>
                <w:rFonts w:hint="eastAsia" w:ascii="Times New Roman" w:hAnsi="Times New Roman" w:cs="Times New Roman" w:eastAsiaTheme="minorEastAsia"/>
                <w:color w:val="000000"/>
                <w:sz w:val="24"/>
                <w:highlight w:val="none"/>
                <w:lang w:val="en-US" w:eastAsia="zh-CN"/>
              </w:rPr>
              <w:t>发泡主剂与发泡固化剂</w:t>
            </w:r>
            <w:r>
              <w:rPr>
                <w:rFonts w:hint="default" w:ascii="Times New Roman" w:hAnsi="Times New Roman" w:cs="Times New Roman" w:eastAsiaTheme="minorEastAsia"/>
                <w:color w:val="000000"/>
                <w:sz w:val="24"/>
                <w:highlight w:val="none"/>
                <w:lang w:val="en-US" w:eastAsia="zh-CN"/>
              </w:rPr>
              <w:t>配比约为</w:t>
            </w:r>
            <w:r>
              <w:rPr>
                <w:rFonts w:hint="eastAsia" w:cs="Times New Roman" w:eastAsiaTheme="minorEastAsia"/>
                <w:color w:val="000000"/>
                <w:sz w:val="24"/>
                <w:highlight w:val="none"/>
                <w:lang w:val="en-US" w:eastAsia="zh-CN"/>
              </w:rPr>
              <w:t>1：1.2</w:t>
            </w:r>
            <w:r>
              <w:rPr>
                <w:rFonts w:hint="default" w:ascii="Times New Roman" w:hAnsi="Times New Roman" w:cs="Times New Roman" w:eastAsiaTheme="minorEastAsia"/>
                <w:color w:val="000000"/>
                <w:sz w:val="24"/>
                <w:highlight w:val="none"/>
                <w:lang w:val="en-US" w:eastAsia="zh-CN"/>
              </w:rPr>
              <w:t>），利用高压自清洁密闭混合头充分混合后流动物料进入高压喷管式浇注头均匀的注入到</w:t>
            </w:r>
            <w:r>
              <w:rPr>
                <w:rFonts w:hint="eastAsia" w:ascii="Times New Roman" w:hAnsi="Times New Roman" w:cs="Times New Roman" w:eastAsiaTheme="minorEastAsia"/>
                <w:color w:val="000000"/>
                <w:sz w:val="24"/>
                <w:highlight w:val="none"/>
                <w:lang w:val="en-US" w:eastAsia="zh-CN"/>
              </w:rPr>
              <w:t>模具</w:t>
            </w:r>
            <w:r>
              <w:rPr>
                <w:rFonts w:hint="default" w:ascii="Times New Roman" w:hAnsi="Times New Roman" w:cs="Times New Roman" w:eastAsiaTheme="minorEastAsia"/>
                <w:color w:val="000000"/>
                <w:sz w:val="24"/>
                <w:highlight w:val="none"/>
                <w:lang w:val="en-US" w:eastAsia="zh-CN"/>
              </w:rPr>
              <w:t>的空隙间，使其发泡、</w:t>
            </w:r>
            <w:r>
              <w:rPr>
                <w:rFonts w:hint="eastAsia" w:cs="Times New Roman" w:eastAsiaTheme="minorEastAsia"/>
                <w:color w:val="000000"/>
                <w:sz w:val="24"/>
                <w:highlight w:val="none"/>
                <w:lang w:val="en-US" w:eastAsia="zh-CN"/>
              </w:rPr>
              <w:t>固化</w:t>
            </w:r>
            <w:r>
              <w:rPr>
                <w:rFonts w:hint="default" w:ascii="Times New Roman" w:hAnsi="Times New Roman" w:cs="Times New Roman" w:eastAsiaTheme="minorEastAsia"/>
                <w:color w:val="000000"/>
                <w:sz w:val="24"/>
                <w:highlight w:val="none"/>
                <w:lang w:val="en-US" w:eastAsia="zh-CN"/>
              </w:rPr>
              <w:t>成型，</w:t>
            </w:r>
            <w:r>
              <w:rPr>
                <w:rFonts w:hint="eastAsia" w:cs="Times New Roman" w:eastAsiaTheme="minorEastAsia"/>
                <w:color w:val="000000"/>
                <w:sz w:val="24"/>
                <w:highlight w:val="none"/>
                <w:lang w:val="en-US" w:eastAsia="zh-CN"/>
              </w:rPr>
              <w:t>成型后利用水性脱模剂脱模，</w:t>
            </w:r>
            <w:r>
              <w:rPr>
                <w:rFonts w:hint="default" w:ascii="Times New Roman" w:hAnsi="Times New Roman" w:cs="Times New Roman" w:eastAsiaTheme="minorEastAsia"/>
                <w:color w:val="000000"/>
                <w:sz w:val="24"/>
                <w:highlight w:val="none"/>
                <w:lang w:val="en-US" w:eastAsia="zh-CN"/>
              </w:rPr>
              <w:t>发泡时间约1~10</w:t>
            </w:r>
            <w:r>
              <w:rPr>
                <w:rFonts w:hint="eastAsia" w:ascii="Times New Roman" w:hAnsi="Times New Roman" w:cs="Times New Roman" w:eastAsiaTheme="minorEastAsia"/>
                <w:color w:val="000000"/>
                <w:sz w:val="24"/>
                <w:highlight w:val="none"/>
                <w:lang w:val="en-US" w:eastAsia="zh-CN"/>
              </w:rPr>
              <w:t>s</w:t>
            </w:r>
            <w:r>
              <w:rPr>
                <w:rFonts w:hint="default" w:ascii="Times New Roman" w:hAnsi="Times New Roman" w:cs="Times New Roman" w:eastAsiaTheme="minorEastAsia"/>
                <w:color w:val="000000"/>
                <w:sz w:val="24"/>
                <w:highlight w:val="none"/>
                <w:lang w:val="en-US" w:eastAsia="zh-CN"/>
              </w:rPr>
              <w:t>，</w:t>
            </w:r>
            <w:r>
              <w:rPr>
                <w:rFonts w:hint="eastAsia" w:ascii="Times New Roman" w:hAnsi="Times New Roman" w:cs="Times New Roman" w:eastAsiaTheme="minorEastAsia"/>
                <w:color w:val="000000"/>
                <w:sz w:val="24"/>
                <w:highlight w:val="none"/>
                <w:lang w:val="en-US" w:eastAsia="zh-CN"/>
              </w:rPr>
              <w:t>发泡温度约50-80</w:t>
            </w:r>
            <w:r>
              <w:rPr>
                <w:rFonts w:hint="default" w:ascii="Times New Roman" w:hAnsi="Times New Roman" w:cs="Times New Roman" w:eastAsiaTheme="minorEastAsia"/>
                <w:color w:val="000000"/>
                <w:sz w:val="24"/>
                <w:highlight w:val="none"/>
                <w:lang w:val="en-US" w:eastAsia="zh-CN"/>
              </w:rPr>
              <w:t>℃</w:t>
            </w:r>
            <w:r>
              <w:rPr>
                <w:rFonts w:hint="eastAsia" w:ascii="Times New Roman" w:hAnsi="Times New Roman" w:cs="Times New Roman" w:eastAsiaTheme="minorEastAsia"/>
                <w:color w:val="000000"/>
                <w:sz w:val="24"/>
                <w:highlight w:val="none"/>
                <w:lang w:val="en-US" w:eastAsia="zh-CN"/>
              </w:rPr>
              <w:t>，加热采用加热丝电加热，物料自然冷却后，通过管道充入工件中</w:t>
            </w:r>
            <w:r>
              <w:rPr>
                <w:rFonts w:hint="eastAsia" w:cs="Times New Roman" w:eastAsiaTheme="minorEastAsia"/>
                <w:color w:val="000000"/>
                <w:sz w:val="24"/>
                <w:highlight w:val="none"/>
                <w:lang w:val="en-US" w:eastAsia="zh-CN"/>
              </w:rPr>
              <w:t>，充入发泡料的作用为使产品更加牢固</w:t>
            </w:r>
            <w:r>
              <w:rPr>
                <w:rFonts w:hint="eastAsia" w:ascii="Times New Roman" w:hAnsi="Times New Roman" w:cs="Times New Roman" w:eastAsiaTheme="minorEastAsia"/>
                <w:color w:val="000000"/>
                <w:sz w:val="24"/>
                <w:highlight w:val="none"/>
                <w:lang w:val="en-US" w:eastAsia="zh-CN"/>
              </w:rPr>
              <w:t>。发泡枪头内物料进行混合，浇注结束后，及时用压缩空气吹扫枪头及外接的输料管，清洁余料以防发生堵塞，故不用定期清洗。发泡过程产生发泡废气G2</w:t>
            </w:r>
            <w:r>
              <w:rPr>
                <w:rFonts w:hint="default" w:ascii="Times New Roman" w:hAnsi="Times New Roman" w:cs="Times New Roman" w:eastAsiaTheme="minorEastAsia"/>
                <w:color w:val="000000"/>
                <w:sz w:val="24"/>
                <w:highlight w:val="none"/>
                <w:lang w:val="en-US" w:eastAsia="zh-CN"/>
              </w:rPr>
              <w:t>。</w:t>
            </w:r>
          </w:p>
          <w:p w14:paraId="448BA722">
            <w:pPr>
              <w:spacing w:line="360" w:lineRule="auto"/>
              <w:ind w:firstLine="480" w:firstLineChars="200"/>
              <w:rPr>
                <w:rFonts w:hint="default" w:cs="Times New Roman"/>
                <w:color w:val="auto"/>
                <w:kern w:val="0"/>
                <w:sz w:val="24"/>
                <w:szCs w:val="24"/>
                <w:lang w:val="en-US" w:eastAsia="zh-CN" w:bidi="ar-SA"/>
              </w:rPr>
            </w:pPr>
            <w:r>
              <w:rPr>
                <w:rFonts w:hint="eastAsia" w:cs="Times New Roman"/>
                <w:color w:val="auto"/>
                <w:kern w:val="0"/>
                <w:sz w:val="24"/>
                <w:szCs w:val="24"/>
                <w:lang w:val="en-US" w:eastAsia="zh-CN" w:bidi="ar-SA"/>
              </w:rPr>
              <w:t>充注：使用冷媒充注机往工件中充入制冷剂，并用冷媒回收机控制工件内制冷剂容量，充注时长约30min，此工序污染物产生及排放。</w:t>
            </w:r>
          </w:p>
          <w:p w14:paraId="6071477F">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both"/>
              <w:textAlignment w:val="auto"/>
              <w:rPr>
                <w:rFonts w:hint="default" w:cs="Times New Roman"/>
                <w:color w:val="auto"/>
                <w:kern w:val="0"/>
                <w:sz w:val="24"/>
                <w:szCs w:val="24"/>
                <w:lang w:val="en-US" w:eastAsia="zh-CN" w:bidi="ar-SA"/>
              </w:rPr>
            </w:pPr>
            <w:r>
              <w:rPr>
                <w:rFonts w:hint="eastAsia" w:cs="Times New Roman"/>
                <w:color w:val="auto"/>
                <w:kern w:val="0"/>
                <w:sz w:val="24"/>
                <w:szCs w:val="24"/>
                <w:lang w:val="en-US" w:eastAsia="zh-CN" w:bidi="ar-SA"/>
              </w:rPr>
              <w:t>检测：使用电器测试仪、手持万能表检测整机试运行情况，此工序污染物产生及排放。</w:t>
            </w:r>
          </w:p>
          <w:p w14:paraId="5BB23531">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both"/>
              <w:textAlignment w:val="auto"/>
              <w:rPr>
                <w:rFonts w:hint="default" w:cs="Times New Roman"/>
                <w:color w:val="auto"/>
                <w:kern w:val="0"/>
                <w:sz w:val="24"/>
                <w:szCs w:val="24"/>
                <w:lang w:val="en-US" w:eastAsia="zh-CN" w:bidi="ar-SA"/>
              </w:rPr>
            </w:pPr>
            <w:r>
              <w:rPr>
                <w:rFonts w:hint="eastAsia" w:cs="Times New Roman"/>
                <w:color w:val="auto"/>
                <w:kern w:val="0"/>
                <w:sz w:val="24"/>
                <w:szCs w:val="24"/>
                <w:lang w:val="en-US" w:eastAsia="zh-CN" w:bidi="ar-SA"/>
              </w:rPr>
              <w:t>擦拭：人工在擦拭工台使用酒精擦拭清洁产品表面，此工序产生擦拭废气G3、废抹布、手套（含酒精）S2。</w:t>
            </w:r>
          </w:p>
          <w:p w14:paraId="47E745C3">
            <w:pPr>
              <w:spacing w:line="360" w:lineRule="auto"/>
              <w:ind w:firstLine="480" w:firstLineChars="200"/>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二、环保设施、原辅料使用</w:t>
            </w:r>
            <w:r>
              <w:rPr>
                <w:rFonts w:hint="eastAsia" w:ascii="Times New Roman" w:hAnsi="Times New Roman" w:cs="Times New Roman" w:eastAsiaTheme="minorEastAsia"/>
                <w:color w:val="auto"/>
                <w:sz w:val="24"/>
                <w:lang w:val="en-US" w:eastAsia="zh-CN"/>
              </w:rPr>
              <w:t>等其他</w:t>
            </w:r>
            <w:r>
              <w:rPr>
                <w:rFonts w:hint="default" w:ascii="Times New Roman" w:hAnsi="Times New Roman" w:cs="Times New Roman" w:eastAsiaTheme="minorEastAsia"/>
                <w:color w:val="auto"/>
                <w:sz w:val="24"/>
                <w:lang w:val="en-US" w:eastAsia="zh-CN"/>
              </w:rPr>
              <w:t>产污环节分析</w:t>
            </w:r>
          </w:p>
          <w:p w14:paraId="157CC832">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rPr>
                <w:rFonts w:hint="default" w:cs="Times New Roman"/>
                <w:color w:val="auto"/>
                <w:sz w:val="24"/>
                <w:lang w:val="en-US" w:eastAsia="zh-CN"/>
              </w:rPr>
            </w:pPr>
            <w:r>
              <w:rPr>
                <w:rFonts w:hint="eastAsia" w:cs="Times New Roman"/>
                <w:color w:val="auto"/>
                <w:sz w:val="24"/>
                <w:lang w:val="en-US" w:eastAsia="zh-CN"/>
              </w:rPr>
              <w:t>（1）环保设施产污环节</w:t>
            </w:r>
          </w:p>
          <w:p w14:paraId="3EF1259F">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cs="Times New Roman"/>
                <w:bCs/>
                <w:color w:val="auto"/>
                <w:sz w:val="24"/>
                <w:lang w:val="en-US" w:eastAsia="zh-CN"/>
              </w:rPr>
              <w:t>本项目发泡废气经风管收集后经TA001废气收集及处理系统（两级活性炭）处理后通过</w:t>
            </w:r>
            <w:r>
              <w:rPr>
                <w:rFonts w:hint="eastAsia" w:cs="Times New Roman"/>
                <w:bCs/>
                <w:color w:val="auto"/>
                <w:sz w:val="24"/>
                <w:lang w:val="en-US" w:eastAsia="zh-CN"/>
              </w:rPr>
              <w:t>40米</w:t>
            </w:r>
            <w:r>
              <w:rPr>
                <w:rFonts w:hint="eastAsia" w:ascii="Times New Roman" w:hAnsi="Times New Roman" w:cs="Times New Roman"/>
                <w:bCs/>
                <w:color w:val="auto"/>
                <w:sz w:val="24"/>
                <w:lang w:val="en-US" w:eastAsia="zh-CN"/>
              </w:rPr>
              <w:t>高排气筒（DA001）高空排放</w:t>
            </w:r>
            <w:r>
              <w:rPr>
                <w:rFonts w:hint="eastAsia" w:cs="Times New Roman"/>
                <w:bCs/>
                <w:color w:val="auto"/>
                <w:sz w:val="24"/>
                <w:lang w:val="en-US" w:eastAsia="zh-CN"/>
              </w:rPr>
              <w:t>；焊接烟尘经移动式焊烟净化器处理后无组织排放</w:t>
            </w:r>
            <w:r>
              <w:rPr>
                <w:rFonts w:hint="eastAsia" w:ascii="Times New Roman" w:hAnsi="Times New Roman" w:cs="Times New Roman"/>
                <w:bCs/>
                <w:color w:val="auto"/>
                <w:sz w:val="24"/>
                <w:lang w:val="en-US" w:eastAsia="zh-CN"/>
              </w:rPr>
              <w:t>。</w:t>
            </w:r>
            <w:r>
              <w:rPr>
                <w:rFonts w:hint="default" w:ascii="Times New Roman" w:hAnsi="Times New Roman" w:eastAsia="宋体" w:cs="Times New Roman"/>
                <w:color w:val="auto"/>
                <w:kern w:val="0"/>
                <w:sz w:val="24"/>
                <w:lang w:val="en-US" w:eastAsia="zh-CN"/>
              </w:rPr>
              <w:t>活性炭</w:t>
            </w:r>
            <w:r>
              <w:rPr>
                <w:rFonts w:hint="default" w:ascii="Times New Roman" w:hAnsi="Times New Roman" w:eastAsia="宋体" w:cs="Times New Roman"/>
                <w:color w:val="auto"/>
                <w:kern w:val="0"/>
                <w:sz w:val="24"/>
                <w:lang w:val="zh-CN" w:eastAsia="zh-CN"/>
              </w:rPr>
              <w:t>吸附装置</w:t>
            </w:r>
            <w:r>
              <w:rPr>
                <w:rFonts w:hint="default" w:ascii="Times New Roman" w:hAnsi="Times New Roman" w:eastAsia="宋体" w:cs="Times New Roman"/>
                <w:color w:val="auto"/>
                <w:sz w:val="24"/>
                <w:szCs w:val="24"/>
                <w:lang w:val="zh-CN" w:eastAsia="zh-CN"/>
              </w:rPr>
              <w:t>定期更换活性炭</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kern w:val="0"/>
                <w:sz w:val="24"/>
                <w:lang w:val="en-US" w:eastAsia="zh-CN"/>
              </w:rPr>
              <w:t>产生</w:t>
            </w:r>
            <w:r>
              <w:rPr>
                <w:rFonts w:hint="default" w:ascii="Times New Roman" w:hAnsi="Times New Roman" w:eastAsia="宋体" w:cs="Times New Roman"/>
                <w:color w:val="auto"/>
                <w:sz w:val="24"/>
                <w:szCs w:val="24"/>
                <w:lang w:val="en-US" w:eastAsia="zh-CN"/>
              </w:rPr>
              <w:t>废活</w:t>
            </w:r>
            <w:r>
              <w:rPr>
                <w:rFonts w:hint="default" w:ascii="Times New Roman" w:hAnsi="Times New Roman" w:eastAsia="宋体" w:cs="Times New Roman"/>
                <w:color w:val="auto"/>
                <w:kern w:val="0"/>
                <w:sz w:val="24"/>
                <w:lang w:val="en-US" w:eastAsia="zh-CN"/>
              </w:rPr>
              <w:t>性炭S</w:t>
            </w:r>
            <w:r>
              <w:rPr>
                <w:rFonts w:hint="eastAsia" w:cs="Times New Roman"/>
                <w:color w:val="auto"/>
                <w:kern w:val="0"/>
                <w:sz w:val="24"/>
                <w:lang w:val="en-US" w:eastAsia="zh-CN"/>
              </w:rPr>
              <w:t>3；移动式焊烟净化器定期清灰，产生废滤芯S4。</w:t>
            </w:r>
          </w:p>
          <w:p w14:paraId="29986826">
            <w:pPr>
              <w:keepNext w:val="0"/>
              <w:keepLines w:val="0"/>
              <w:pageBreakBefore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bidi="ar-SA"/>
              </w:rPr>
              <w:t>（2）</w:t>
            </w:r>
            <w:r>
              <w:rPr>
                <w:rFonts w:hint="eastAsia" w:ascii="Times New Roman" w:hAnsi="Times New Roman" w:eastAsia="宋体" w:cs="Times New Roman"/>
                <w:color w:val="auto"/>
                <w:kern w:val="0"/>
                <w:sz w:val="24"/>
                <w:lang w:val="en-US" w:eastAsia="zh-CN"/>
              </w:rPr>
              <w:t>原辅料使用产污环节</w:t>
            </w:r>
          </w:p>
          <w:p w14:paraId="65604E59">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kern w:val="0"/>
                <w:sz w:val="24"/>
                <w:lang w:val="en-US" w:eastAsia="zh-CN"/>
              </w:rPr>
              <w:t>本项目</w:t>
            </w:r>
            <w:r>
              <w:rPr>
                <w:rFonts w:hint="eastAsia" w:cs="Times New Roman" w:eastAsiaTheme="minorEastAsia"/>
                <w:color w:val="auto"/>
                <w:sz w:val="24"/>
                <w:szCs w:val="24"/>
                <w:lang w:val="en-US" w:eastAsia="zh-CN"/>
              </w:rPr>
              <w:t>发泡主剂、发泡固化剂等</w:t>
            </w:r>
            <w:r>
              <w:rPr>
                <w:rFonts w:hint="default" w:ascii="Times New Roman" w:hAnsi="Times New Roman" w:eastAsia="宋体" w:cs="Times New Roman"/>
                <w:color w:val="auto"/>
                <w:sz w:val="24"/>
                <w:szCs w:val="24"/>
                <w:lang w:val="en-US" w:eastAsia="zh-CN"/>
              </w:rPr>
              <w:t>使用完后有废包装</w:t>
            </w:r>
            <w:r>
              <w:rPr>
                <w:rFonts w:hint="eastAsia" w:cs="Times New Roman"/>
                <w:color w:val="auto"/>
                <w:sz w:val="24"/>
                <w:szCs w:val="24"/>
                <w:lang w:val="en-US" w:eastAsia="zh-CN"/>
              </w:rPr>
              <w:t>容器</w:t>
            </w:r>
            <w:r>
              <w:rPr>
                <w:rFonts w:hint="eastAsia" w:ascii="Times New Roman" w:hAnsi="Times New Roman" w:eastAsia="宋体" w:cs="Times New Roman"/>
                <w:color w:val="auto"/>
                <w:sz w:val="24"/>
                <w:szCs w:val="24"/>
                <w:lang w:val="en-US" w:eastAsia="zh-CN"/>
              </w:rPr>
              <w:t>S</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产生</w:t>
            </w:r>
            <w:r>
              <w:rPr>
                <w:rFonts w:hint="eastAsia" w:ascii="Times New Roman" w:hAnsi="Times New Roman" w:cs="Times New Roman"/>
                <w:color w:val="auto"/>
                <w:sz w:val="24"/>
                <w:szCs w:val="24"/>
                <w:lang w:val="en-US" w:eastAsia="zh-CN"/>
              </w:rPr>
              <w:t>。</w:t>
            </w:r>
          </w:p>
          <w:p w14:paraId="5AAD2136">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rPr>
                <w:rFonts w:hint="eastAsia" w:cs="Times New Roman"/>
                <w:color w:val="auto"/>
                <w:sz w:val="24"/>
                <w:lang w:val="en-US" w:eastAsia="zh-CN"/>
              </w:rPr>
            </w:pPr>
            <w:r>
              <w:rPr>
                <w:rFonts w:hint="eastAsia" w:cs="Times New Roman"/>
                <w:color w:val="auto"/>
                <w:sz w:val="24"/>
                <w:lang w:val="en-US" w:eastAsia="zh-CN"/>
              </w:rPr>
              <w:t>本项目主要产排污见下表。</w:t>
            </w:r>
          </w:p>
          <w:p w14:paraId="244BFDC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FF0000"/>
                <w:kern w:val="0"/>
                <w:sz w:val="24"/>
                <w:szCs w:val="28"/>
              </w:rPr>
            </w:pPr>
          </w:p>
          <w:p w14:paraId="0424FF4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FF0000"/>
                <w:kern w:val="0"/>
                <w:sz w:val="24"/>
                <w:szCs w:val="28"/>
              </w:rPr>
            </w:pPr>
          </w:p>
          <w:p w14:paraId="64B07EF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FF0000"/>
                <w:kern w:val="0"/>
                <w:sz w:val="24"/>
                <w:szCs w:val="28"/>
              </w:rPr>
            </w:pPr>
          </w:p>
          <w:p w14:paraId="1C0D572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FF0000"/>
                <w:kern w:val="0"/>
                <w:sz w:val="24"/>
                <w:szCs w:val="28"/>
              </w:rPr>
            </w:pPr>
          </w:p>
          <w:p w14:paraId="18B6E30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FF0000"/>
                <w:kern w:val="0"/>
                <w:sz w:val="24"/>
                <w:szCs w:val="28"/>
              </w:rPr>
            </w:pPr>
          </w:p>
          <w:p w14:paraId="1659F88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FF0000"/>
                <w:kern w:val="0"/>
                <w:sz w:val="24"/>
                <w:szCs w:val="28"/>
              </w:rPr>
            </w:pPr>
          </w:p>
          <w:p w14:paraId="53BC859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FF0000"/>
                <w:kern w:val="0"/>
                <w:sz w:val="24"/>
                <w:szCs w:val="28"/>
              </w:rPr>
            </w:pPr>
          </w:p>
          <w:p w14:paraId="49DEABC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FF0000"/>
                <w:kern w:val="0"/>
                <w:sz w:val="24"/>
                <w:szCs w:val="28"/>
              </w:rPr>
            </w:pPr>
          </w:p>
          <w:p w14:paraId="2E88603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color w:val="auto"/>
                <w:kern w:val="0"/>
                <w:sz w:val="24"/>
                <w:szCs w:val="28"/>
                <w:lang w:val="en-US" w:eastAsia="zh-CN"/>
              </w:rPr>
            </w:pPr>
            <w:r>
              <w:rPr>
                <w:rFonts w:hint="eastAsia" w:ascii="Times New Roman" w:hAnsi="Times New Roman" w:eastAsia="宋体" w:cs="Times New Roman"/>
                <w:b/>
                <w:color w:val="auto"/>
                <w:kern w:val="0"/>
                <w:sz w:val="24"/>
                <w:szCs w:val="28"/>
              </w:rPr>
              <w:t>表2-</w:t>
            </w:r>
            <w:r>
              <w:rPr>
                <w:rFonts w:hint="eastAsia" w:cs="Times New Roman"/>
                <w:b/>
                <w:color w:val="auto"/>
                <w:kern w:val="0"/>
                <w:sz w:val="24"/>
                <w:szCs w:val="28"/>
                <w:lang w:val="en-US" w:eastAsia="zh-CN"/>
              </w:rPr>
              <w:t>8</w:t>
            </w:r>
            <w:r>
              <w:rPr>
                <w:rFonts w:hint="eastAsia" w:ascii="Times New Roman" w:hAnsi="Times New Roman" w:eastAsia="宋体" w:cs="Times New Roman"/>
                <w:b/>
                <w:color w:val="auto"/>
                <w:kern w:val="0"/>
                <w:sz w:val="24"/>
                <w:szCs w:val="28"/>
                <w:lang w:val="en-US" w:eastAsia="zh-CN"/>
              </w:rPr>
              <w:t>本项目主要产排污情况表</w:t>
            </w:r>
          </w:p>
          <w:tbl>
            <w:tblPr>
              <w:tblStyle w:val="35"/>
              <w:tblW w:w="509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6"/>
              <w:gridCol w:w="679"/>
              <w:gridCol w:w="1233"/>
              <w:gridCol w:w="1058"/>
              <w:gridCol w:w="542"/>
              <w:gridCol w:w="1100"/>
              <w:gridCol w:w="1686"/>
              <w:gridCol w:w="1304"/>
            </w:tblGrid>
            <w:tr w14:paraId="2F896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484" w:type="pct"/>
                  <w:shd w:val="clear" w:color="auto" w:fill="auto"/>
                  <w:noWrap w:val="0"/>
                  <w:vAlign w:val="center"/>
                </w:tcPr>
                <w:p w14:paraId="7BC56D6B">
                  <w:pPr>
                    <w:pStyle w:val="10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b/>
                      <w:color w:val="auto"/>
                      <w:kern w:val="2"/>
                      <w:sz w:val="21"/>
                      <w:szCs w:val="21"/>
                      <w:lang w:val="en-US" w:eastAsia="zh-CN" w:bidi="ar-SA"/>
                    </w:rPr>
                  </w:pPr>
                  <w:r>
                    <w:rPr>
                      <w:rFonts w:hint="eastAsia" w:ascii="Times New Roman" w:hAnsi="Times New Roman" w:eastAsia="宋体" w:cs="Times New Roman"/>
                      <w:b/>
                      <w:color w:val="auto"/>
                      <w:kern w:val="2"/>
                      <w:sz w:val="21"/>
                      <w:szCs w:val="21"/>
                      <w:lang w:val="en-US" w:eastAsia="zh-CN" w:bidi="ar-SA"/>
                    </w:rPr>
                    <w:t>类别</w:t>
                  </w:r>
                </w:p>
              </w:tc>
              <w:tc>
                <w:tcPr>
                  <w:tcW w:w="403" w:type="pct"/>
                  <w:shd w:val="clear" w:color="auto" w:fill="auto"/>
                  <w:noWrap w:val="0"/>
                  <w:vAlign w:val="center"/>
                </w:tcPr>
                <w:p w14:paraId="2ACA828C">
                  <w:pPr>
                    <w:pStyle w:val="10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b/>
                      <w:color w:val="auto"/>
                      <w:kern w:val="2"/>
                      <w:sz w:val="21"/>
                      <w:szCs w:val="21"/>
                      <w:lang w:val="en-US" w:eastAsia="zh-CN" w:bidi="ar-SA"/>
                    </w:rPr>
                  </w:pPr>
                  <w:r>
                    <w:rPr>
                      <w:rFonts w:hint="eastAsia" w:ascii="Times New Roman" w:hAnsi="Times New Roman" w:eastAsia="宋体" w:cs="Times New Roman"/>
                      <w:b/>
                      <w:color w:val="auto"/>
                      <w:kern w:val="2"/>
                      <w:sz w:val="21"/>
                      <w:szCs w:val="21"/>
                      <w:lang w:val="en-US" w:eastAsia="zh-CN" w:bidi="ar-SA"/>
                    </w:rPr>
                    <w:t>编号</w:t>
                  </w:r>
                </w:p>
              </w:tc>
              <w:tc>
                <w:tcPr>
                  <w:tcW w:w="732" w:type="pct"/>
                  <w:shd w:val="clear" w:color="auto" w:fill="auto"/>
                  <w:noWrap w:val="0"/>
                  <w:vAlign w:val="center"/>
                </w:tcPr>
                <w:p w14:paraId="5EE6F323">
                  <w:pPr>
                    <w:pStyle w:val="10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b/>
                      <w:color w:val="auto"/>
                      <w:kern w:val="2"/>
                      <w:sz w:val="21"/>
                      <w:szCs w:val="21"/>
                      <w:lang w:val="en-US" w:eastAsia="zh-CN" w:bidi="ar-SA"/>
                    </w:rPr>
                  </w:pPr>
                  <w:r>
                    <w:rPr>
                      <w:rFonts w:hint="eastAsia" w:ascii="Times New Roman" w:hAnsi="Times New Roman" w:eastAsia="宋体" w:cs="Times New Roman"/>
                      <w:b/>
                      <w:color w:val="auto"/>
                      <w:kern w:val="2"/>
                      <w:sz w:val="21"/>
                      <w:szCs w:val="21"/>
                      <w:lang w:val="en-US" w:eastAsia="zh-CN" w:bidi="ar-SA"/>
                    </w:rPr>
                    <w:t>产生环节</w:t>
                  </w:r>
                </w:p>
              </w:tc>
              <w:tc>
                <w:tcPr>
                  <w:tcW w:w="628" w:type="pct"/>
                  <w:shd w:val="clear" w:color="auto" w:fill="auto"/>
                  <w:noWrap w:val="0"/>
                  <w:vAlign w:val="center"/>
                </w:tcPr>
                <w:p w14:paraId="501D0CEB">
                  <w:pPr>
                    <w:pStyle w:val="10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b/>
                      <w:color w:val="auto"/>
                      <w:kern w:val="2"/>
                      <w:sz w:val="21"/>
                      <w:szCs w:val="21"/>
                      <w:lang w:val="en-US" w:eastAsia="zh-CN" w:bidi="ar-SA"/>
                    </w:rPr>
                  </w:pPr>
                  <w:r>
                    <w:rPr>
                      <w:rFonts w:hint="eastAsia" w:ascii="Times New Roman" w:hAnsi="Times New Roman" w:eastAsia="宋体" w:cs="Times New Roman"/>
                      <w:b/>
                      <w:color w:val="auto"/>
                      <w:kern w:val="2"/>
                      <w:sz w:val="21"/>
                      <w:szCs w:val="21"/>
                      <w:lang w:val="en-US" w:eastAsia="zh-CN" w:bidi="ar-SA"/>
                    </w:rPr>
                    <w:t>污染</w:t>
                  </w:r>
                  <w:r>
                    <w:rPr>
                      <w:rFonts w:hint="eastAsia" w:ascii="Times New Roman" w:hAnsi="Times New Roman" w:cs="Times New Roman"/>
                      <w:b/>
                      <w:color w:val="auto"/>
                      <w:kern w:val="2"/>
                      <w:sz w:val="21"/>
                      <w:szCs w:val="21"/>
                      <w:lang w:val="en-US" w:eastAsia="zh-CN" w:bidi="ar-SA"/>
                    </w:rPr>
                    <w:t>源</w:t>
                  </w:r>
                </w:p>
              </w:tc>
              <w:tc>
                <w:tcPr>
                  <w:tcW w:w="975" w:type="pct"/>
                  <w:gridSpan w:val="2"/>
                  <w:shd w:val="clear" w:color="auto" w:fill="auto"/>
                  <w:noWrap w:val="0"/>
                  <w:vAlign w:val="center"/>
                </w:tcPr>
                <w:p w14:paraId="0305B00A">
                  <w:pPr>
                    <w:pStyle w:val="10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color w:val="auto"/>
                      <w:kern w:val="2"/>
                      <w:sz w:val="21"/>
                      <w:szCs w:val="21"/>
                      <w:lang w:val="en-US" w:eastAsia="zh-CN" w:bidi="ar-SA"/>
                    </w:rPr>
                  </w:pPr>
                  <w:r>
                    <w:rPr>
                      <w:rFonts w:hint="eastAsia" w:ascii="Times New Roman" w:hAnsi="Times New Roman" w:cs="Times New Roman"/>
                      <w:b/>
                      <w:color w:val="auto"/>
                      <w:kern w:val="2"/>
                      <w:sz w:val="21"/>
                      <w:szCs w:val="21"/>
                      <w:lang w:val="en-US" w:eastAsia="zh-CN" w:bidi="ar-SA"/>
                    </w:rPr>
                    <w:t>污染因子</w:t>
                  </w:r>
                </w:p>
              </w:tc>
              <w:tc>
                <w:tcPr>
                  <w:tcW w:w="1775" w:type="pct"/>
                  <w:gridSpan w:val="2"/>
                  <w:shd w:val="clear" w:color="auto" w:fill="auto"/>
                  <w:noWrap w:val="0"/>
                  <w:vAlign w:val="center"/>
                </w:tcPr>
                <w:p w14:paraId="4440DB0D">
                  <w:pPr>
                    <w:pStyle w:val="10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b/>
                      <w:color w:val="auto"/>
                      <w:kern w:val="2"/>
                      <w:sz w:val="21"/>
                      <w:szCs w:val="21"/>
                      <w:lang w:val="en-US" w:eastAsia="en-US" w:bidi="ar-SA"/>
                    </w:rPr>
                  </w:pPr>
                  <w:r>
                    <w:rPr>
                      <w:rFonts w:hint="eastAsia" w:ascii="Times New Roman" w:hAnsi="Times New Roman" w:eastAsia="宋体" w:cs="Times New Roman"/>
                      <w:b/>
                      <w:color w:val="auto"/>
                      <w:kern w:val="2"/>
                      <w:sz w:val="21"/>
                      <w:szCs w:val="21"/>
                      <w:lang w:val="en-US" w:eastAsia="zh-CN" w:bidi="ar-SA"/>
                    </w:rPr>
                    <w:t>拟采取的措施及去向</w:t>
                  </w:r>
                </w:p>
              </w:tc>
            </w:tr>
            <w:tr w14:paraId="3EC8B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4" w:type="pct"/>
                  <w:shd w:val="clear" w:color="auto" w:fill="auto"/>
                  <w:noWrap w:val="0"/>
                  <w:vAlign w:val="center"/>
                </w:tcPr>
                <w:p w14:paraId="1A7A5829">
                  <w:pPr>
                    <w:jc w:val="center"/>
                    <w:rPr>
                      <w:rFonts w:hint="eastAsia"/>
                      <w:b w:val="0"/>
                      <w:bCs w:val="0"/>
                      <w:color w:val="auto"/>
                      <w:szCs w:val="21"/>
                      <w:lang w:val="en-US" w:eastAsia="zh-CN"/>
                    </w:rPr>
                  </w:pPr>
                  <w:r>
                    <w:rPr>
                      <w:rFonts w:hint="eastAsia"/>
                      <w:b w:val="0"/>
                      <w:bCs w:val="0"/>
                      <w:color w:val="auto"/>
                      <w:szCs w:val="21"/>
                      <w:lang w:val="en-US" w:eastAsia="zh-CN"/>
                    </w:rPr>
                    <w:t>废水</w:t>
                  </w:r>
                </w:p>
              </w:tc>
              <w:tc>
                <w:tcPr>
                  <w:tcW w:w="403" w:type="pct"/>
                  <w:shd w:val="clear" w:color="auto" w:fill="auto"/>
                  <w:noWrap w:val="0"/>
                  <w:vAlign w:val="center"/>
                </w:tcPr>
                <w:p w14:paraId="58241BC9">
                  <w:pPr>
                    <w:jc w:val="center"/>
                    <w:rPr>
                      <w:rFonts w:hint="eastAsia"/>
                      <w:b w:val="0"/>
                      <w:bCs w:val="0"/>
                      <w:color w:val="auto"/>
                      <w:szCs w:val="21"/>
                      <w:lang w:val="en-US" w:eastAsia="zh-CN"/>
                    </w:rPr>
                  </w:pPr>
                  <w:r>
                    <w:rPr>
                      <w:rFonts w:hint="eastAsia"/>
                      <w:b w:val="0"/>
                      <w:bCs w:val="0"/>
                      <w:color w:val="auto"/>
                      <w:szCs w:val="21"/>
                      <w:lang w:val="en-US" w:eastAsia="zh-CN"/>
                    </w:rPr>
                    <w:t>/</w:t>
                  </w:r>
                </w:p>
              </w:tc>
              <w:tc>
                <w:tcPr>
                  <w:tcW w:w="732" w:type="pct"/>
                  <w:shd w:val="clear" w:color="auto" w:fill="auto"/>
                  <w:noWrap w:val="0"/>
                  <w:vAlign w:val="center"/>
                </w:tcPr>
                <w:p w14:paraId="113EDE7B">
                  <w:pPr>
                    <w:jc w:val="center"/>
                    <w:rPr>
                      <w:rFonts w:hint="eastAsia"/>
                      <w:b w:val="0"/>
                      <w:bCs w:val="0"/>
                      <w:color w:val="auto"/>
                      <w:szCs w:val="21"/>
                      <w:lang w:val="en-US" w:eastAsia="zh-CN"/>
                    </w:rPr>
                  </w:pPr>
                  <w:r>
                    <w:rPr>
                      <w:rFonts w:hint="eastAsia"/>
                      <w:b w:val="0"/>
                      <w:bCs w:val="0"/>
                      <w:color w:val="auto"/>
                      <w:szCs w:val="21"/>
                      <w:lang w:val="en-US" w:eastAsia="zh-CN"/>
                    </w:rPr>
                    <w:t>办公、生活</w:t>
                  </w:r>
                </w:p>
              </w:tc>
              <w:tc>
                <w:tcPr>
                  <w:tcW w:w="628" w:type="pct"/>
                  <w:shd w:val="clear" w:color="auto" w:fill="auto"/>
                  <w:noWrap w:val="0"/>
                  <w:vAlign w:val="center"/>
                </w:tcPr>
                <w:p w14:paraId="1735A325">
                  <w:pPr>
                    <w:jc w:val="center"/>
                    <w:rPr>
                      <w:rFonts w:hint="default"/>
                      <w:b w:val="0"/>
                      <w:bCs w:val="0"/>
                      <w:color w:val="auto"/>
                      <w:szCs w:val="21"/>
                      <w:lang w:val="en-US" w:eastAsia="zh-CN"/>
                    </w:rPr>
                  </w:pPr>
                  <w:r>
                    <w:rPr>
                      <w:rFonts w:hint="eastAsia"/>
                      <w:b w:val="0"/>
                      <w:bCs w:val="0"/>
                      <w:color w:val="auto"/>
                      <w:szCs w:val="21"/>
                      <w:lang w:val="en-US" w:eastAsia="zh-CN"/>
                    </w:rPr>
                    <w:t>生活污水</w:t>
                  </w:r>
                </w:p>
              </w:tc>
              <w:tc>
                <w:tcPr>
                  <w:tcW w:w="975" w:type="pct"/>
                  <w:gridSpan w:val="2"/>
                  <w:shd w:val="clear" w:color="auto" w:fill="auto"/>
                  <w:noWrap w:val="0"/>
                  <w:vAlign w:val="center"/>
                </w:tcPr>
                <w:p w14:paraId="7C7CC396">
                  <w:pPr>
                    <w:jc w:val="center"/>
                    <w:rPr>
                      <w:rFonts w:hint="default"/>
                      <w:b w:val="0"/>
                      <w:bCs w:val="0"/>
                      <w:color w:val="auto"/>
                      <w:szCs w:val="21"/>
                      <w:lang w:val="en-US" w:eastAsia="zh-CN"/>
                    </w:rPr>
                  </w:pPr>
                  <w:r>
                    <w:rPr>
                      <w:rFonts w:hint="eastAsia"/>
                      <w:b w:val="0"/>
                      <w:bCs w:val="0"/>
                      <w:color w:val="auto"/>
                      <w:szCs w:val="21"/>
                      <w:lang w:val="en-US" w:eastAsia="zh-CN"/>
                    </w:rPr>
                    <w:t>pH、COD、SS、NH</w:t>
                  </w:r>
                  <w:r>
                    <w:rPr>
                      <w:rFonts w:hint="eastAsia"/>
                      <w:b w:val="0"/>
                      <w:bCs w:val="0"/>
                      <w:color w:val="auto"/>
                      <w:szCs w:val="21"/>
                      <w:vertAlign w:val="subscript"/>
                      <w:lang w:val="en-US" w:eastAsia="zh-CN"/>
                    </w:rPr>
                    <w:t>3</w:t>
                  </w:r>
                  <w:r>
                    <w:rPr>
                      <w:rFonts w:hint="eastAsia"/>
                      <w:b w:val="0"/>
                      <w:bCs w:val="0"/>
                      <w:color w:val="auto"/>
                      <w:szCs w:val="21"/>
                      <w:lang w:val="en-US" w:eastAsia="zh-CN"/>
                    </w:rPr>
                    <w:t>-N、TP、TN</w:t>
                  </w:r>
                </w:p>
              </w:tc>
              <w:tc>
                <w:tcPr>
                  <w:tcW w:w="1775" w:type="pct"/>
                  <w:gridSpan w:val="2"/>
                  <w:shd w:val="clear" w:color="auto" w:fill="auto"/>
                  <w:noWrap w:val="0"/>
                  <w:vAlign w:val="center"/>
                </w:tcPr>
                <w:p w14:paraId="25117C13">
                  <w:pPr>
                    <w:jc w:val="center"/>
                    <w:rPr>
                      <w:rFonts w:hint="eastAsia" w:ascii="Times New Roman" w:hAnsi="Times New Roman" w:eastAsia="宋体" w:cs="Times New Roman"/>
                      <w:b w:val="0"/>
                      <w:bCs w:val="0"/>
                      <w:color w:val="auto"/>
                      <w:szCs w:val="21"/>
                      <w:lang w:val="en-US" w:eastAsia="en-US"/>
                    </w:rPr>
                  </w:pPr>
                  <w:r>
                    <w:rPr>
                      <w:rFonts w:hint="eastAsia" w:ascii="Times New Roman" w:hAnsi="Times New Roman" w:eastAsia="宋体" w:cs="Times New Roman"/>
                      <w:b w:val="0"/>
                      <w:bCs w:val="0"/>
                      <w:color w:val="auto"/>
                      <w:szCs w:val="21"/>
                      <w:lang w:val="en-US" w:eastAsia="zh-CN"/>
                    </w:rPr>
                    <w:t>经化粪池预处理后接管排入常州市江边污水处理厂集中处理</w:t>
                  </w:r>
                </w:p>
              </w:tc>
            </w:tr>
            <w:tr w14:paraId="2A11A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84" w:type="pct"/>
                  <w:vMerge w:val="restart"/>
                  <w:shd w:val="clear" w:color="auto" w:fill="auto"/>
                  <w:noWrap w:val="0"/>
                  <w:vAlign w:val="center"/>
                </w:tcPr>
                <w:p w14:paraId="64863AE8">
                  <w:pPr>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废气</w:t>
                  </w:r>
                </w:p>
              </w:tc>
              <w:tc>
                <w:tcPr>
                  <w:tcW w:w="403" w:type="pct"/>
                  <w:noWrap w:val="0"/>
                  <w:vAlign w:val="center"/>
                </w:tcPr>
                <w:p w14:paraId="734AD398">
                  <w:pPr>
                    <w:jc w:val="cente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G1</w:t>
                  </w:r>
                </w:p>
              </w:tc>
              <w:tc>
                <w:tcPr>
                  <w:tcW w:w="732" w:type="pct"/>
                  <w:noWrap w:val="0"/>
                  <w:vAlign w:val="center"/>
                </w:tcPr>
                <w:p w14:paraId="00EE959D">
                  <w:pPr>
                    <w:jc w:val="center"/>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发泡</w:t>
                  </w:r>
                </w:p>
              </w:tc>
              <w:tc>
                <w:tcPr>
                  <w:tcW w:w="628" w:type="pct"/>
                  <w:shd w:val="clear" w:color="auto" w:fill="auto"/>
                  <w:noWrap w:val="0"/>
                  <w:vAlign w:val="center"/>
                </w:tcPr>
                <w:p w14:paraId="5A2630E3">
                  <w:pPr>
                    <w:jc w:val="center"/>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发泡废气</w:t>
                  </w:r>
                </w:p>
              </w:tc>
              <w:tc>
                <w:tcPr>
                  <w:tcW w:w="975" w:type="pct"/>
                  <w:gridSpan w:val="2"/>
                  <w:noWrap w:val="0"/>
                  <w:vAlign w:val="center"/>
                </w:tcPr>
                <w:p w14:paraId="10A80102">
                  <w:pPr>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非甲烷总烃</w:t>
                  </w:r>
                </w:p>
              </w:tc>
              <w:tc>
                <w:tcPr>
                  <w:tcW w:w="1001" w:type="pct"/>
                  <w:vMerge w:val="restart"/>
                  <w:noWrap w:val="0"/>
                  <w:vAlign w:val="center"/>
                </w:tcPr>
                <w:p w14:paraId="483C3582">
                  <w:pPr>
                    <w:jc w:val="center"/>
                    <w:rPr>
                      <w:rFonts w:hint="default" w:ascii="Times New Roman" w:hAnsi="Times New Roman" w:eastAsia="宋体" w:cs="Times New Roman"/>
                      <w:b w:val="0"/>
                      <w:bCs w:val="0"/>
                      <w:color w:val="FF0000"/>
                      <w:szCs w:val="21"/>
                      <w:lang w:val="en-US" w:eastAsia="zh-CN"/>
                    </w:rPr>
                  </w:pPr>
                  <w:r>
                    <w:rPr>
                      <w:rFonts w:hint="eastAsia" w:ascii="Times New Roman" w:hAnsi="Times New Roman" w:eastAsia="宋体" w:cs="Times New Roman"/>
                      <w:b w:val="0"/>
                      <w:bCs w:val="0"/>
                      <w:color w:val="auto"/>
                      <w:szCs w:val="21"/>
                      <w:lang w:val="en-US" w:eastAsia="zh-CN"/>
                    </w:rPr>
                    <w:t>TA001废气收集及处理系统（</w:t>
                  </w:r>
                  <w:r>
                    <w:rPr>
                      <w:rFonts w:hint="eastAsia" w:cs="Times New Roman"/>
                      <w:b w:val="0"/>
                      <w:bCs w:val="0"/>
                      <w:color w:val="auto"/>
                      <w:szCs w:val="21"/>
                      <w:lang w:val="en-US" w:eastAsia="zh-CN"/>
                    </w:rPr>
                    <w:t>两级</w:t>
                  </w:r>
                  <w:r>
                    <w:rPr>
                      <w:rFonts w:hint="eastAsia" w:ascii="Times New Roman" w:hAnsi="Times New Roman" w:eastAsia="宋体" w:cs="Times New Roman"/>
                      <w:b w:val="0"/>
                      <w:bCs w:val="0"/>
                      <w:color w:val="auto"/>
                      <w:szCs w:val="21"/>
                      <w:lang w:val="en-US" w:eastAsia="zh-CN"/>
                    </w:rPr>
                    <w:t>活性炭）</w:t>
                  </w:r>
                </w:p>
              </w:tc>
              <w:tc>
                <w:tcPr>
                  <w:tcW w:w="774" w:type="pct"/>
                  <w:vMerge w:val="restart"/>
                  <w:noWrap w:val="0"/>
                  <w:vAlign w:val="center"/>
                </w:tcPr>
                <w:p w14:paraId="230B1ACC">
                  <w:pPr>
                    <w:jc w:val="center"/>
                    <w:rPr>
                      <w:rFonts w:hint="eastAsia"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40m</w:t>
                  </w:r>
                  <w:r>
                    <w:rPr>
                      <w:rFonts w:hint="eastAsia" w:ascii="Times New Roman" w:hAnsi="Times New Roman" w:eastAsia="宋体" w:cs="Times New Roman"/>
                      <w:b w:val="0"/>
                      <w:bCs w:val="0"/>
                      <w:color w:val="auto"/>
                      <w:szCs w:val="21"/>
                      <w:lang w:val="en-US" w:eastAsia="zh-CN"/>
                    </w:rPr>
                    <w:t>高排气筒（DA001）</w:t>
                  </w:r>
                </w:p>
              </w:tc>
            </w:tr>
            <w:tr w14:paraId="78FAD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4" w:type="pct"/>
                  <w:vMerge w:val="continue"/>
                  <w:shd w:val="clear" w:color="auto" w:fill="auto"/>
                  <w:noWrap w:val="0"/>
                  <w:vAlign w:val="center"/>
                </w:tcPr>
                <w:p w14:paraId="3C170FB3">
                  <w:pPr>
                    <w:jc w:val="center"/>
                    <w:rPr>
                      <w:rFonts w:hint="eastAsia" w:ascii="Times New Roman" w:hAnsi="Times New Roman" w:eastAsia="宋体" w:cs="Times New Roman"/>
                      <w:b w:val="0"/>
                      <w:bCs w:val="0"/>
                      <w:color w:val="auto"/>
                      <w:szCs w:val="21"/>
                      <w:lang w:val="en-US" w:eastAsia="zh-CN"/>
                    </w:rPr>
                  </w:pPr>
                </w:p>
              </w:tc>
              <w:tc>
                <w:tcPr>
                  <w:tcW w:w="403" w:type="pct"/>
                  <w:noWrap w:val="0"/>
                  <w:vAlign w:val="center"/>
                </w:tcPr>
                <w:p w14:paraId="3043ED3C">
                  <w:pPr>
                    <w:jc w:val="center"/>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G3</w:t>
                  </w:r>
                </w:p>
              </w:tc>
              <w:tc>
                <w:tcPr>
                  <w:tcW w:w="732" w:type="pct"/>
                  <w:noWrap w:val="0"/>
                  <w:vAlign w:val="center"/>
                </w:tcPr>
                <w:p w14:paraId="260A540E">
                  <w:pPr>
                    <w:jc w:val="center"/>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擦拭</w:t>
                  </w:r>
                </w:p>
              </w:tc>
              <w:tc>
                <w:tcPr>
                  <w:tcW w:w="628" w:type="pct"/>
                  <w:shd w:val="clear" w:color="auto" w:fill="auto"/>
                  <w:noWrap w:val="0"/>
                  <w:vAlign w:val="center"/>
                </w:tcPr>
                <w:p w14:paraId="00B9C55E">
                  <w:pPr>
                    <w:jc w:val="center"/>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擦拭废气</w:t>
                  </w:r>
                </w:p>
              </w:tc>
              <w:tc>
                <w:tcPr>
                  <w:tcW w:w="975" w:type="pct"/>
                  <w:gridSpan w:val="2"/>
                  <w:noWrap w:val="0"/>
                  <w:vAlign w:val="center"/>
                </w:tcPr>
                <w:p w14:paraId="346716FF">
                  <w:pPr>
                    <w:jc w:val="center"/>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非甲烷总烃</w:t>
                  </w:r>
                </w:p>
              </w:tc>
              <w:tc>
                <w:tcPr>
                  <w:tcW w:w="1001" w:type="pct"/>
                  <w:vMerge w:val="continue"/>
                  <w:noWrap w:val="0"/>
                  <w:vAlign w:val="center"/>
                </w:tcPr>
                <w:p w14:paraId="2D7E8527">
                  <w:pPr>
                    <w:jc w:val="center"/>
                    <w:rPr>
                      <w:rFonts w:hint="eastAsia" w:ascii="Times New Roman" w:hAnsi="Times New Roman" w:eastAsia="宋体" w:cs="Times New Roman"/>
                      <w:b w:val="0"/>
                      <w:bCs w:val="0"/>
                      <w:color w:val="FF0000"/>
                      <w:szCs w:val="21"/>
                      <w:lang w:val="en-US" w:eastAsia="zh-CN"/>
                    </w:rPr>
                  </w:pPr>
                </w:p>
              </w:tc>
              <w:tc>
                <w:tcPr>
                  <w:tcW w:w="774" w:type="pct"/>
                  <w:vMerge w:val="continue"/>
                  <w:noWrap w:val="0"/>
                  <w:vAlign w:val="center"/>
                </w:tcPr>
                <w:p w14:paraId="3A4AB5D8">
                  <w:pPr>
                    <w:jc w:val="center"/>
                    <w:rPr>
                      <w:rFonts w:hint="eastAsia" w:ascii="Times New Roman" w:hAnsi="Times New Roman" w:eastAsia="宋体" w:cs="Times New Roman"/>
                      <w:b w:val="0"/>
                      <w:bCs w:val="0"/>
                      <w:color w:val="auto"/>
                      <w:szCs w:val="21"/>
                      <w:lang w:val="en-US" w:eastAsia="zh-CN"/>
                    </w:rPr>
                  </w:pPr>
                </w:p>
              </w:tc>
            </w:tr>
            <w:tr w14:paraId="0EF0E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4" w:type="pct"/>
                  <w:vMerge w:val="continue"/>
                  <w:shd w:val="clear" w:color="auto" w:fill="auto"/>
                  <w:noWrap w:val="0"/>
                  <w:vAlign w:val="center"/>
                </w:tcPr>
                <w:p w14:paraId="78FD6437">
                  <w:pPr>
                    <w:jc w:val="center"/>
                    <w:rPr>
                      <w:rFonts w:hint="eastAsia" w:ascii="Times New Roman" w:hAnsi="Times New Roman" w:eastAsia="宋体" w:cs="Times New Roman"/>
                      <w:b w:val="0"/>
                      <w:bCs w:val="0"/>
                      <w:color w:val="auto"/>
                      <w:szCs w:val="21"/>
                      <w:lang w:val="en-US" w:eastAsia="zh-CN"/>
                    </w:rPr>
                  </w:pPr>
                </w:p>
              </w:tc>
              <w:tc>
                <w:tcPr>
                  <w:tcW w:w="403" w:type="pct"/>
                  <w:shd w:val="clear" w:color="auto" w:fill="auto"/>
                  <w:noWrap w:val="0"/>
                  <w:vAlign w:val="center"/>
                </w:tcPr>
                <w:p w14:paraId="12304FC4">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Cs w:val="21"/>
                      <w:lang w:val="en-US" w:eastAsia="zh-CN"/>
                    </w:rPr>
                    <w:t>G2</w:t>
                  </w:r>
                </w:p>
              </w:tc>
              <w:tc>
                <w:tcPr>
                  <w:tcW w:w="732" w:type="pct"/>
                  <w:shd w:val="clear" w:color="auto" w:fill="auto"/>
                  <w:noWrap w:val="0"/>
                  <w:vAlign w:val="center"/>
                </w:tcPr>
                <w:p w14:paraId="43739F2C">
                  <w:pPr>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Cs w:val="21"/>
                      <w:lang w:val="en-US" w:eastAsia="zh-CN"/>
                    </w:rPr>
                    <w:t>焊接</w:t>
                  </w:r>
                </w:p>
              </w:tc>
              <w:tc>
                <w:tcPr>
                  <w:tcW w:w="628" w:type="pct"/>
                  <w:shd w:val="clear" w:color="auto" w:fill="auto"/>
                  <w:noWrap w:val="0"/>
                  <w:vAlign w:val="center"/>
                </w:tcPr>
                <w:p w14:paraId="08CA1907">
                  <w:pPr>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焊接烟尘</w:t>
                  </w:r>
                </w:p>
              </w:tc>
              <w:tc>
                <w:tcPr>
                  <w:tcW w:w="975" w:type="pct"/>
                  <w:gridSpan w:val="2"/>
                  <w:shd w:val="clear" w:color="auto" w:fill="auto"/>
                  <w:noWrap w:val="0"/>
                  <w:vAlign w:val="center"/>
                </w:tcPr>
                <w:p w14:paraId="6B1B8504">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Cs w:val="21"/>
                      <w:lang w:val="en-US" w:eastAsia="zh-CN"/>
                    </w:rPr>
                    <w:t>颗粒物</w:t>
                  </w:r>
                </w:p>
              </w:tc>
              <w:tc>
                <w:tcPr>
                  <w:tcW w:w="1001" w:type="pct"/>
                  <w:shd w:val="clear" w:color="auto" w:fill="auto"/>
                  <w:noWrap w:val="0"/>
                  <w:vAlign w:val="center"/>
                </w:tcPr>
                <w:p w14:paraId="283F48C2">
                  <w:pPr>
                    <w:jc w:val="center"/>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Cs w:val="21"/>
                      <w:lang w:val="en-US" w:eastAsia="zh-CN"/>
                    </w:rPr>
                    <w:t>移动式焊烟净化器</w:t>
                  </w:r>
                </w:p>
              </w:tc>
              <w:tc>
                <w:tcPr>
                  <w:tcW w:w="774" w:type="pct"/>
                  <w:shd w:val="clear" w:color="auto" w:fill="auto"/>
                  <w:noWrap w:val="0"/>
                  <w:vAlign w:val="center"/>
                </w:tcPr>
                <w:p w14:paraId="648E8E0C">
                  <w:pPr>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Cs w:val="21"/>
                      <w:lang w:val="en-US" w:eastAsia="zh-CN"/>
                    </w:rPr>
                    <w:t>无组织排放</w:t>
                  </w:r>
                </w:p>
              </w:tc>
            </w:tr>
            <w:tr w14:paraId="2388F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4" w:type="pct"/>
                  <w:shd w:val="clear" w:color="auto" w:fill="auto"/>
                  <w:vAlign w:val="center"/>
                </w:tcPr>
                <w:p w14:paraId="7D0B9CE4">
                  <w:pPr>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噪声</w:t>
                  </w:r>
                </w:p>
              </w:tc>
              <w:tc>
                <w:tcPr>
                  <w:tcW w:w="403" w:type="pct"/>
                  <w:shd w:val="clear" w:color="auto" w:fill="auto"/>
                  <w:vAlign w:val="center"/>
                </w:tcPr>
                <w:p w14:paraId="6C8223E7">
                  <w:pPr>
                    <w:jc w:val="cente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N</w:t>
                  </w:r>
                </w:p>
              </w:tc>
              <w:tc>
                <w:tcPr>
                  <w:tcW w:w="732" w:type="pct"/>
                  <w:shd w:val="clear" w:color="auto" w:fill="auto"/>
                  <w:vAlign w:val="center"/>
                </w:tcPr>
                <w:p w14:paraId="1DD120EA">
                  <w:pPr>
                    <w:jc w:val="cente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机械设备</w:t>
                  </w:r>
                </w:p>
              </w:tc>
              <w:tc>
                <w:tcPr>
                  <w:tcW w:w="1603" w:type="pct"/>
                  <w:gridSpan w:val="3"/>
                  <w:shd w:val="clear" w:color="auto" w:fill="auto"/>
                  <w:vAlign w:val="center"/>
                </w:tcPr>
                <w:p w14:paraId="18460F13">
                  <w:pPr>
                    <w:jc w:val="cente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设备运转噪声</w:t>
                  </w:r>
                </w:p>
              </w:tc>
              <w:tc>
                <w:tcPr>
                  <w:tcW w:w="1775" w:type="pct"/>
                  <w:gridSpan w:val="2"/>
                  <w:shd w:val="clear" w:color="auto" w:fill="auto"/>
                  <w:vAlign w:val="center"/>
                </w:tcPr>
                <w:p w14:paraId="218335C0">
                  <w:pPr>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高噪声设备加装隔声罩、厂房隔声等</w:t>
                  </w:r>
                </w:p>
              </w:tc>
            </w:tr>
            <w:tr w14:paraId="2E351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4" w:type="pct"/>
                  <w:vMerge w:val="restart"/>
                  <w:shd w:val="clear" w:color="auto" w:fill="auto"/>
                  <w:vAlign w:val="center"/>
                </w:tcPr>
                <w:p w14:paraId="70B49316">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固废</w:t>
                  </w:r>
                </w:p>
              </w:tc>
              <w:tc>
                <w:tcPr>
                  <w:tcW w:w="403" w:type="pct"/>
                  <w:vAlign w:val="center"/>
                </w:tcPr>
                <w:p w14:paraId="57A31A1B">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S1</w:t>
                  </w:r>
                </w:p>
              </w:tc>
              <w:tc>
                <w:tcPr>
                  <w:tcW w:w="732" w:type="pct"/>
                  <w:shd w:val="clear" w:color="auto" w:fill="auto"/>
                  <w:vAlign w:val="center"/>
                </w:tcPr>
                <w:p w14:paraId="343C9359">
                  <w:pPr>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焊接</w:t>
                  </w:r>
                </w:p>
              </w:tc>
              <w:tc>
                <w:tcPr>
                  <w:tcW w:w="950" w:type="pct"/>
                  <w:gridSpan w:val="2"/>
                  <w:shd w:val="clear" w:color="auto" w:fill="auto"/>
                  <w:vAlign w:val="center"/>
                </w:tcPr>
                <w:p w14:paraId="0F094CFC">
                  <w:pPr>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焊渣</w:t>
                  </w:r>
                </w:p>
              </w:tc>
              <w:tc>
                <w:tcPr>
                  <w:tcW w:w="653" w:type="pct"/>
                  <w:vAlign w:val="center"/>
                </w:tcPr>
                <w:p w14:paraId="0D318C6C">
                  <w:pPr>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w:t>
                  </w:r>
                </w:p>
              </w:tc>
              <w:tc>
                <w:tcPr>
                  <w:tcW w:w="1775" w:type="pct"/>
                  <w:gridSpan w:val="2"/>
                  <w:vAlign w:val="center"/>
                </w:tcPr>
                <w:p w14:paraId="35487909">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外售综合利用</w:t>
                  </w:r>
                </w:p>
              </w:tc>
            </w:tr>
            <w:tr w14:paraId="37310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4" w:type="pct"/>
                  <w:vMerge w:val="continue"/>
                  <w:shd w:val="clear" w:color="auto" w:fill="auto"/>
                  <w:vAlign w:val="center"/>
                </w:tcPr>
                <w:p w14:paraId="38C4EEC3">
                  <w:pPr>
                    <w:jc w:val="center"/>
                    <w:rPr>
                      <w:rFonts w:hint="eastAsia" w:ascii="Times New Roman" w:hAnsi="Times New Roman" w:eastAsia="宋体" w:cs="Times New Roman"/>
                      <w:b w:val="0"/>
                      <w:bCs w:val="0"/>
                      <w:color w:val="auto"/>
                      <w:kern w:val="2"/>
                      <w:sz w:val="21"/>
                      <w:szCs w:val="21"/>
                      <w:lang w:val="en-US" w:eastAsia="zh-CN" w:bidi="ar-SA"/>
                    </w:rPr>
                  </w:pPr>
                </w:p>
              </w:tc>
              <w:tc>
                <w:tcPr>
                  <w:tcW w:w="403" w:type="pct"/>
                  <w:vAlign w:val="center"/>
                </w:tcPr>
                <w:p w14:paraId="1B871C19">
                  <w:pPr>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S2</w:t>
                  </w:r>
                </w:p>
              </w:tc>
              <w:tc>
                <w:tcPr>
                  <w:tcW w:w="732" w:type="pct"/>
                  <w:shd w:val="clear" w:color="auto" w:fill="auto"/>
                  <w:vAlign w:val="center"/>
                </w:tcPr>
                <w:p w14:paraId="34466AEE">
                  <w:pPr>
                    <w:jc w:val="cente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擦拭</w:t>
                  </w:r>
                </w:p>
              </w:tc>
              <w:tc>
                <w:tcPr>
                  <w:tcW w:w="950" w:type="pct"/>
                  <w:gridSpan w:val="2"/>
                  <w:shd w:val="clear" w:color="auto" w:fill="auto"/>
                  <w:vAlign w:val="center"/>
                </w:tcPr>
                <w:p w14:paraId="78A4ACE8">
                  <w:pPr>
                    <w:jc w:val="cente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废抹布、手套（含酒精）</w:t>
                  </w:r>
                </w:p>
              </w:tc>
              <w:tc>
                <w:tcPr>
                  <w:tcW w:w="653" w:type="pct"/>
                  <w:vAlign w:val="center"/>
                </w:tcPr>
                <w:p w14:paraId="4BAD6BD1">
                  <w:pPr>
                    <w:jc w:val="center"/>
                    <w:rPr>
                      <w:rFonts w:hint="default"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酒精</w:t>
                  </w:r>
                </w:p>
              </w:tc>
              <w:tc>
                <w:tcPr>
                  <w:tcW w:w="1775" w:type="pct"/>
                  <w:gridSpan w:val="2"/>
                  <w:vAlign w:val="center"/>
                </w:tcPr>
                <w:p w14:paraId="1457B799">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委托有资质单位处置</w:t>
                  </w:r>
                </w:p>
              </w:tc>
            </w:tr>
            <w:tr w14:paraId="620981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84" w:type="pct"/>
                  <w:vMerge w:val="continue"/>
                </w:tcPr>
                <w:p w14:paraId="5E8F604B">
                  <w:pPr>
                    <w:jc w:val="center"/>
                    <w:rPr>
                      <w:rFonts w:hint="eastAsia" w:ascii="Times New Roman" w:hAnsi="Times New Roman" w:eastAsia="宋体" w:cs="Times New Roman"/>
                      <w:b w:val="0"/>
                      <w:bCs w:val="0"/>
                      <w:color w:val="FF0000"/>
                      <w:kern w:val="2"/>
                      <w:sz w:val="21"/>
                      <w:szCs w:val="21"/>
                      <w:lang w:val="en-US" w:eastAsia="zh-CN" w:bidi="ar-SA"/>
                    </w:rPr>
                  </w:pPr>
                </w:p>
              </w:tc>
              <w:tc>
                <w:tcPr>
                  <w:tcW w:w="0" w:type="auto"/>
                </w:tcPr>
                <w:p w14:paraId="029CB1F7">
                  <w:pPr>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S3</w:t>
                  </w:r>
                </w:p>
              </w:tc>
              <w:tc>
                <w:tcPr>
                  <w:tcW w:w="0" w:type="auto"/>
                  <w:shd w:val="clear" w:color="auto" w:fill="auto"/>
                  <w:vAlign w:val="center"/>
                </w:tcPr>
                <w:p w14:paraId="5F36B1AA">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废气处理</w:t>
                  </w:r>
                </w:p>
              </w:tc>
              <w:tc>
                <w:tcPr>
                  <w:tcW w:w="0" w:type="auto"/>
                  <w:gridSpan w:val="2"/>
                  <w:shd w:val="clear" w:color="auto" w:fill="auto"/>
                  <w:vAlign w:val="center"/>
                </w:tcPr>
                <w:p w14:paraId="236515F5">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废活性炭</w:t>
                  </w:r>
                </w:p>
              </w:tc>
              <w:tc>
                <w:tcPr>
                  <w:tcW w:w="653" w:type="pct"/>
                  <w:shd w:val="clear" w:color="auto" w:fill="auto"/>
                  <w:vAlign w:val="center"/>
                </w:tcPr>
                <w:p w14:paraId="110021CA">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有机废气</w:t>
                  </w:r>
                </w:p>
              </w:tc>
              <w:tc>
                <w:tcPr>
                  <w:tcW w:w="1775" w:type="pct"/>
                  <w:gridSpan w:val="2"/>
                </w:tcPr>
                <w:p w14:paraId="7C7D34FD">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委托有资质单位处置</w:t>
                  </w:r>
                </w:p>
              </w:tc>
            </w:tr>
            <w:tr w14:paraId="60586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84" w:type="pct"/>
                  <w:vMerge w:val="continue"/>
                </w:tcPr>
                <w:p w14:paraId="5FB55E3F">
                  <w:pPr>
                    <w:jc w:val="center"/>
                    <w:rPr>
                      <w:rFonts w:hint="eastAsia" w:ascii="Times New Roman" w:hAnsi="Times New Roman" w:eastAsia="宋体" w:cs="Times New Roman"/>
                      <w:b w:val="0"/>
                      <w:bCs w:val="0"/>
                      <w:color w:val="FF0000"/>
                      <w:kern w:val="2"/>
                      <w:sz w:val="21"/>
                      <w:szCs w:val="21"/>
                      <w:lang w:val="en-US" w:eastAsia="zh-CN" w:bidi="ar-SA"/>
                    </w:rPr>
                  </w:pPr>
                </w:p>
              </w:tc>
              <w:tc>
                <w:tcPr>
                  <w:tcW w:w="0" w:type="auto"/>
                </w:tcPr>
                <w:p w14:paraId="7F170206">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S</w:t>
                  </w:r>
                  <w:r>
                    <w:rPr>
                      <w:rFonts w:hint="eastAsia" w:cs="Times New Roman"/>
                      <w:b w:val="0"/>
                      <w:bCs w:val="0"/>
                      <w:color w:val="auto"/>
                      <w:kern w:val="2"/>
                      <w:sz w:val="21"/>
                      <w:szCs w:val="21"/>
                      <w:lang w:val="en-US" w:eastAsia="zh-CN" w:bidi="ar-SA"/>
                    </w:rPr>
                    <w:t>4</w:t>
                  </w:r>
                </w:p>
              </w:tc>
              <w:tc>
                <w:tcPr>
                  <w:tcW w:w="0" w:type="auto"/>
                  <w:shd w:val="clear" w:color="auto" w:fill="auto"/>
                  <w:vAlign w:val="center"/>
                </w:tcPr>
                <w:p w14:paraId="03C6D784">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废气处理</w:t>
                  </w:r>
                </w:p>
              </w:tc>
              <w:tc>
                <w:tcPr>
                  <w:tcW w:w="0" w:type="auto"/>
                  <w:gridSpan w:val="2"/>
                  <w:shd w:val="clear" w:color="auto" w:fill="auto"/>
                  <w:vAlign w:val="center"/>
                </w:tcPr>
                <w:p w14:paraId="21283483">
                  <w:pPr>
                    <w:jc w:val="center"/>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废滤芯</w:t>
                  </w:r>
                </w:p>
              </w:tc>
              <w:tc>
                <w:tcPr>
                  <w:tcW w:w="653" w:type="pct"/>
                  <w:shd w:val="clear" w:color="auto" w:fill="auto"/>
                  <w:vAlign w:val="center"/>
                </w:tcPr>
                <w:p w14:paraId="33FF8C33">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w:t>
                  </w:r>
                </w:p>
              </w:tc>
              <w:tc>
                <w:tcPr>
                  <w:tcW w:w="1775" w:type="pct"/>
                  <w:gridSpan w:val="2"/>
                </w:tcPr>
                <w:p w14:paraId="47B103E1">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外售综合利用</w:t>
                  </w:r>
                </w:p>
              </w:tc>
            </w:tr>
            <w:tr w14:paraId="7C2EE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4" w:type="pct"/>
                  <w:vMerge w:val="continue"/>
                </w:tcPr>
                <w:p w14:paraId="7C73B2F7">
                  <w:pPr>
                    <w:jc w:val="center"/>
                    <w:rPr>
                      <w:rFonts w:hint="eastAsia" w:ascii="Times New Roman" w:hAnsi="Times New Roman" w:eastAsia="宋体" w:cs="Times New Roman"/>
                      <w:b w:val="0"/>
                      <w:bCs w:val="0"/>
                      <w:color w:val="FF0000"/>
                      <w:kern w:val="2"/>
                      <w:sz w:val="21"/>
                      <w:szCs w:val="21"/>
                      <w:lang w:val="en-US" w:eastAsia="zh-CN" w:bidi="ar-SA"/>
                    </w:rPr>
                  </w:pPr>
                </w:p>
              </w:tc>
              <w:tc>
                <w:tcPr>
                  <w:tcW w:w="0" w:type="auto"/>
                </w:tcPr>
                <w:p w14:paraId="00DB9420">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S</w:t>
                  </w:r>
                  <w:r>
                    <w:rPr>
                      <w:rFonts w:hint="eastAsia" w:cs="Times New Roman"/>
                      <w:b w:val="0"/>
                      <w:bCs w:val="0"/>
                      <w:color w:val="auto"/>
                      <w:kern w:val="2"/>
                      <w:sz w:val="21"/>
                      <w:szCs w:val="21"/>
                      <w:lang w:val="en-US" w:eastAsia="zh-CN" w:bidi="ar-SA"/>
                    </w:rPr>
                    <w:t>5</w:t>
                  </w:r>
                </w:p>
              </w:tc>
              <w:tc>
                <w:tcPr>
                  <w:tcW w:w="0" w:type="auto"/>
                  <w:shd w:val="clear" w:color="auto" w:fill="auto"/>
                  <w:vAlign w:val="center"/>
                </w:tcPr>
                <w:p w14:paraId="59A54CC9">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原料包装</w:t>
                  </w:r>
                </w:p>
              </w:tc>
              <w:tc>
                <w:tcPr>
                  <w:tcW w:w="0" w:type="auto"/>
                  <w:gridSpan w:val="2"/>
                  <w:shd w:val="clear" w:color="auto" w:fill="auto"/>
                  <w:vAlign w:val="center"/>
                </w:tcPr>
                <w:p w14:paraId="2573461B">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废包装容器</w:t>
                  </w:r>
                </w:p>
              </w:tc>
              <w:tc>
                <w:tcPr>
                  <w:tcW w:w="653" w:type="pct"/>
                  <w:shd w:val="clear" w:color="auto" w:fill="auto"/>
                  <w:vAlign w:val="center"/>
                </w:tcPr>
                <w:p w14:paraId="26B9F3AC">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矿物油</w:t>
                  </w:r>
                </w:p>
              </w:tc>
              <w:tc>
                <w:tcPr>
                  <w:tcW w:w="1775" w:type="pct"/>
                  <w:gridSpan w:val="2"/>
                </w:tcPr>
                <w:p w14:paraId="7B1B93CB">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委托有资质单位处置</w:t>
                  </w:r>
                </w:p>
              </w:tc>
            </w:tr>
            <w:tr w14:paraId="58360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84" w:type="pct"/>
                  <w:vMerge w:val="continue"/>
                </w:tcPr>
                <w:p w14:paraId="13F556B6">
                  <w:pPr>
                    <w:jc w:val="center"/>
                    <w:rPr>
                      <w:rFonts w:hint="eastAsia" w:ascii="Times New Roman" w:hAnsi="Times New Roman" w:eastAsia="宋体" w:cs="Times New Roman"/>
                      <w:b w:val="0"/>
                      <w:bCs w:val="0"/>
                      <w:color w:val="FF0000"/>
                      <w:kern w:val="2"/>
                      <w:sz w:val="21"/>
                      <w:szCs w:val="21"/>
                      <w:lang w:val="en-US" w:eastAsia="zh-CN" w:bidi="ar-SA"/>
                    </w:rPr>
                  </w:pPr>
                </w:p>
              </w:tc>
              <w:tc>
                <w:tcPr>
                  <w:tcW w:w="0" w:type="auto"/>
                  <w:shd w:val="clear" w:color="auto" w:fill="auto"/>
                  <w:vAlign w:val="center"/>
                </w:tcPr>
                <w:p w14:paraId="159C4364">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w:t>
                  </w:r>
                </w:p>
              </w:tc>
              <w:tc>
                <w:tcPr>
                  <w:tcW w:w="0" w:type="auto"/>
                  <w:shd w:val="clear" w:color="auto" w:fill="auto"/>
                  <w:vAlign w:val="center"/>
                </w:tcPr>
                <w:p w14:paraId="1443DB2F">
                  <w:pPr>
                    <w:pStyle w:val="101"/>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办公、生活</w:t>
                  </w:r>
                </w:p>
              </w:tc>
              <w:tc>
                <w:tcPr>
                  <w:tcW w:w="0" w:type="auto"/>
                  <w:gridSpan w:val="2"/>
                  <w:shd w:val="clear" w:color="auto" w:fill="auto"/>
                  <w:vAlign w:val="center"/>
                </w:tcPr>
                <w:p w14:paraId="7FB94375">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生活垃圾</w:t>
                  </w:r>
                </w:p>
              </w:tc>
              <w:tc>
                <w:tcPr>
                  <w:tcW w:w="653" w:type="pct"/>
                </w:tcPr>
                <w:p w14:paraId="0DF983BD">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w:t>
                  </w:r>
                </w:p>
              </w:tc>
              <w:tc>
                <w:tcPr>
                  <w:tcW w:w="1775" w:type="pct"/>
                  <w:gridSpan w:val="2"/>
                </w:tcPr>
                <w:p w14:paraId="4371226C">
                  <w:pPr>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环卫部门统一清运</w:t>
                  </w:r>
                </w:p>
              </w:tc>
            </w:tr>
          </w:tbl>
          <w:p w14:paraId="52FE1F06">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both"/>
              <w:textAlignment w:val="auto"/>
              <w:rPr>
                <w:rFonts w:hint="default"/>
                <w:color w:val="FF0000"/>
                <w:lang w:val="en-US" w:eastAsia="zh-CN"/>
              </w:rPr>
            </w:pPr>
          </w:p>
        </w:tc>
      </w:tr>
      <w:tr w14:paraId="2212B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97" w:hRule="atLeast"/>
          <w:jc w:val="center"/>
        </w:trPr>
        <w:tc>
          <w:tcPr>
            <w:tcW w:w="451" w:type="dxa"/>
            <w:vAlign w:val="center"/>
          </w:tcPr>
          <w:p w14:paraId="297C4321">
            <w:pPr>
              <w:pStyle w:val="32"/>
              <w:adjustRightInd w:val="0"/>
              <w:snapToGrid w:val="0"/>
              <w:spacing w:before="0" w:beforeAutospacing="0" w:after="0" w:afterAutospacing="0"/>
              <w:jc w:val="center"/>
              <w:rPr>
                <w:b/>
                <w:bCs/>
                <w:color w:val="FF0000"/>
                <w:sz w:val="21"/>
                <w:szCs w:val="21"/>
              </w:rPr>
            </w:pPr>
            <w:r>
              <w:rPr>
                <w:rFonts w:hint="eastAsia"/>
                <w:b/>
                <w:bCs/>
                <w:color w:val="auto"/>
                <w:kern w:val="2"/>
                <w:sz w:val="24"/>
                <w:szCs w:val="24"/>
              </w:rPr>
              <w:t>与项目有关的原有环境污染问题</w:t>
            </w:r>
          </w:p>
        </w:tc>
        <w:tc>
          <w:tcPr>
            <w:tcW w:w="8513" w:type="dxa"/>
          </w:tcPr>
          <w:p w14:paraId="1FB63A8E">
            <w:pPr>
              <w:spacing w:line="360" w:lineRule="auto"/>
              <w:ind w:firstLine="480"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（1）原有污染情况</w:t>
            </w:r>
          </w:p>
          <w:p w14:paraId="04114C18">
            <w:pPr>
              <w:spacing w:line="360" w:lineRule="auto"/>
              <w:ind w:firstLine="480" w:firstLineChars="200"/>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本项目为</w:t>
            </w:r>
            <w:r>
              <w:rPr>
                <w:rFonts w:hint="eastAsia" w:ascii="Times New Roman" w:hAnsi="Times New Roman" w:eastAsia="宋体" w:cs="宋体"/>
                <w:color w:val="auto"/>
                <w:sz w:val="24"/>
                <w:szCs w:val="24"/>
                <w:lang w:val="en-US" w:eastAsia="zh-CN"/>
              </w:rPr>
              <w:t>新建</w:t>
            </w:r>
            <w:r>
              <w:rPr>
                <w:rFonts w:hint="eastAsia" w:ascii="Times New Roman" w:hAnsi="Times New Roman" w:eastAsia="宋体" w:cs="宋体"/>
                <w:color w:val="auto"/>
                <w:sz w:val="24"/>
                <w:szCs w:val="24"/>
              </w:rPr>
              <w:t>项目，</w:t>
            </w:r>
            <w:r>
              <w:rPr>
                <w:rFonts w:hint="eastAsia" w:ascii="Times New Roman" w:hAnsi="Times New Roman" w:eastAsia="宋体" w:cs="宋体"/>
                <w:color w:val="auto"/>
                <w:sz w:val="24"/>
                <w:szCs w:val="24"/>
                <w:lang w:val="en-US" w:eastAsia="zh-CN"/>
              </w:rPr>
              <w:t>租用中瑞（常州）国际合作产业园生产厂房（5幢1号），该园区由常州上鸿科技服务有限公司负责运营管理，厂房自建成后闲置至今，</w:t>
            </w:r>
            <w:r>
              <w:rPr>
                <w:rFonts w:hint="default" w:ascii="Times New Roman" w:hAnsi="Times New Roman" w:eastAsia="宋体" w:cs="宋体"/>
                <w:color w:val="auto"/>
                <w:sz w:val="24"/>
                <w:szCs w:val="24"/>
              </w:rPr>
              <w:t>目前尚未有企业正式入驻，不涉及危化品，不存在原有污染情况及环境问题。</w:t>
            </w:r>
          </w:p>
          <w:p w14:paraId="10CAC95B">
            <w:pPr>
              <w:spacing w:line="360" w:lineRule="auto"/>
              <w:ind w:firstLine="480" w:firstLineChars="20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lang w:val="en-US" w:eastAsia="zh-CN"/>
              </w:rPr>
              <w:t>2</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本项目与</w:t>
            </w:r>
            <w:r>
              <w:rPr>
                <w:rFonts w:hint="eastAsia" w:ascii="Times New Roman" w:hAnsi="Times New Roman" w:eastAsia="宋体" w:cs="宋体"/>
                <w:color w:val="auto"/>
                <w:sz w:val="24"/>
                <w:szCs w:val="24"/>
                <w:lang w:val="en-US" w:eastAsia="zh-CN"/>
              </w:rPr>
              <w:t>中瑞（常州）国际合作产业园</w:t>
            </w:r>
            <w:r>
              <w:rPr>
                <w:rFonts w:hint="eastAsia" w:ascii="Times New Roman" w:hAnsi="Times New Roman" w:eastAsia="宋体" w:cs="宋体"/>
                <w:color w:val="auto"/>
                <w:sz w:val="24"/>
                <w:szCs w:val="24"/>
              </w:rPr>
              <w:t>依托关系</w:t>
            </w:r>
          </w:p>
          <w:p w14:paraId="155EDEE4">
            <w:pPr>
              <w:spacing w:line="360" w:lineRule="auto"/>
              <w:ind w:firstLine="480" w:firstLineChars="200"/>
              <w:rPr>
                <w:color w:val="auto"/>
                <w:sz w:val="24"/>
                <w:szCs w:val="24"/>
              </w:rPr>
            </w:pPr>
            <w:r>
              <w:rPr>
                <w:rFonts w:hint="eastAsia" w:ascii="Times New Roman" w:hAnsi="Times New Roman" w:eastAsia="宋体" w:cs="宋体"/>
                <w:color w:val="auto"/>
                <w:sz w:val="24"/>
                <w:szCs w:val="24"/>
              </w:rPr>
              <w:t>本项目租用</w:t>
            </w:r>
            <w:r>
              <w:rPr>
                <w:rFonts w:hint="eastAsia" w:ascii="Times New Roman" w:hAnsi="Times New Roman" w:eastAsia="宋体" w:cs="宋体"/>
                <w:color w:val="auto"/>
                <w:sz w:val="24"/>
                <w:szCs w:val="24"/>
                <w:lang w:val="en-US" w:eastAsia="zh-CN"/>
              </w:rPr>
              <w:t>常州上鸿科技服务有限公司</w:t>
            </w:r>
            <w:r>
              <w:rPr>
                <w:rFonts w:hint="eastAsia" w:cs="宋体"/>
                <w:color w:val="auto"/>
                <w:sz w:val="24"/>
                <w:szCs w:val="24"/>
                <w:lang w:val="en-US" w:eastAsia="zh-CN"/>
              </w:rPr>
              <w:t>管理的</w:t>
            </w:r>
            <w:r>
              <w:rPr>
                <w:rFonts w:hint="eastAsia" w:ascii="Times New Roman" w:hAnsi="Times New Roman" w:eastAsia="宋体" w:cs="宋体"/>
                <w:color w:val="auto"/>
                <w:sz w:val="24"/>
                <w:szCs w:val="24"/>
                <w:lang w:val="en-US" w:eastAsia="zh-CN"/>
              </w:rPr>
              <w:t>中瑞（常州）国际合作产业园厂房（5幢1号）</w:t>
            </w:r>
            <w:r>
              <w:rPr>
                <w:rFonts w:hint="eastAsia" w:cs="宋体"/>
                <w:color w:val="auto"/>
                <w:sz w:val="24"/>
                <w:szCs w:val="24"/>
              </w:rPr>
              <w:t>，</w:t>
            </w:r>
            <w:r>
              <w:rPr>
                <w:rFonts w:hint="eastAsia" w:ascii="Times New Roman" w:hAnsi="Times New Roman" w:eastAsia="宋体" w:cs="宋体"/>
                <w:color w:val="auto"/>
                <w:sz w:val="24"/>
                <w:szCs w:val="24"/>
                <w:lang w:val="en-US" w:eastAsia="zh-CN"/>
              </w:rPr>
              <w:t>中瑞（常州）国际合作产业园</w:t>
            </w:r>
            <w:r>
              <w:rPr>
                <w:rFonts w:hint="eastAsia" w:cs="宋体"/>
                <w:color w:val="auto"/>
                <w:sz w:val="24"/>
                <w:szCs w:val="24"/>
              </w:rPr>
              <w:t>已按照</w:t>
            </w:r>
            <w:r>
              <w:rPr>
                <w:rFonts w:hint="eastAsia"/>
                <w:color w:val="auto"/>
                <w:sz w:val="24"/>
                <w:szCs w:val="24"/>
                <w:lang w:eastAsia="zh-CN"/>
              </w:rPr>
              <w:t>“</w:t>
            </w:r>
            <w:r>
              <w:rPr>
                <w:rFonts w:hint="eastAsia" w:cs="宋体"/>
                <w:color w:val="auto"/>
                <w:sz w:val="24"/>
                <w:szCs w:val="24"/>
              </w:rPr>
              <w:t>雨污分流</w:t>
            </w:r>
            <w:r>
              <w:rPr>
                <w:rFonts w:hint="eastAsia" w:cs="宋体"/>
                <w:color w:val="auto"/>
                <w:sz w:val="24"/>
                <w:szCs w:val="24"/>
                <w:lang w:eastAsia="zh-CN"/>
              </w:rPr>
              <w:t>”</w:t>
            </w:r>
            <w:r>
              <w:rPr>
                <w:rFonts w:hint="eastAsia" w:cs="宋体"/>
                <w:color w:val="auto"/>
                <w:sz w:val="24"/>
                <w:szCs w:val="24"/>
              </w:rPr>
              <w:t>的原则进行建设，设置一个生活污水接管口和一个雨水排口。经与</w:t>
            </w:r>
            <w:r>
              <w:rPr>
                <w:rFonts w:hint="eastAsia" w:cs="宋体"/>
                <w:color w:val="auto"/>
                <w:sz w:val="24"/>
                <w:szCs w:val="24"/>
                <w:lang w:val="en-US" w:eastAsia="zh-CN"/>
              </w:rPr>
              <w:t>企业</w:t>
            </w:r>
            <w:r>
              <w:rPr>
                <w:rFonts w:hint="eastAsia" w:cs="宋体"/>
                <w:color w:val="auto"/>
                <w:sz w:val="24"/>
                <w:szCs w:val="24"/>
              </w:rPr>
              <w:t>核实，本项目与其依托关系如下：</w:t>
            </w:r>
          </w:p>
          <w:p w14:paraId="0CFA4B2D">
            <w:pPr>
              <w:spacing w:line="360" w:lineRule="auto"/>
              <w:ind w:firstLine="480" w:firstLineChars="200"/>
              <w:rPr>
                <w:rFonts w:hint="default" w:eastAsia="宋体" w:cs="宋体"/>
                <w:color w:val="auto"/>
                <w:sz w:val="24"/>
                <w:szCs w:val="24"/>
                <w:lang w:val="en-US" w:eastAsia="zh-CN"/>
              </w:rPr>
            </w:pPr>
            <w:r>
              <w:rPr>
                <w:rFonts w:hint="eastAsia" w:cs="宋体"/>
                <w:color w:val="auto"/>
                <w:sz w:val="24"/>
                <w:szCs w:val="24"/>
              </w:rPr>
              <w:t>①本项目不设食堂、宿舍和浴室，员工生活污水依托</w:t>
            </w:r>
            <w:r>
              <w:rPr>
                <w:rFonts w:hint="eastAsia" w:cs="宋体"/>
                <w:color w:val="auto"/>
                <w:sz w:val="24"/>
                <w:szCs w:val="24"/>
                <w:lang w:val="en-US" w:eastAsia="zh-CN"/>
              </w:rPr>
              <w:t>园区</w:t>
            </w:r>
            <w:r>
              <w:rPr>
                <w:rFonts w:hint="eastAsia" w:cs="宋体"/>
                <w:color w:val="auto"/>
                <w:sz w:val="24"/>
                <w:szCs w:val="24"/>
              </w:rPr>
              <w:t>现有化粪池预处理后接入市政污水管网，最终排入</w:t>
            </w:r>
            <w:r>
              <w:rPr>
                <w:rFonts w:hint="eastAsia"/>
                <w:color w:val="auto"/>
                <w:kern w:val="0"/>
                <w:sz w:val="24"/>
                <w:lang w:eastAsia="zh-CN"/>
              </w:rPr>
              <w:t>常州市江边污水处理厂</w:t>
            </w:r>
            <w:r>
              <w:rPr>
                <w:rFonts w:hint="eastAsia" w:cs="宋体"/>
                <w:color w:val="auto"/>
                <w:sz w:val="24"/>
                <w:szCs w:val="24"/>
              </w:rPr>
              <w:t>集中处理。经核实</w:t>
            </w:r>
            <w:r>
              <w:rPr>
                <w:rFonts w:hint="eastAsia" w:ascii="Times New Roman" w:hAnsi="Times New Roman" w:eastAsia="宋体" w:cs="宋体"/>
                <w:color w:val="auto"/>
                <w:sz w:val="24"/>
                <w:szCs w:val="24"/>
                <w:lang w:val="en-US" w:eastAsia="zh-CN"/>
              </w:rPr>
              <w:t>中瑞（常州）国际合作产业园</w:t>
            </w:r>
            <w:r>
              <w:rPr>
                <w:rFonts w:hint="eastAsia" w:cs="宋体"/>
                <w:color w:val="auto"/>
                <w:sz w:val="24"/>
                <w:szCs w:val="24"/>
              </w:rPr>
              <w:t>排水实行雨污分流，全厂设一个污水接管口和一个雨水排放口。本项目不增设雨水管网</w:t>
            </w:r>
            <w:r>
              <w:rPr>
                <w:rFonts w:hint="eastAsia" w:eastAsia="宋体" w:cs="宋体"/>
                <w:color w:val="auto"/>
                <w:sz w:val="24"/>
                <w:szCs w:val="24"/>
              </w:rPr>
              <w:t>及雨水排口，依托</w:t>
            </w:r>
            <w:r>
              <w:rPr>
                <w:rFonts w:hint="eastAsia" w:cs="宋体"/>
                <w:color w:val="auto"/>
                <w:sz w:val="24"/>
                <w:szCs w:val="24"/>
                <w:lang w:val="en-US" w:eastAsia="zh-CN"/>
              </w:rPr>
              <w:t>园区</w:t>
            </w:r>
            <w:r>
              <w:rPr>
                <w:rFonts w:hint="eastAsia" w:eastAsia="宋体" w:cs="宋体"/>
                <w:color w:val="auto"/>
                <w:sz w:val="24"/>
                <w:szCs w:val="24"/>
              </w:rPr>
              <w:t>已有雨水管网及雨水排口。</w:t>
            </w:r>
          </w:p>
          <w:p w14:paraId="6239FE1D">
            <w:pPr>
              <w:spacing w:line="360" w:lineRule="auto"/>
              <w:ind w:firstLine="480"/>
              <w:rPr>
                <w:rFonts w:hint="eastAsia" w:eastAsia="宋体"/>
                <w:color w:val="auto"/>
                <w:sz w:val="24"/>
                <w:szCs w:val="24"/>
                <w:lang w:val="en-US" w:eastAsia="zh-CN"/>
              </w:rPr>
            </w:pPr>
            <w:r>
              <w:rPr>
                <w:rFonts w:hint="eastAsia" w:ascii="Times New Roman" w:hAnsi="Times New Roman" w:eastAsia="宋体" w:cs="宋体"/>
                <w:color w:val="auto"/>
                <w:kern w:val="2"/>
                <w:sz w:val="24"/>
                <w:szCs w:val="24"/>
                <w:lang w:val="en-US" w:eastAsia="zh-CN" w:bidi="ar-SA"/>
              </w:rPr>
              <w:t>②</w:t>
            </w:r>
            <w:r>
              <w:rPr>
                <w:rFonts w:hint="eastAsia" w:cs="宋体"/>
                <w:color w:val="auto"/>
                <w:sz w:val="24"/>
                <w:szCs w:val="24"/>
                <w:lang w:val="en-US" w:eastAsia="zh-CN"/>
              </w:rPr>
              <w:t>本项目事故废水依托园区</w:t>
            </w:r>
            <w:r>
              <w:rPr>
                <w:color w:val="auto"/>
                <w:sz w:val="24"/>
                <w:szCs w:val="24"/>
              </w:rPr>
              <w:t>已设置</w:t>
            </w:r>
            <w:r>
              <w:rPr>
                <w:rFonts w:hint="eastAsia"/>
                <w:color w:val="auto"/>
                <w:sz w:val="24"/>
                <w:szCs w:val="24"/>
                <w:lang w:val="en-US" w:eastAsia="zh-CN"/>
              </w:rPr>
              <w:t>的两</w:t>
            </w:r>
            <w:r>
              <w:rPr>
                <w:color w:val="auto"/>
                <w:sz w:val="24"/>
                <w:szCs w:val="24"/>
              </w:rPr>
              <w:t>座</w:t>
            </w:r>
            <w:r>
              <w:rPr>
                <w:rFonts w:hint="eastAsia"/>
                <w:color w:val="auto"/>
                <w:sz w:val="24"/>
                <w:szCs w:val="24"/>
                <w:lang w:val="en-US" w:eastAsia="zh-CN"/>
              </w:rPr>
              <w:t>30</w:t>
            </w:r>
            <w:r>
              <w:rPr>
                <w:rFonts w:hint="eastAsia"/>
                <w:color w:val="auto"/>
                <w:sz w:val="24"/>
                <w:szCs w:val="24"/>
              </w:rPr>
              <w:t>0</w:t>
            </w:r>
            <w:r>
              <w:rPr>
                <w:color w:val="auto"/>
                <w:sz w:val="24"/>
                <w:szCs w:val="24"/>
              </w:rPr>
              <w:t>m</w:t>
            </w:r>
            <w:r>
              <w:rPr>
                <w:rFonts w:hint="eastAsia"/>
                <w:color w:val="auto"/>
                <w:sz w:val="24"/>
                <w:szCs w:val="24"/>
                <w:vertAlign w:val="superscript"/>
              </w:rPr>
              <w:t>3</w:t>
            </w:r>
            <w:r>
              <w:rPr>
                <w:color w:val="auto"/>
                <w:sz w:val="24"/>
                <w:szCs w:val="24"/>
              </w:rPr>
              <w:t>事故应急池</w:t>
            </w:r>
            <w:r>
              <w:rPr>
                <w:rFonts w:hint="eastAsia"/>
                <w:color w:val="auto"/>
                <w:sz w:val="24"/>
                <w:szCs w:val="24"/>
                <w:lang w:eastAsia="zh-CN"/>
              </w:rPr>
              <w:t>（</w:t>
            </w:r>
            <w:r>
              <w:rPr>
                <w:rFonts w:hint="eastAsia"/>
                <w:color w:val="auto"/>
                <w:sz w:val="24"/>
                <w:szCs w:val="24"/>
                <w:lang w:val="en-US" w:eastAsia="zh-CN"/>
              </w:rPr>
              <w:t>合计600m</w:t>
            </w:r>
            <w:r>
              <w:rPr>
                <w:rFonts w:hint="eastAsia"/>
                <w:color w:val="auto"/>
                <w:sz w:val="24"/>
                <w:szCs w:val="24"/>
                <w:vertAlign w:val="superscript"/>
                <w:lang w:val="en-US" w:eastAsia="zh-CN"/>
              </w:rPr>
              <w:t>3</w:t>
            </w:r>
            <w:r>
              <w:rPr>
                <w:rFonts w:hint="eastAsia"/>
                <w:color w:val="auto"/>
                <w:sz w:val="24"/>
                <w:szCs w:val="24"/>
                <w:lang w:eastAsia="zh-CN"/>
              </w:rPr>
              <w:t>）</w:t>
            </w:r>
            <w:r>
              <w:rPr>
                <w:color w:val="auto"/>
                <w:sz w:val="24"/>
                <w:szCs w:val="24"/>
              </w:rPr>
              <w:t>，且与雨水管网接通，并设置有雨水排放口的截流阀，将事故废水截留在收集系统内以待进一步处理。</w:t>
            </w:r>
          </w:p>
          <w:p w14:paraId="5111D246">
            <w:pPr>
              <w:spacing w:line="360" w:lineRule="auto"/>
              <w:ind w:firstLine="480" w:firstLineChars="200"/>
              <w:rPr>
                <w:rFonts w:hint="eastAsia" w:eastAsia="宋体" w:cs="宋体"/>
                <w:color w:val="auto"/>
                <w:sz w:val="24"/>
                <w:szCs w:val="24"/>
                <w:lang w:eastAsia="zh-CN"/>
              </w:rPr>
            </w:pPr>
            <w:r>
              <w:rPr>
                <w:rFonts w:hint="default" w:ascii="Times New Roman" w:hAnsi="Times New Roman" w:eastAsia="宋体" w:cs="宋体"/>
                <w:color w:val="auto"/>
                <w:kern w:val="2"/>
                <w:sz w:val="24"/>
                <w:szCs w:val="24"/>
                <w:lang w:val="en-US" w:eastAsia="zh-CN" w:bidi="ar-SA"/>
              </w:rPr>
              <w:t>③</w:t>
            </w:r>
            <w:r>
              <w:rPr>
                <w:rFonts w:hint="eastAsia" w:eastAsia="宋体" w:cs="宋体"/>
                <w:color w:val="auto"/>
                <w:sz w:val="24"/>
                <w:szCs w:val="24"/>
              </w:rPr>
              <w:t>本项目供水、供电等基础设施均依托</w:t>
            </w:r>
            <w:r>
              <w:rPr>
                <w:rFonts w:hint="eastAsia" w:ascii="Times New Roman" w:hAnsi="Times New Roman" w:eastAsia="宋体" w:cs="宋体"/>
                <w:color w:val="auto"/>
                <w:sz w:val="24"/>
                <w:szCs w:val="24"/>
                <w:lang w:val="en-US" w:eastAsia="zh-CN"/>
              </w:rPr>
              <w:t>中瑞（常州）国际合作产业园</w:t>
            </w:r>
            <w:r>
              <w:rPr>
                <w:rFonts w:hint="eastAsia" w:eastAsia="宋体" w:cs="宋体"/>
                <w:color w:val="auto"/>
                <w:sz w:val="24"/>
                <w:szCs w:val="24"/>
                <w:lang w:eastAsia="zh-CN"/>
              </w:rPr>
              <w:t>。</w:t>
            </w:r>
          </w:p>
          <w:p w14:paraId="6EAD4154">
            <w:pPr>
              <w:spacing w:line="360" w:lineRule="auto"/>
              <w:ind w:firstLine="480" w:firstLineChars="200"/>
              <w:rPr>
                <w:rFonts w:hint="eastAsia" w:eastAsia="宋体" w:cs="宋体"/>
                <w:color w:val="auto"/>
                <w:sz w:val="24"/>
                <w:szCs w:val="24"/>
              </w:rPr>
            </w:pPr>
            <w:r>
              <w:rPr>
                <w:rFonts w:hint="eastAsia" w:eastAsia="宋体" w:cs="宋体"/>
                <w:color w:val="auto"/>
                <w:sz w:val="24"/>
                <w:szCs w:val="24"/>
              </w:rPr>
              <w:t>（</w:t>
            </w:r>
            <w:r>
              <w:rPr>
                <w:rFonts w:hint="eastAsia" w:eastAsia="宋体" w:cs="宋体"/>
                <w:color w:val="auto"/>
                <w:sz w:val="24"/>
                <w:szCs w:val="24"/>
                <w:lang w:val="en-US" w:eastAsia="zh-CN"/>
              </w:rPr>
              <w:t>3</w:t>
            </w:r>
            <w:r>
              <w:rPr>
                <w:rFonts w:hint="eastAsia" w:eastAsia="宋体" w:cs="宋体"/>
                <w:color w:val="auto"/>
                <w:sz w:val="24"/>
                <w:szCs w:val="24"/>
              </w:rPr>
              <w:t>）本项目与</w:t>
            </w:r>
            <w:r>
              <w:rPr>
                <w:rFonts w:hint="eastAsia" w:ascii="Times New Roman" w:hAnsi="Times New Roman" w:eastAsia="宋体" w:cs="宋体"/>
                <w:color w:val="auto"/>
                <w:sz w:val="24"/>
                <w:szCs w:val="24"/>
                <w:lang w:val="en-US" w:eastAsia="zh-CN"/>
              </w:rPr>
              <w:t>中瑞（常州）国际合作产业园</w:t>
            </w:r>
            <w:r>
              <w:rPr>
                <w:rFonts w:hint="eastAsia" w:eastAsia="宋体" w:cs="宋体"/>
                <w:color w:val="auto"/>
                <w:sz w:val="24"/>
                <w:szCs w:val="24"/>
                <w:lang w:val="en-US" w:eastAsia="zh-CN"/>
              </w:rPr>
              <w:t>环保责任分割</w:t>
            </w:r>
            <w:r>
              <w:rPr>
                <w:rFonts w:hint="eastAsia" w:eastAsia="宋体" w:cs="宋体"/>
                <w:color w:val="auto"/>
                <w:sz w:val="24"/>
                <w:szCs w:val="24"/>
              </w:rPr>
              <w:t>关系</w:t>
            </w:r>
          </w:p>
          <w:p w14:paraId="6C4382A3">
            <w:pPr>
              <w:spacing w:line="360" w:lineRule="auto"/>
              <w:ind w:firstLine="480" w:firstLineChars="200"/>
              <w:rPr>
                <w:rFonts w:hint="eastAsia" w:eastAsia="宋体" w:cs="宋体"/>
                <w:color w:val="auto"/>
                <w:sz w:val="24"/>
                <w:szCs w:val="24"/>
              </w:rPr>
            </w:pPr>
            <w:r>
              <w:rPr>
                <w:rFonts w:hint="eastAsia" w:eastAsia="宋体" w:cs="宋体"/>
                <w:color w:val="auto"/>
                <w:sz w:val="24"/>
                <w:szCs w:val="24"/>
              </w:rPr>
              <w:t>出租方</w:t>
            </w:r>
            <w:r>
              <w:rPr>
                <w:rFonts w:hint="eastAsia" w:ascii="Times New Roman" w:hAnsi="Times New Roman" w:eastAsia="宋体" w:cs="宋体"/>
                <w:color w:val="auto"/>
                <w:sz w:val="24"/>
                <w:szCs w:val="24"/>
                <w:lang w:val="en-US" w:eastAsia="zh-CN"/>
              </w:rPr>
              <w:t>中瑞（常州）国际合作产业园</w:t>
            </w:r>
            <w:r>
              <w:rPr>
                <w:rFonts w:hint="eastAsia" w:eastAsia="宋体" w:cs="宋体"/>
                <w:color w:val="auto"/>
                <w:sz w:val="24"/>
                <w:szCs w:val="24"/>
              </w:rPr>
              <w:t>所在地具备</w:t>
            </w:r>
            <w:r>
              <w:rPr>
                <w:rFonts w:hint="eastAsia" w:eastAsia="宋体" w:cs="宋体"/>
                <w:color w:val="auto"/>
                <w:sz w:val="24"/>
                <w:szCs w:val="24"/>
                <w:lang w:val="en-US" w:eastAsia="zh-CN"/>
              </w:rPr>
              <w:t>污水</w:t>
            </w:r>
            <w:r>
              <w:rPr>
                <w:rFonts w:hint="eastAsia" w:eastAsia="宋体" w:cs="宋体"/>
                <w:color w:val="auto"/>
                <w:sz w:val="24"/>
                <w:szCs w:val="24"/>
              </w:rPr>
              <w:t>接管条件，</w:t>
            </w:r>
            <w:r>
              <w:rPr>
                <w:rFonts w:hint="eastAsia" w:eastAsia="宋体" w:cs="宋体"/>
                <w:color w:val="auto"/>
                <w:sz w:val="24"/>
                <w:szCs w:val="24"/>
                <w:lang w:val="en-US" w:eastAsia="zh-CN"/>
              </w:rPr>
              <w:t>污水</w:t>
            </w:r>
            <w:r>
              <w:rPr>
                <w:rFonts w:hint="eastAsia" w:eastAsia="宋体" w:cs="宋体"/>
                <w:color w:val="auto"/>
                <w:sz w:val="24"/>
                <w:szCs w:val="24"/>
              </w:rPr>
              <w:t>管网已铺设到位。本项目</w:t>
            </w:r>
            <w:r>
              <w:rPr>
                <w:rFonts w:hint="eastAsia" w:cs="宋体"/>
                <w:color w:val="auto"/>
                <w:sz w:val="24"/>
                <w:szCs w:val="24"/>
                <w:lang w:eastAsia="zh-CN"/>
              </w:rPr>
              <w:t>无生产废水产生及排放</w:t>
            </w:r>
            <w:r>
              <w:rPr>
                <w:rFonts w:ascii="Times New Roman" w:hAnsi="Times New Roman" w:eastAsia="宋体" w:cs="Times New Roman"/>
                <w:color w:val="auto"/>
                <w:sz w:val="24"/>
              </w:rPr>
              <w:t>，</w:t>
            </w:r>
            <w:r>
              <w:rPr>
                <w:rFonts w:hint="eastAsia" w:eastAsia="宋体" w:cs="宋体"/>
                <w:color w:val="auto"/>
                <w:sz w:val="24"/>
                <w:szCs w:val="24"/>
              </w:rPr>
              <w:t>员工生活污水依托</w:t>
            </w:r>
            <w:r>
              <w:rPr>
                <w:rFonts w:hint="eastAsia" w:cs="宋体"/>
                <w:color w:val="auto"/>
                <w:sz w:val="24"/>
                <w:szCs w:val="24"/>
                <w:lang w:val="en-US" w:eastAsia="zh-CN"/>
              </w:rPr>
              <w:t>园区</w:t>
            </w:r>
            <w:r>
              <w:rPr>
                <w:rFonts w:hint="eastAsia" w:eastAsia="宋体" w:cs="宋体"/>
                <w:color w:val="auto"/>
                <w:sz w:val="24"/>
                <w:szCs w:val="24"/>
              </w:rPr>
              <w:t>现有化粪池预处理达接管要求后，接管排入市政污水管网，最终排入</w:t>
            </w:r>
            <w:r>
              <w:rPr>
                <w:rFonts w:hint="eastAsia"/>
                <w:color w:val="auto"/>
                <w:kern w:val="0"/>
                <w:sz w:val="24"/>
                <w:lang w:eastAsia="zh-CN"/>
              </w:rPr>
              <w:t>常州市江边污水处理厂</w:t>
            </w:r>
            <w:r>
              <w:rPr>
                <w:rFonts w:hint="eastAsia" w:eastAsia="宋体" w:cs="宋体"/>
                <w:color w:val="auto"/>
                <w:sz w:val="24"/>
                <w:szCs w:val="24"/>
              </w:rPr>
              <w:t>集中处理，尾水最终排入</w:t>
            </w:r>
            <w:r>
              <w:rPr>
                <w:rFonts w:hint="eastAsia" w:cs="宋体"/>
                <w:color w:val="auto"/>
                <w:sz w:val="24"/>
                <w:szCs w:val="24"/>
                <w:lang w:val="en-US" w:eastAsia="zh-CN"/>
              </w:rPr>
              <w:t>长江</w:t>
            </w:r>
            <w:r>
              <w:rPr>
                <w:rFonts w:hint="eastAsia" w:eastAsia="宋体" w:cs="宋体"/>
                <w:color w:val="auto"/>
                <w:sz w:val="24"/>
                <w:szCs w:val="24"/>
              </w:rPr>
              <w:t>。一旦发生污染事故，</w:t>
            </w:r>
            <w:r>
              <w:rPr>
                <w:rFonts w:hint="eastAsia" w:eastAsia="宋体" w:cs="宋体"/>
                <w:color w:val="auto"/>
                <w:sz w:val="24"/>
                <w:szCs w:val="24"/>
                <w:lang w:val="en-US" w:eastAsia="zh-CN"/>
              </w:rPr>
              <w:t>根据</w:t>
            </w:r>
            <w:r>
              <w:rPr>
                <w:rFonts w:hint="eastAsia" w:eastAsia="宋体" w:cs="宋体"/>
                <w:color w:val="auto"/>
                <w:sz w:val="24"/>
                <w:szCs w:val="24"/>
              </w:rPr>
              <w:t>调查</w:t>
            </w:r>
            <w:r>
              <w:rPr>
                <w:rFonts w:hint="eastAsia" w:eastAsia="宋体" w:cs="宋体"/>
                <w:color w:val="auto"/>
                <w:sz w:val="24"/>
                <w:szCs w:val="24"/>
                <w:lang w:val="en-US" w:eastAsia="zh-CN"/>
              </w:rPr>
              <w:t>结果确定</w:t>
            </w:r>
            <w:r>
              <w:rPr>
                <w:rFonts w:hint="eastAsia" w:eastAsia="宋体" w:cs="宋体"/>
                <w:color w:val="auto"/>
                <w:sz w:val="24"/>
                <w:szCs w:val="24"/>
              </w:rPr>
              <w:t>事故方，</w:t>
            </w:r>
            <w:r>
              <w:rPr>
                <w:rFonts w:hint="eastAsia" w:eastAsia="宋体" w:cs="宋体"/>
                <w:color w:val="auto"/>
                <w:sz w:val="24"/>
                <w:szCs w:val="24"/>
                <w:lang w:val="en-US" w:eastAsia="zh-CN"/>
              </w:rPr>
              <w:t>若</w:t>
            </w:r>
            <w:r>
              <w:rPr>
                <w:rFonts w:hint="eastAsia" w:eastAsia="宋体" w:cs="宋体"/>
                <w:color w:val="auto"/>
                <w:sz w:val="24"/>
                <w:szCs w:val="24"/>
              </w:rPr>
              <w:t>事故方</w:t>
            </w:r>
            <w:r>
              <w:rPr>
                <w:rFonts w:hint="eastAsia" w:eastAsia="宋体" w:cs="宋体"/>
                <w:color w:val="auto"/>
                <w:sz w:val="24"/>
                <w:szCs w:val="24"/>
                <w:lang w:val="en-US" w:eastAsia="zh-CN"/>
              </w:rPr>
              <w:t>为</w:t>
            </w:r>
            <w:r>
              <w:rPr>
                <w:rFonts w:hint="eastAsia" w:cs="宋体"/>
                <w:color w:val="auto"/>
                <w:sz w:val="24"/>
                <w:szCs w:val="24"/>
                <w:lang w:eastAsia="zh-CN"/>
              </w:rPr>
              <w:t>德采实实验室科技（常州）有限公司</w:t>
            </w:r>
            <w:r>
              <w:rPr>
                <w:rFonts w:hint="eastAsia" w:eastAsia="宋体" w:cs="宋体"/>
                <w:color w:val="auto"/>
                <w:sz w:val="24"/>
                <w:szCs w:val="24"/>
                <w:lang w:eastAsia="zh-CN"/>
              </w:rPr>
              <w:t>，</w:t>
            </w:r>
            <w:r>
              <w:rPr>
                <w:rFonts w:hint="eastAsia" w:eastAsia="宋体" w:cs="宋体"/>
                <w:color w:val="auto"/>
                <w:sz w:val="24"/>
                <w:szCs w:val="24"/>
              </w:rPr>
              <w:t>则事故责任由</w:t>
            </w:r>
            <w:r>
              <w:rPr>
                <w:rFonts w:hint="eastAsia" w:cs="宋体"/>
                <w:color w:val="auto"/>
                <w:sz w:val="24"/>
                <w:szCs w:val="24"/>
                <w:lang w:eastAsia="zh-CN"/>
              </w:rPr>
              <w:t>德采实实验室科技（常州）有限公司</w:t>
            </w:r>
            <w:r>
              <w:rPr>
                <w:rFonts w:hint="eastAsia" w:eastAsia="宋体" w:cs="宋体"/>
                <w:color w:val="auto"/>
                <w:sz w:val="24"/>
                <w:szCs w:val="24"/>
              </w:rPr>
              <w:t>自行承担。</w:t>
            </w:r>
          </w:p>
          <w:p w14:paraId="5B922265">
            <w:pPr>
              <w:spacing w:line="360" w:lineRule="auto"/>
              <w:ind w:firstLine="480" w:firstLineChars="200"/>
              <w:rPr>
                <w:rFonts w:hint="eastAsia" w:cs="宋体"/>
                <w:color w:val="auto"/>
                <w:sz w:val="24"/>
                <w:szCs w:val="24"/>
                <w:lang w:eastAsia="zh-CN"/>
              </w:rPr>
            </w:pPr>
            <w:r>
              <w:rPr>
                <w:rFonts w:hint="eastAsia" w:cs="宋体"/>
                <w:color w:val="auto"/>
                <w:sz w:val="24"/>
                <w:szCs w:val="24"/>
                <w:lang w:eastAsia="zh-CN"/>
              </w:rPr>
              <w:t>德采实实验室科技（常州）有限公司</w:t>
            </w:r>
            <w:r>
              <w:rPr>
                <w:rFonts w:hint="eastAsia" w:eastAsia="宋体" w:cs="宋体"/>
                <w:color w:val="auto"/>
                <w:sz w:val="24"/>
                <w:szCs w:val="24"/>
                <w:lang w:val="en-US" w:eastAsia="zh-CN"/>
              </w:rPr>
              <w:t>拟建设</w:t>
            </w:r>
            <w:r>
              <w:rPr>
                <w:rFonts w:hint="eastAsia" w:cs="宋体"/>
                <w:color w:val="auto"/>
                <w:sz w:val="24"/>
                <w:szCs w:val="24"/>
                <w:lang w:val="en-US" w:eastAsia="zh-CN"/>
              </w:rPr>
              <w:t>2</w:t>
            </w:r>
            <w:r>
              <w:rPr>
                <w:rFonts w:hint="eastAsia" w:eastAsia="宋体" w:cs="宋体"/>
                <w:color w:val="auto"/>
                <w:sz w:val="24"/>
                <w:szCs w:val="24"/>
              </w:rPr>
              <w:t>套废气收集及处理系统</w:t>
            </w:r>
            <w:r>
              <w:rPr>
                <w:rFonts w:hint="eastAsia" w:eastAsia="宋体" w:cs="宋体"/>
                <w:color w:val="auto"/>
                <w:sz w:val="24"/>
                <w:szCs w:val="24"/>
                <w:lang w:val="en-US" w:eastAsia="zh-CN"/>
              </w:rPr>
              <w:t>用于处理</w:t>
            </w:r>
            <w:r>
              <w:rPr>
                <w:rFonts w:hint="eastAsia" w:cs="宋体"/>
                <w:color w:val="auto"/>
                <w:sz w:val="24"/>
                <w:szCs w:val="24"/>
                <w:lang w:val="en-US" w:eastAsia="zh-CN"/>
              </w:rPr>
              <w:t>生产过程中</w:t>
            </w:r>
            <w:r>
              <w:rPr>
                <w:rFonts w:hint="eastAsia" w:eastAsia="宋体" w:cs="宋体"/>
                <w:color w:val="auto"/>
                <w:sz w:val="24"/>
                <w:szCs w:val="24"/>
                <w:lang w:val="en-US" w:eastAsia="zh-CN"/>
              </w:rPr>
              <w:t>产生的</w:t>
            </w:r>
            <w:r>
              <w:rPr>
                <w:rFonts w:hint="eastAsia" w:eastAsia="宋体" w:cs="宋体"/>
                <w:color w:val="auto"/>
                <w:sz w:val="24"/>
                <w:szCs w:val="24"/>
              </w:rPr>
              <w:t>废气</w:t>
            </w:r>
            <w:r>
              <w:rPr>
                <w:rFonts w:hint="eastAsia" w:eastAsia="宋体" w:cs="宋体"/>
                <w:color w:val="auto"/>
                <w:sz w:val="24"/>
                <w:szCs w:val="24"/>
                <w:lang w:eastAsia="zh-CN"/>
              </w:rPr>
              <w:t>；</w:t>
            </w:r>
            <w:r>
              <w:rPr>
                <w:rFonts w:hint="eastAsia" w:eastAsia="宋体" w:cs="宋体"/>
                <w:color w:val="auto"/>
                <w:sz w:val="24"/>
                <w:szCs w:val="24"/>
                <w:lang w:val="en-US" w:eastAsia="zh-CN"/>
              </w:rPr>
              <w:t>拟于生产车间内建</w:t>
            </w:r>
            <w:r>
              <w:rPr>
                <w:rFonts w:hint="eastAsia" w:eastAsia="宋体" w:cs="宋体"/>
                <w:color w:val="auto"/>
                <w:sz w:val="24"/>
                <w:szCs w:val="24"/>
              </w:rPr>
              <w:t>设1个</w:t>
            </w:r>
            <w:r>
              <w:rPr>
                <w:rFonts w:hint="eastAsia" w:cs="宋体"/>
                <w:color w:val="auto"/>
                <w:sz w:val="24"/>
                <w:szCs w:val="24"/>
                <w:lang w:eastAsia="zh-CN"/>
              </w:rPr>
              <w:t>危废仓库</w:t>
            </w:r>
            <w:r>
              <w:rPr>
                <w:rFonts w:hint="eastAsia" w:eastAsia="宋体" w:cs="宋体"/>
                <w:color w:val="auto"/>
                <w:sz w:val="24"/>
                <w:szCs w:val="24"/>
                <w:lang w:val="en-US" w:eastAsia="zh-CN"/>
              </w:rPr>
              <w:t>和1个一般工业固废堆场</w:t>
            </w:r>
            <w:r>
              <w:rPr>
                <w:rFonts w:hint="eastAsia" w:eastAsia="宋体" w:cs="宋体"/>
                <w:color w:val="auto"/>
                <w:sz w:val="24"/>
                <w:szCs w:val="24"/>
              </w:rPr>
              <w:t>，</w:t>
            </w:r>
            <w:r>
              <w:rPr>
                <w:rFonts w:hint="eastAsia" w:eastAsia="宋体" w:cs="宋体"/>
                <w:color w:val="auto"/>
                <w:sz w:val="24"/>
                <w:szCs w:val="24"/>
                <w:lang w:val="en-US" w:eastAsia="zh-CN"/>
              </w:rPr>
              <w:t>用于固体废物的暂存。因此本项目废气、固废的环保</w:t>
            </w:r>
            <w:r>
              <w:rPr>
                <w:rFonts w:hint="eastAsia" w:eastAsia="宋体" w:cs="宋体"/>
                <w:color w:val="auto"/>
                <w:sz w:val="24"/>
                <w:szCs w:val="24"/>
              </w:rPr>
              <w:t>责任主体为</w:t>
            </w:r>
            <w:r>
              <w:rPr>
                <w:rFonts w:hint="eastAsia" w:cs="宋体"/>
                <w:color w:val="auto"/>
                <w:sz w:val="24"/>
                <w:szCs w:val="24"/>
                <w:lang w:eastAsia="zh-CN"/>
              </w:rPr>
              <w:t>德采实实验室科技（常州）有限公司</w:t>
            </w:r>
            <w:r>
              <w:rPr>
                <w:rFonts w:hint="eastAsia" w:eastAsia="宋体" w:cs="宋体"/>
                <w:color w:val="auto"/>
                <w:sz w:val="24"/>
                <w:szCs w:val="24"/>
                <w:lang w:eastAsia="zh-CN"/>
              </w:rPr>
              <w:t>。</w:t>
            </w:r>
          </w:p>
          <w:p w14:paraId="012C3FC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color w:val="FF0000"/>
                <w:kern w:val="0"/>
                <w:sz w:val="24"/>
                <w:szCs w:val="28"/>
              </w:rPr>
            </w:pPr>
          </w:p>
          <w:p w14:paraId="223C1466">
            <w:pPr>
              <w:rPr>
                <w:color w:val="FF0000"/>
              </w:rPr>
            </w:pPr>
          </w:p>
        </w:tc>
      </w:tr>
    </w:tbl>
    <w:p w14:paraId="71302116">
      <w:pPr>
        <w:pStyle w:val="4"/>
        <w:rPr>
          <w:rFonts w:eastAsiaTheme="minorEastAsia"/>
          <w:color w:val="auto"/>
        </w:rPr>
      </w:pPr>
      <w:bookmarkStart w:id="7" w:name="_Toc4242"/>
      <w:bookmarkStart w:id="8" w:name="_Toc26864"/>
      <w:r>
        <w:rPr>
          <w:rFonts w:eastAsiaTheme="minorEastAsia"/>
          <w:color w:val="auto"/>
        </w:rPr>
        <w:t>三、</w:t>
      </w:r>
      <w:r>
        <w:rPr>
          <w:rFonts w:hint="eastAsia" w:eastAsiaTheme="minorEastAsia"/>
          <w:color w:val="auto"/>
        </w:rPr>
        <w:t>区域</w:t>
      </w:r>
      <w:r>
        <w:rPr>
          <w:rFonts w:eastAsiaTheme="minorEastAsia"/>
          <w:color w:val="auto"/>
        </w:rPr>
        <w:t>环境质量状况</w:t>
      </w:r>
      <w:r>
        <w:rPr>
          <w:rFonts w:hint="eastAsia" w:eastAsiaTheme="minorEastAsia"/>
          <w:color w:val="auto"/>
        </w:rPr>
        <w:t>、环境保护目标及评价标准</w:t>
      </w:r>
      <w:bookmarkEnd w:id="7"/>
      <w:bookmarkEnd w:id="8"/>
    </w:p>
    <w:tbl>
      <w:tblPr>
        <w:tblStyle w:val="35"/>
        <w:tblW w:w="90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7"/>
        <w:gridCol w:w="8612"/>
      </w:tblGrid>
      <w:tr w14:paraId="79161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457" w:type="dxa"/>
            <w:vAlign w:val="center"/>
          </w:tcPr>
          <w:p w14:paraId="7FB8AB28">
            <w:pPr>
              <w:adjustRightInd w:val="0"/>
              <w:snapToGrid w:val="0"/>
              <w:jc w:val="center"/>
              <w:rPr>
                <w:rFonts w:ascii="宋体" w:hAnsi="宋体" w:cs="宋体"/>
                <w:b/>
                <w:bCs/>
                <w:color w:val="auto"/>
                <w:kern w:val="0"/>
                <w:sz w:val="24"/>
                <w:szCs w:val="24"/>
              </w:rPr>
            </w:pPr>
            <w:r>
              <w:rPr>
                <w:rFonts w:hint="eastAsia" w:ascii="宋体" w:hAnsi="宋体" w:cs="宋体"/>
                <w:b/>
                <w:bCs/>
                <w:color w:val="auto"/>
                <w:kern w:val="0"/>
                <w:sz w:val="24"/>
                <w:szCs w:val="24"/>
              </w:rPr>
              <w:t>区域</w:t>
            </w:r>
          </w:p>
          <w:p w14:paraId="5B2F2601">
            <w:pPr>
              <w:adjustRightInd w:val="0"/>
              <w:snapToGrid w:val="0"/>
              <w:jc w:val="center"/>
              <w:rPr>
                <w:rFonts w:ascii="宋体" w:hAnsi="宋体" w:cs="宋体"/>
                <w:b/>
                <w:bCs/>
                <w:color w:val="auto"/>
                <w:kern w:val="0"/>
                <w:sz w:val="24"/>
                <w:szCs w:val="24"/>
              </w:rPr>
            </w:pPr>
            <w:r>
              <w:rPr>
                <w:rFonts w:hint="eastAsia" w:ascii="宋体" w:hAnsi="宋体" w:cs="宋体"/>
                <w:b/>
                <w:bCs/>
                <w:color w:val="auto"/>
                <w:kern w:val="0"/>
                <w:sz w:val="24"/>
                <w:szCs w:val="24"/>
              </w:rPr>
              <w:t>环境</w:t>
            </w:r>
          </w:p>
          <w:p w14:paraId="11EA2BA2">
            <w:pPr>
              <w:adjustRightInd w:val="0"/>
              <w:snapToGrid w:val="0"/>
              <w:jc w:val="center"/>
              <w:rPr>
                <w:rFonts w:ascii="宋体" w:hAnsi="宋体" w:cs="宋体"/>
                <w:b/>
                <w:bCs/>
                <w:color w:val="auto"/>
                <w:kern w:val="0"/>
                <w:sz w:val="24"/>
                <w:szCs w:val="24"/>
              </w:rPr>
            </w:pPr>
            <w:r>
              <w:rPr>
                <w:rFonts w:hint="eastAsia" w:ascii="宋体" w:hAnsi="宋体" w:cs="宋体"/>
                <w:b/>
                <w:bCs/>
                <w:color w:val="auto"/>
                <w:kern w:val="0"/>
                <w:sz w:val="24"/>
                <w:szCs w:val="24"/>
              </w:rPr>
              <w:t>质量</w:t>
            </w:r>
          </w:p>
          <w:p w14:paraId="2B134048">
            <w:pPr>
              <w:adjustRightInd w:val="0"/>
              <w:snapToGrid w:val="0"/>
              <w:jc w:val="center"/>
              <w:rPr>
                <w:rFonts w:ascii="宋体" w:hAnsi="宋体" w:cs="宋体"/>
                <w:color w:val="FF0000"/>
                <w:kern w:val="0"/>
                <w:szCs w:val="21"/>
              </w:rPr>
            </w:pPr>
            <w:r>
              <w:rPr>
                <w:rFonts w:hint="eastAsia" w:ascii="宋体" w:hAnsi="宋体" w:cs="宋体"/>
                <w:b/>
                <w:bCs/>
                <w:color w:val="auto"/>
                <w:kern w:val="0"/>
                <w:sz w:val="24"/>
                <w:szCs w:val="24"/>
              </w:rPr>
              <w:t>现状</w:t>
            </w:r>
          </w:p>
        </w:tc>
        <w:tc>
          <w:tcPr>
            <w:tcW w:w="8612" w:type="dxa"/>
            <w:vAlign w:val="center"/>
          </w:tcPr>
          <w:p w14:paraId="44D3FD82">
            <w:pPr>
              <w:spacing w:line="348" w:lineRule="auto"/>
              <w:ind w:firstLine="480" w:firstLineChars="200"/>
              <w:rPr>
                <w:rFonts w:eastAsiaTheme="minorEastAsia"/>
                <w:color w:val="auto"/>
                <w:sz w:val="24"/>
                <w:szCs w:val="24"/>
              </w:rPr>
            </w:pPr>
            <w:bookmarkStart w:id="9" w:name="OLE_LINK24"/>
            <w:r>
              <w:rPr>
                <w:rFonts w:hint="eastAsia" w:eastAsiaTheme="minorEastAsia"/>
                <w:color w:val="auto"/>
                <w:sz w:val="24"/>
                <w:szCs w:val="24"/>
              </w:rPr>
              <w:t>1、</w:t>
            </w:r>
            <w:r>
              <w:rPr>
                <w:rFonts w:eastAsiaTheme="minorEastAsia"/>
                <w:color w:val="auto"/>
                <w:sz w:val="24"/>
                <w:szCs w:val="24"/>
              </w:rPr>
              <w:t>环境空气质量现状</w:t>
            </w:r>
          </w:p>
          <w:p w14:paraId="6A18CD29">
            <w:pPr>
              <w:spacing w:line="360" w:lineRule="auto"/>
              <w:ind w:firstLine="480" w:firstLineChars="200"/>
              <w:rPr>
                <w:rFonts w:eastAsiaTheme="minorEastAsia"/>
                <w:color w:val="auto"/>
                <w:sz w:val="24"/>
                <w:szCs w:val="24"/>
              </w:rPr>
            </w:pPr>
            <w:r>
              <w:rPr>
                <w:rFonts w:hint="eastAsia" w:eastAsiaTheme="minorEastAsia"/>
                <w:color w:val="auto"/>
                <w:sz w:val="24"/>
                <w:szCs w:val="24"/>
              </w:rPr>
              <w:t>（1）</w:t>
            </w:r>
            <w:r>
              <w:rPr>
                <w:rFonts w:eastAsiaTheme="minorEastAsia"/>
                <w:color w:val="auto"/>
                <w:sz w:val="24"/>
                <w:szCs w:val="24"/>
              </w:rPr>
              <w:t>基本污染物环境</w:t>
            </w:r>
            <w:r>
              <w:rPr>
                <w:rFonts w:hint="eastAsia" w:eastAsiaTheme="minorEastAsia"/>
                <w:color w:val="auto"/>
                <w:sz w:val="24"/>
                <w:szCs w:val="24"/>
              </w:rPr>
              <w:t>空气</w:t>
            </w:r>
            <w:r>
              <w:rPr>
                <w:rFonts w:eastAsiaTheme="minorEastAsia"/>
                <w:color w:val="auto"/>
                <w:sz w:val="24"/>
                <w:szCs w:val="24"/>
              </w:rPr>
              <w:t>质量现状</w:t>
            </w:r>
          </w:p>
          <w:p w14:paraId="4D9F5A0C">
            <w:pPr>
              <w:spacing w:line="360" w:lineRule="auto"/>
              <w:ind w:firstLine="480" w:firstLineChars="200"/>
              <w:rPr>
                <w:color w:val="auto"/>
                <w:sz w:val="24"/>
                <w:szCs w:val="24"/>
              </w:rPr>
            </w:pPr>
            <w:r>
              <w:rPr>
                <w:rFonts w:hint="eastAsia"/>
                <w:bCs/>
                <w:color w:val="auto"/>
                <w:sz w:val="24"/>
                <w:szCs w:val="24"/>
              </w:rPr>
              <w:t>根据《建设项目环境影响报告表编制技术指南（污染影响类）（试行）》，区域大气环境质量现状常规污染物引用与建设项目距离近的有效数据，包括近3年的规划环境影响评价的监测数据，国家、地方环境空气质量监测网数据或生态环境主管部门公开发布的质量数据等。</w:t>
            </w:r>
            <w:r>
              <w:rPr>
                <w:rFonts w:hint="eastAsia" w:eastAsiaTheme="minorEastAsia"/>
                <w:bCs/>
                <w:color w:val="auto"/>
                <w:sz w:val="24"/>
                <w:szCs w:val="24"/>
              </w:rPr>
              <w:t>本次评价选取202</w:t>
            </w:r>
            <w:r>
              <w:rPr>
                <w:rFonts w:hint="eastAsia" w:eastAsiaTheme="minorEastAsia"/>
                <w:bCs/>
                <w:color w:val="auto"/>
                <w:sz w:val="24"/>
                <w:szCs w:val="24"/>
                <w:lang w:val="en-US" w:eastAsia="zh-CN"/>
              </w:rPr>
              <w:t>4</w:t>
            </w:r>
            <w:r>
              <w:rPr>
                <w:rFonts w:hint="eastAsia" w:eastAsiaTheme="minorEastAsia"/>
                <w:bCs/>
                <w:color w:val="auto"/>
                <w:sz w:val="24"/>
                <w:szCs w:val="24"/>
              </w:rPr>
              <w:t>年作为评价基准年，引用《202</w:t>
            </w:r>
            <w:r>
              <w:rPr>
                <w:rFonts w:hint="eastAsia" w:eastAsiaTheme="minorEastAsia"/>
                <w:bCs/>
                <w:color w:val="auto"/>
                <w:sz w:val="24"/>
                <w:szCs w:val="24"/>
                <w:lang w:val="en-US" w:eastAsia="zh-CN"/>
              </w:rPr>
              <w:t>4</w:t>
            </w:r>
            <w:r>
              <w:rPr>
                <w:rFonts w:hint="eastAsia" w:eastAsiaTheme="minorEastAsia"/>
                <w:bCs/>
                <w:color w:val="auto"/>
                <w:sz w:val="24"/>
                <w:szCs w:val="24"/>
              </w:rPr>
              <w:t>年常州市生态环境状况公报》，项目所在区域常州市区各评价因子数据见表3-1。</w:t>
            </w:r>
          </w:p>
          <w:p w14:paraId="034E1E56">
            <w:pPr>
              <w:tabs>
                <w:tab w:val="left" w:pos="1144"/>
              </w:tabs>
              <w:spacing w:line="360" w:lineRule="auto"/>
              <w:jc w:val="center"/>
              <w:rPr>
                <w:b/>
                <w:bCs/>
                <w:color w:val="auto"/>
                <w:sz w:val="24"/>
              </w:rPr>
            </w:pPr>
            <w:r>
              <w:rPr>
                <w:b/>
                <w:bCs/>
                <w:color w:val="auto"/>
                <w:sz w:val="24"/>
              </w:rPr>
              <w:t>表3-1项目所在区域大气环境质量现状</w:t>
            </w:r>
          </w:p>
          <w:tbl>
            <w:tblPr>
              <w:tblStyle w:val="35"/>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385"/>
              <w:gridCol w:w="1520"/>
              <w:gridCol w:w="1465"/>
              <w:gridCol w:w="912"/>
              <w:gridCol w:w="1089"/>
            </w:tblGrid>
            <w:tr w14:paraId="31338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tcBorders>
                    <w:tl2br w:val="nil"/>
                    <w:tr2bl w:val="nil"/>
                  </w:tcBorders>
                  <w:shd w:val="clear" w:color="auto" w:fill="auto"/>
                  <w:vAlign w:val="center"/>
                </w:tcPr>
                <w:p w14:paraId="233C91DB">
                  <w:pPr>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污染物</w:t>
                  </w:r>
                </w:p>
              </w:tc>
              <w:tc>
                <w:tcPr>
                  <w:tcW w:w="1426" w:type="pct"/>
                  <w:tcBorders>
                    <w:tl2br w:val="nil"/>
                    <w:tr2bl w:val="nil"/>
                  </w:tcBorders>
                  <w:shd w:val="clear" w:color="auto" w:fill="auto"/>
                  <w:vAlign w:val="center"/>
                </w:tcPr>
                <w:p w14:paraId="4F418710">
                  <w:pPr>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年评价指标</w:t>
                  </w:r>
                </w:p>
              </w:tc>
              <w:tc>
                <w:tcPr>
                  <w:tcW w:w="909" w:type="pct"/>
                  <w:tcBorders>
                    <w:tl2br w:val="nil"/>
                    <w:tr2bl w:val="nil"/>
                  </w:tcBorders>
                  <w:shd w:val="clear" w:color="auto" w:fill="auto"/>
                  <w:vAlign w:val="center"/>
                </w:tcPr>
                <w:p w14:paraId="48896358">
                  <w:pPr>
                    <w:snapToGrid w:val="0"/>
                    <w:jc w:val="center"/>
                    <w:rPr>
                      <w:rFonts w:hint="default" w:ascii="Times New Roman" w:hAnsi="Times New Roman" w:eastAsia="宋体" w:cs="Times New Roman"/>
                      <w:b/>
                      <w:bCs/>
                      <w:color w:val="auto"/>
                      <w:szCs w:val="21"/>
                      <w:highlight w:val="none"/>
                      <w:lang w:eastAsia="zh-CN"/>
                    </w:rPr>
                  </w:pPr>
                  <w:r>
                    <w:rPr>
                      <w:rFonts w:hint="default" w:ascii="Times New Roman" w:hAnsi="Times New Roman" w:eastAsia="宋体" w:cs="Times New Roman"/>
                      <w:b/>
                      <w:bCs/>
                      <w:color w:val="auto"/>
                      <w:szCs w:val="21"/>
                      <w:highlight w:val="none"/>
                    </w:rPr>
                    <w:t>现状浓度/</w:t>
                  </w:r>
                  <w:r>
                    <w:rPr>
                      <w:rFonts w:hint="default" w:ascii="Times New Roman" w:hAnsi="Times New Roman" w:eastAsia="宋体" w:cs="Times New Roman"/>
                      <w:b/>
                      <w:bCs/>
                      <w:color w:val="auto"/>
                      <w:szCs w:val="21"/>
                      <w:highlight w:val="none"/>
                      <w:lang w:eastAsia="zh-CN"/>
                    </w:rPr>
                    <w:t>（</w:t>
                  </w:r>
                  <w:r>
                    <w:rPr>
                      <w:rFonts w:hint="default" w:ascii="Times New Roman" w:hAnsi="Times New Roman" w:eastAsia="宋体" w:cs="Times New Roman"/>
                      <w:b/>
                      <w:bCs/>
                      <w:color w:val="auto"/>
                      <w:szCs w:val="21"/>
                      <w:highlight w:val="none"/>
                    </w:rPr>
                    <w:t>μg/m</w:t>
                  </w:r>
                  <w:r>
                    <w:rPr>
                      <w:rFonts w:hint="default" w:ascii="Times New Roman" w:hAnsi="Times New Roman" w:eastAsia="宋体" w:cs="Times New Roman"/>
                      <w:b/>
                      <w:bCs/>
                      <w:color w:val="auto"/>
                      <w:szCs w:val="21"/>
                      <w:highlight w:val="none"/>
                      <w:vertAlign w:val="superscript"/>
                    </w:rPr>
                    <w:t>3</w:t>
                  </w:r>
                  <w:r>
                    <w:rPr>
                      <w:rFonts w:hint="default" w:ascii="Times New Roman" w:hAnsi="Times New Roman" w:eastAsia="宋体" w:cs="Times New Roman"/>
                      <w:b/>
                      <w:bCs/>
                      <w:color w:val="auto"/>
                      <w:szCs w:val="21"/>
                      <w:highlight w:val="none"/>
                      <w:lang w:eastAsia="zh-CN"/>
                    </w:rPr>
                    <w:t>）</w:t>
                  </w:r>
                </w:p>
              </w:tc>
              <w:tc>
                <w:tcPr>
                  <w:tcW w:w="876" w:type="pct"/>
                  <w:tcBorders>
                    <w:tl2br w:val="nil"/>
                    <w:tr2bl w:val="nil"/>
                  </w:tcBorders>
                  <w:shd w:val="clear" w:color="auto" w:fill="auto"/>
                  <w:vAlign w:val="center"/>
                </w:tcPr>
                <w:p w14:paraId="307BCAE2">
                  <w:pPr>
                    <w:snapToGrid w:val="0"/>
                    <w:jc w:val="center"/>
                    <w:rPr>
                      <w:rFonts w:hint="default" w:ascii="Times New Roman" w:hAnsi="Times New Roman" w:eastAsia="宋体" w:cs="Times New Roman"/>
                      <w:b/>
                      <w:bCs/>
                      <w:color w:val="auto"/>
                      <w:szCs w:val="21"/>
                      <w:highlight w:val="none"/>
                      <w:lang w:eastAsia="zh-CN"/>
                    </w:rPr>
                  </w:pPr>
                  <w:r>
                    <w:rPr>
                      <w:rFonts w:hint="default" w:ascii="Times New Roman" w:hAnsi="Times New Roman" w:eastAsia="宋体" w:cs="Times New Roman"/>
                      <w:b/>
                      <w:bCs/>
                      <w:color w:val="auto"/>
                      <w:szCs w:val="21"/>
                      <w:highlight w:val="none"/>
                    </w:rPr>
                    <w:t>标准值/</w:t>
                  </w:r>
                  <w:r>
                    <w:rPr>
                      <w:rFonts w:hint="default" w:ascii="Times New Roman" w:hAnsi="Times New Roman" w:eastAsia="宋体" w:cs="Times New Roman"/>
                      <w:b/>
                      <w:bCs/>
                      <w:color w:val="auto"/>
                      <w:szCs w:val="21"/>
                      <w:highlight w:val="none"/>
                      <w:lang w:eastAsia="zh-CN"/>
                    </w:rPr>
                    <w:t>（</w:t>
                  </w:r>
                  <w:r>
                    <w:rPr>
                      <w:rFonts w:hint="default" w:ascii="Times New Roman" w:hAnsi="Times New Roman" w:eastAsia="宋体" w:cs="Times New Roman"/>
                      <w:b/>
                      <w:bCs/>
                      <w:color w:val="auto"/>
                      <w:szCs w:val="21"/>
                      <w:highlight w:val="none"/>
                    </w:rPr>
                    <w:t>μg/m</w:t>
                  </w:r>
                  <w:r>
                    <w:rPr>
                      <w:rFonts w:hint="default" w:ascii="Times New Roman" w:hAnsi="Times New Roman" w:eastAsia="宋体" w:cs="Times New Roman"/>
                      <w:b/>
                      <w:bCs/>
                      <w:color w:val="auto"/>
                      <w:szCs w:val="21"/>
                      <w:highlight w:val="none"/>
                      <w:vertAlign w:val="superscript"/>
                    </w:rPr>
                    <w:t>3</w:t>
                  </w:r>
                  <w:r>
                    <w:rPr>
                      <w:rFonts w:hint="default" w:ascii="Times New Roman" w:hAnsi="Times New Roman" w:eastAsia="宋体" w:cs="Times New Roman"/>
                      <w:b/>
                      <w:bCs/>
                      <w:color w:val="auto"/>
                      <w:szCs w:val="21"/>
                      <w:highlight w:val="none"/>
                      <w:lang w:eastAsia="zh-CN"/>
                    </w:rPr>
                    <w:t>）</w:t>
                  </w:r>
                </w:p>
              </w:tc>
              <w:tc>
                <w:tcPr>
                  <w:tcW w:w="545" w:type="pct"/>
                  <w:tcBorders>
                    <w:tl2br w:val="nil"/>
                    <w:tr2bl w:val="nil"/>
                  </w:tcBorders>
                  <w:shd w:val="clear" w:color="auto" w:fill="auto"/>
                  <w:vAlign w:val="center"/>
                </w:tcPr>
                <w:p w14:paraId="0FFFDC8A">
                  <w:pPr>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达标率</w:t>
                  </w:r>
                </w:p>
              </w:tc>
              <w:tc>
                <w:tcPr>
                  <w:tcW w:w="651" w:type="pct"/>
                  <w:tcBorders>
                    <w:tl2br w:val="nil"/>
                    <w:tr2bl w:val="nil"/>
                  </w:tcBorders>
                  <w:vAlign w:val="center"/>
                </w:tcPr>
                <w:p w14:paraId="1A466126">
                  <w:pPr>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是否达标</w:t>
                  </w:r>
                </w:p>
              </w:tc>
            </w:tr>
            <w:tr w14:paraId="746AC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vMerge w:val="restart"/>
                  <w:tcBorders>
                    <w:tl2br w:val="nil"/>
                    <w:tr2bl w:val="nil"/>
                  </w:tcBorders>
                  <w:shd w:val="clear" w:color="auto" w:fill="auto"/>
                  <w:vAlign w:val="center"/>
                </w:tcPr>
                <w:p w14:paraId="50CD30F9">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SO</w:t>
                  </w:r>
                  <w:r>
                    <w:rPr>
                      <w:rFonts w:hint="default" w:ascii="Times New Roman" w:hAnsi="Times New Roman" w:eastAsia="宋体" w:cs="Times New Roman"/>
                      <w:color w:val="auto"/>
                      <w:szCs w:val="21"/>
                      <w:highlight w:val="none"/>
                      <w:vertAlign w:val="subscript"/>
                    </w:rPr>
                    <w:t>2</w:t>
                  </w:r>
                </w:p>
              </w:tc>
              <w:tc>
                <w:tcPr>
                  <w:tcW w:w="1426" w:type="pct"/>
                  <w:tcBorders>
                    <w:tl2br w:val="nil"/>
                    <w:tr2bl w:val="nil"/>
                  </w:tcBorders>
                  <w:shd w:val="clear" w:color="auto" w:fill="auto"/>
                  <w:vAlign w:val="center"/>
                </w:tcPr>
                <w:p w14:paraId="70CAB031">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年平均质量浓度</w:t>
                  </w:r>
                </w:p>
              </w:tc>
              <w:tc>
                <w:tcPr>
                  <w:tcW w:w="909" w:type="pct"/>
                  <w:tcBorders>
                    <w:tl2br w:val="nil"/>
                    <w:tr2bl w:val="nil"/>
                  </w:tcBorders>
                  <w:shd w:val="clear" w:color="auto" w:fill="auto"/>
                  <w:vAlign w:val="center"/>
                </w:tcPr>
                <w:p w14:paraId="1EC11B2E">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w:t>
                  </w:r>
                </w:p>
              </w:tc>
              <w:tc>
                <w:tcPr>
                  <w:tcW w:w="876" w:type="pct"/>
                  <w:tcBorders>
                    <w:tl2br w:val="nil"/>
                    <w:tr2bl w:val="nil"/>
                  </w:tcBorders>
                  <w:shd w:val="clear" w:color="auto" w:fill="auto"/>
                  <w:vAlign w:val="center"/>
                </w:tcPr>
                <w:p w14:paraId="5223FEC6">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60</w:t>
                  </w:r>
                </w:p>
              </w:tc>
              <w:tc>
                <w:tcPr>
                  <w:tcW w:w="545" w:type="pct"/>
                  <w:tcBorders>
                    <w:tl2br w:val="nil"/>
                    <w:tr2bl w:val="nil"/>
                  </w:tcBorders>
                  <w:shd w:val="clear" w:color="auto" w:fill="auto"/>
                  <w:vAlign w:val="center"/>
                </w:tcPr>
                <w:p w14:paraId="4DD0876A">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w:t>
                  </w:r>
                </w:p>
              </w:tc>
              <w:tc>
                <w:tcPr>
                  <w:tcW w:w="651" w:type="pct"/>
                  <w:vMerge w:val="restart"/>
                  <w:tcBorders>
                    <w:tl2br w:val="nil"/>
                    <w:tr2bl w:val="nil"/>
                  </w:tcBorders>
                  <w:vAlign w:val="center"/>
                </w:tcPr>
                <w:p w14:paraId="4ADFC88E">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达标</w:t>
                  </w:r>
                </w:p>
              </w:tc>
            </w:tr>
            <w:tr w14:paraId="472EB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vMerge w:val="continue"/>
                  <w:tcBorders>
                    <w:tl2br w:val="nil"/>
                    <w:tr2bl w:val="nil"/>
                  </w:tcBorders>
                  <w:shd w:val="clear" w:color="auto" w:fill="auto"/>
                  <w:vAlign w:val="center"/>
                </w:tcPr>
                <w:p w14:paraId="4EE206A1">
                  <w:pPr>
                    <w:snapToGrid w:val="0"/>
                    <w:jc w:val="center"/>
                    <w:rPr>
                      <w:rFonts w:hint="default" w:ascii="Times New Roman" w:hAnsi="Times New Roman" w:eastAsia="宋体" w:cs="Times New Roman"/>
                      <w:color w:val="auto"/>
                      <w:szCs w:val="21"/>
                      <w:highlight w:val="none"/>
                    </w:rPr>
                  </w:pPr>
                </w:p>
              </w:tc>
              <w:tc>
                <w:tcPr>
                  <w:tcW w:w="1426" w:type="pct"/>
                  <w:tcBorders>
                    <w:tl2br w:val="nil"/>
                    <w:tr2bl w:val="nil"/>
                  </w:tcBorders>
                  <w:shd w:val="clear" w:color="auto" w:fill="auto"/>
                  <w:vAlign w:val="center"/>
                </w:tcPr>
                <w:p w14:paraId="1BD5B9C6">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日均值浓度</w:t>
                  </w:r>
                </w:p>
              </w:tc>
              <w:tc>
                <w:tcPr>
                  <w:tcW w:w="909" w:type="pct"/>
                  <w:tcBorders>
                    <w:tl2br w:val="nil"/>
                    <w:tr2bl w:val="nil"/>
                  </w:tcBorders>
                  <w:shd w:val="clear" w:color="auto" w:fill="auto"/>
                  <w:vAlign w:val="center"/>
                </w:tcPr>
                <w:p w14:paraId="2B3B166B">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5~15</w:t>
                  </w:r>
                </w:p>
              </w:tc>
              <w:tc>
                <w:tcPr>
                  <w:tcW w:w="876" w:type="pct"/>
                  <w:tcBorders>
                    <w:tl2br w:val="nil"/>
                    <w:tr2bl w:val="nil"/>
                  </w:tcBorders>
                  <w:shd w:val="clear" w:color="auto" w:fill="auto"/>
                  <w:vAlign w:val="center"/>
                </w:tcPr>
                <w:p w14:paraId="10E73611">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150</w:t>
                  </w:r>
                </w:p>
              </w:tc>
              <w:tc>
                <w:tcPr>
                  <w:tcW w:w="545" w:type="pct"/>
                  <w:tcBorders>
                    <w:tl2br w:val="nil"/>
                    <w:tr2bl w:val="nil"/>
                  </w:tcBorders>
                  <w:shd w:val="clear" w:color="auto" w:fill="auto"/>
                  <w:vAlign w:val="center"/>
                </w:tcPr>
                <w:p w14:paraId="6EDB0FC0">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w:t>
                  </w:r>
                </w:p>
              </w:tc>
              <w:tc>
                <w:tcPr>
                  <w:tcW w:w="651" w:type="pct"/>
                  <w:vMerge w:val="continue"/>
                  <w:tcBorders>
                    <w:tl2br w:val="nil"/>
                    <w:tr2bl w:val="nil"/>
                  </w:tcBorders>
                  <w:vAlign w:val="center"/>
                </w:tcPr>
                <w:p w14:paraId="1C1D6004">
                  <w:pPr>
                    <w:snapToGrid w:val="0"/>
                    <w:jc w:val="center"/>
                    <w:rPr>
                      <w:rFonts w:hint="default" w:ascii="Times New Roman" w:hAnsi="Times New Roman" w:eastAsia="宋体" w:cs="Times New Roman"/>
                      <w:color w:val="auto"/>
                      <w:szCs w:val="21"/>
                      <w:highlight w:val="none"/>
                    </w:rPr>
                  </w:pPr>
                </w:p>
              </w:tc>
            </w:tr>
            <w:tr w14:paraId="0BFDD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vMerge w:val="restart"/>
                  <w:tcBorders>
                    <w:tl2br w:val="nil"/>
                    <w:tr2bl w:val="nil"/>
                  </w:tcBorders>
                  <w:shd w:val="clear" w:color="auto" w:fill="auto"/>
                  <w:vAlign w:val="center"/>
                </w:tcPr>
                <w:p w14:paraId="4FEFFF2A">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NO</w:t>
                  </w:r>
                  <w:r>
                    <w:rPr>
                      <w:rFonts w:hint="default" w:ascii="Times New Roman" w:hAnsi="Times New Roman" w:eastAsia="宋体" w:cs="Times New Roman"/>
                      <w:color w:val="auto"/>
                      <w:szCs w:val="21"/>
                      <w:highlight w:val="none"/>
                      <w:vertAlign w:val="subscript"/>
                    </w:rPr>
                    <w:t>2</w:t>
                  </w:r>
                </w:p>
              </w:tc>
              <w:tc>
                <w:tcPr>
                  <w:tcW w:w="1426" w:type="pct"/>
                  <w:tcBorders>
                    <w:tl2br w:val="nil"/>
                    <w:tr2bl w:val="nil"/>
                  </w:tcBorders>
                  <w:shd w:val="clear" w:color="auto" w:fill="auto"/>
                  <w:vAlign w:val="center"/>
                </w:tcPr>
                <w:p w14:paraId="467A1502">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年平均质量浓度</w:t>
                  </w:r>
                </w:p>
              </w:tc>
              <w:tc>
                <w:tcPr>
                  <w:tcW w:w="909" w:type="pct"/>
                  <w:tcBorders>
                    <w:tl2br w:val="nil"/>
                    <w:tr2bl w:val="nil"/>
                  </w:tcBorders>
                  <w:shd w:val="clear" w:color="auto" w:fill="auto"/>
                  <w:vAlign w:val="center"/>
                </w:tcPr>
                <w:p w14:paraId="6E3EA37C">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26</w:t>
                  </w:r>
                </w:p>
              </w:tc>
              <w:tc>
                <w:tcPr>
                  <w:tcW w:w="876" w:type="pct"/>
                  <w:tcBorders>
                    <w:tl2br w:val="nil"/>
                    <w:tr2bl w:val="nil"/>
                  </w:tcBorders>
                  <w:shd w:val="clear" w:color="auto" w:fill="auto"/>
                  <w:vAlign w:val="center"/>
                </w:tcPr>
                <w:p w14:paraId="4BFA8121">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40</w:t>
                  </w:r>
                </w:p>
              </w:tc>
              <w:tc>
                <w:tcPr>
                  <w:tcW w:w="545" w:type="pct"/>
                  <w:tcBorders>
                    <w:tl2br w:val="nil"/>
                    <w:tr2bl w:val="nil"/>
                  </w:tcBorders>
                  <w:shd w:val="clear" w:color="auto" w:fill="auto"/>
                  <w:vAlign w:val="center"/>
                </w:tcPr>
                <w:p w14:paraId="09FB5310">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w:t>
                  </w:r>
                </w:p>
              </w:tc>
              <w:tc>
                <w:tcPr>
                  <w:tcW w:w="651" w:type="pct"/>
                  <w:vMerge w:val="restart"/>
                  <w:tcBorders>
                    <w:tl2br w:val="nil"/>
                    <w:tr2bl w:val="nil"/>
                  </w:tcBorders>
                  <w:vAlign w:val="center"/>
                </w:tcPr>
                <w:p w14:paraId="7955FA9A">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达标</w:t>
                  </w:r>
                </w:p>
              </w:tc>
            </w:tr>
            <w:tr w14:paraId="41B38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vMerge w:val="continue"/>
                  <w:tcBorders>
                    <w:tl2br w:val="nil"/>
                    <w:tr2bl w:val="nil"/>
                  </w:tcBorders>
                  <w:shd w:val="clear" w:color="auto" w:fill="auto"/>
                  <w:vAlign w:val="center"/>
                </w:tcPr>
                <w:p w14:paraId="328EA666">
                  <w:pPr>
                    <w:snapToGrid w:val="0"/>
                    <w:jc w:val="center"/>
                    <w:rPr>
                      <w:rFonts w:hint="default" w:ascii="Times New Roman" w:hAnsi="Times New Roman" w:eastAsia="宋体" w:cs="Times New Roman"/>
                      <w:color w:val="auto"/>
                      <w:szCs w:val="21"/>
                      <w:highlight w:val="none"/>
                    </w:rPr>
                  </w:pPr>
                </w:p>
              </w:tc>
              <w:tc>
                <w:tcPr>
                  <w:tcW w:w="1426" w:type="pct"/>
                  <w:tcBorders>
                    <w:tl2br w:val="nil"/>
                    <w:tr2bl w:val="nil"/>
                  </w:tcBorders>
                  <w:shd w:val="clear" w:color="auto" w:fill="auto"/>
                  <w:vAlign w:val="center"/>
                </w:tcPr>
                <w:p w14:paraId="40C93DD2">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日均值浓度</w:t>
                  </w:r>
                </w:p>
              </w:tc>
              <w:tc>
                <w:tcPr>
                  <w:tcW w:w="909" w:type="pct"/>
                  <w:tcBorders>
                    <w:tl2br w:val="nil"/>
                    <w:tr2bl w:val="nil"/>
                  </w:tcBorders>
                  <w:shd w:val="clear" w:color="auto" w:fill="auto"/>
                  <w:vAlign w:val="center"/>
                </w:tcPr>
                <w:p w14:paraId="26ED7688">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5~92</w:t>
                  </w:r>
                </w:p>
              </w:tc>
              <w:tc>
                <w:tcPr>
                  <w:tcW w:w="876" w:type="pct"/>
                  <w:tcBorders>
                    <w:tl2br w:val="nil"/>
                    <w:tr2bl w:val="nil"/>
                  </w:tcBorders>
                  <w:shd w:val="clear" w:color="auto" w:fill="auto"/>
                  <w:vAlign w:val="center"/>
                </w:tcPr>
                <w:p w14:paraId="68293A20">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80</w:t>
                  </w:r>
                </w:p>
              </w:tc>
              <w:tc>
                <w:tcPr>
                  <w:tcW w:w="545" w:type="pct"/>
                  <w:tcBorders>
                    <w:tl2br w:val="nil"/>
                    <w:tr2bl w:val="nil"/>
                  </w:tcBorders>
                  <w:shd w:val="clear" w:color="auto" w:fill="auto"/>
                  <w:vAlign w:val="center"/>
                </w:tcPr>
                <w:p w14:paraId="6DBC5D18">
                  <w:pPr>
                    <w:snapToGrid w:val="0"/>
                    <w:jc w:val="center"/>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99.2</w:t>
                  </w:r>
                  <w:r>
                    <w:rPr>
                      <w:rFonts w:hint="default" w:ascii="Times New Roman" w:hAnsi="Times New Roman" w:eastAsia="宋体" w:cs="Times New Roman"/>
                      <w:color w:val="auto"/>
                      <w:szCs w:val="21"/>
                      <w:highlight w:val="none"/>
                    </w:rPr>
                    <w:t>%</w:t>
                  </w:r>
                </w:p>
              </w:tc>
              <w:tc>
                <w:tcPr>
                  <w:tcW w:w="651" w:type="pct"/>
                  <w:vMerge w:val="continue"/>
                  <w:tcBorders>
                    <w:tl2br w:val="nil"/>
                    <w:tr2bl w:val="nil"/>
                  </w:tcBorders>
                  <w:vAlign w:val="center"/>
                </w:tcPr>
                <w:p w14:paraId="1BBA6ACC">
                  <w:pPr>
                    <w:snapToGrid w:val="0"/>
                    <w:jc w:val="center"/>
                    <w:rPr>
                      <w:rFonts w:hint="default" w:ascii="Times New Roman" w:hAnsi="Times New Roman" w:eastAsia="宋体" w:cs="Times New Roman"/>
                      <w:color w:val="auto"/>
                      <w:szCs w:val="21"/>
                      <w:highlight w:val="none"/>
                    </w:rPr>
                  </w:pPr>
                </w:p>
              </w:tc>
            </w:tr>
            <w:tr w14:paraId="10864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vMerge w:val="restart"/>
                  <w:tcBorders>
                    <w:tl2br w:val="nil"/>
                    <w:tr2bl w:val="nil"/>
                  </w:tcBorders>
                  <w:shd w:val="clear" w:color="auto" w:fill="auto"/>
                  <w:vAlign w:val="center"/>
                </w:tcPr>
                <w:p w14:paraId="1247971D">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PM</w:t>
                  </w:r>
                  <w:r>
                    <w:rPr>
                      <w:rFonts w:hint="default" w:ascii="Times New Roman" w:hAnsi="Times New Roman" w:eastAsia="宋体" w:cs="Times New Roman"/>
                      <w:color w:val="auto"/>
                      <w:szCs w:val="21"/>
                      <w:highlight w:val="none"/>
                      <w:vertAlign w:val="subscript"/>
                    </w:rPr>
                    <w:t>10</w:t>
                  </w:r>
                </w:p>
              </w:tc>
              <w:tc>
                <w:tcPr>
                  <w:tcW w:w="1426" w:type="pct"/>
                  <w:tcBorders>
                    <w:tl2br w:val="nil"/>
                    <w:tr2bl w:val="nil"/>
                  </w:tcBorders>
                  <w:shd w:val="clear" w:color="auto" w:fill="auto"/>
                  <w:vAlign w:val="center"/>
                </w:tcPr>
                <w:p w14:paraId="79304CE1">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年平均质量浓度</w:t>
                  </w:r>
                </w:p>
              </w:tc>
              <w:tc>
                <w:tcPr>
                  <w:tcW w:w="909" w:type="pct"/>
                  <w:tcBorders>
                    <w:tl2br w:val="nil"/>
                    <w:tr2bl w:val="nil"/>
                  </w:tcBorders>
                  <w:shd w:val="clear" w:color="auto" w:fill="auto"/>
                  <w:vAlign w:val="center"/>
                </w:tcPr>
                <w:p w14:paraId="1DBE9515">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52</w:t>
                  </w:r>
                </w:p>
              </w:tc>
              <w:tc>
                <w:tcPr>
                  <w:tcW w:w="876" w:type="pct"/>
                  <w:tcBorders>
                    <w:tl2br w:val="nil"/>
                    <w:tr2bl w:val="nil"/>
                  </w:tcBorders>
                  <w:shd w:val="clear" w:color="auto" w:fill="auto"/>
                  <w:vAlign w:val="center"/>
                </w:tcPr>
                <w:p w14:paraId="260F99EB">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60</w:t>
                  </w:r>
                </w:p>
              </w:tc>
              <w:tc>
                <w:tcPr>
                  <w:tcW w:w="545" w:type="pct"/>
                  <w:tcBorders>
                    <w:tl2br w:val="nil"/>
                    <w:tr2bl w:val="nil"/>
                  </w:tcBorders>
                  <w:shd w:val="clear" w:color="auto" w:fill="auto"/>
                  <w:vAlign w:val="center"/>
                </w:tcPr>
                <w:p w14:paraId="76917912">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w:t>
                  </w:r>
                </w:p>
              </w:tc>
              <w:tc>
                <w:tcPr>
                  <w:tcW w:w="651" w:type="pct"/>
                  <w:vMerge w:val="restart"/>
                  <w:tcBorders>
                    <w:tl2br w:val="nil"/>
                    <w:tr2bl w:val="nil"/>
                  </w:tcBorders>
                  <w:vAlign w:val="center"/>
                </w:tcPr>
                <w:p w14:paraId="428578AE">
                  <w:pPr>
                    <w:snapToGrid w:val="0"/>
                    <w:jc w:val="center"/>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不</w:t>
                  </w:r>
                  <w:r>
                    <w:rPr>
                      <w:rFonts w:hint="default" w:ascii="Times New Roman" w:hAnsi="Times New Roman" w:eastAsia="宋体" w:cs="Times New Roman"/>
                      <w:color w:val="auto"/>
                      <w:szCs w:val="21"/>
                      <w:highlight w:val="none"/>
                    </w:rPr>
                    <w:t>达标</w:t>
                  </w:r>
                </w:p>
              </w:tc>
            </w:tr>
            <w:tr w14:paraId="766B5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vMerge w:val="continue"/>
                  <w:tcBorders>
                    <w:tl2br w:val="nil"/>
                    <w:tr2bl w:val="nil"/>
                  </w:tcBorders>
                  <w:shd w:val="clear" w:color="auto" w:fill="auto"/>
                  <w:vAlign w:val="center"/>
                </w:tcPr>
                <w:p w14:paraId="78A9A26E">
                  <w:pPr>
                    <w:snapToGrid w:val="0"/>
                    <w:jc w:val="center"/>
                    <w:rPr>
                      <w:rFonts w:hint="default" w:ascii="Times New Roman" w:hAnsi="Times New Roman" w:eastAsia="宋体" w:cs="Times New Roman"/>
                      <w:color w:val="auto"/>
                      <w:szCs w:val="21"/>
                      <w:highlight w:val="none"/>
                    </w:rPr>
                  </w:pPr>
                </w:p>
              </w:tc>
              <w:tc>
                <w:tcPr>
                  <w:tcW w:w="1426" w:type="pct"/>
                  <w:tcBorders>
                    <w:tl2br w:val="nil"/>
                    <w:tr2bl w:val="nil"/>
                  </w:tcBorders>
                  <w:shd w:val="clear" w:color="auto" w:fill="auto"/>
                  <w:vAlign w:val="center"/>
                </w:tcPr>
                <w:p w14:paraId="716A5DE1">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日均值浓度</w:t>
                  </w:r>
                </w:p>
              </w:tc>
              <w:tc>
                <w:tcPr>
                  <w:tcW w:w="909" w:type="pct"/>
                  <w:tcBorders>
                    <w:tl2br w:val="nil"/>
                    <w:tr2bl w:val="nil"/>
                  </w:tcBorders>
                  <w:shd w:val="clear" w:color="auto" w:fill="auto"/>
                  <w:vAlign w:val="center"/>
                </w:tcPr>
                <w:p w14:paraId="34EA52AA">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9~206</w:t>
                  </w:r>
                </w:p>
              </w:tc>
              <w:tc>
                <w:tcPr>
                  <w:tcW w:w="876" w:type="pct"/>
                  <w:tcBorders>
                    <w:tl2br w:val="nil"/>
                    <w:tr2bl w:val="nil"/>
                  </w:tcBorders>
                  <w:shd w:val="clear" w:color="auto" w:fill="auto"/>
                  <w:vAlign w:val="center"/>
                </w:tcPr>
                <w:p w14:paraId="2E0FA9F1">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120</w:t>
                  </w:r>
                </w:p>
              </w:tc>
              <w:tc>
                <w:tcPr>
                  <w:tcW w:w="545" w:type="pct"/>
                  <w:tcBorders>
                    <w:tl2br w:val="nil"/>
                    <w:tr2bl w:val="nil"/>
                  </w:tcBorders>
                  <w:shd w:val="clear" w:color="auto" w:fill="auto"/>
                  <w:vAlign w:val="center"/>
                </w:tcPr>
                <w:p w14:paraId="09A549D9">
                  <w:pPr>
                    <w:snapToGrid w:val="0"/>
                    <w:jc w:val="center"/>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98.3</w:t>
                  </w:r>
                  <w:r>
                    <w:rPr>
                      <w:rFonts w:hint="default" w:ascii="Times New Roman" w:hAnsi="Times New Roman" w:eastAsia="宋体" w:cs="Times New Roman"/>
                      <w:color w:val="auto"/>
                      <w:szCs w:val="21"/>
                      <w:highlight w:val="none"/>
                    </w:rPr>
                    <w:t>%</w:t>
                  </w:r>
                </w:p>
              </w:tc>
              <w:tc>
                <w:tcPr>
                  <w:tcW w:w="651" w:type="pct"/>
                  <w:vMerge w:val="continue"/>
                  <w:tcBorders>
                    <w:tl2br w:val="nil"/>
                    <w:tr2bl w:val="nil"/>
                  </w:tcBorders>
                  <w:vAlign w:val="center"/>
                </w:tcPr>
                <w:p w14:paraId="015AED0D">
                  <w:pPr>
                    <w:snapToGrid w:val="0"/>
                    <w:jc w:val="center"/>
                    <w:rPr>
                      <w:rFonts w:hint="default" w:ascii="Times New Roman" w:hAnsi="Times New Roman" w:eastAsia="宋体" w:cs="Times New Roman"/>
                      <w:color w:val="auto"/>
                      <w:szCs w:val="21"/>
                      <w:highlight w:val="none"/>
                    </w:rPr>
                  </w:pPr>
                </w:p>
              </w:tc>
            </w:tr>
            <w:tr w14:paraId="6B677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vMerge w:val="restart"/>
                  <w:tcBorders>
                    <w:tl2br w:val="nil"/>
                    <w:tr2bl w:val="nil"/>
                  </w:tcBorders>
                  <w:shd w:val="clear" w:color="auto" w:fill="auto"/>
                  <w:vAlign w:val="center"/>
                </w:tcPr>
                <w:p w14:paraId="1ED4F438">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PM</w:t>
                  </w:r>
                  <w:r>
                    <w:rPr>
                      <w:rFonts w:hint="default" w:ascii="Times New Roman" w:hAnsi="Times New Roman" w:eastAsia="宋体" w:cs="Times New Roman"/>
                      <w:color w:val="auto"/>
                      <w:szCs w:val="21"/>
                      <w:highlight w:val="none"/>
                      <w:vertAlign w:val="subscript"/>
                    </w:rPr>
                    <w:t>2.5</w:t>
                  </w:r>
                </w:p>
              </w:tc>
              <w:tc>
                <w:tcPr>
                  <w:tcW w:w="1426" w:type="pct"/>
                  <w:tcBorders>
                    <w:tl2br w:val="nil"/>
                    <w:tr2bl w:val="nil"/>
                  </w:tcBorders>
                  <w:shd w:val="clear" w:color="auto" w:fill="auto"/>
                  <w:vAlign w:val="center"/>
                </w:tcPr>
                <w:p w14:paraId="6C5510F4">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年平均质量浓度</w:t>
                  </w:r>
                </w:p>
              </w:tc>
              <w:tc>
                <w:tcPr>
                  <w:tcW w:w="909" w:type="pct"/>
                  <w:tcBorders>
                    <w:tl2br w:val="nil"/>
                    <w:tr2bl w:val="nil"/>
                  </w:tcBorders>
                  <w:shd w:val="clear" w:color="auto" w:fill="auto"/>
                  <w:vAlign w:val="center"/>
                </w:tcPr>
                <w:p w14:paraId="3D2A9D18">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32</w:t>
                  </w:r>
                </w:p>
              </w:tc>
              <w:tc>
                <w:tcPr>
                  <w:tcW w:w="876" w:type="pct"/>
                  <w:tcBorders>
                    <w:tl2br w:val="nil"/>
                    <w:tr2bl w:val="nil"/>
                  </w:tcBorders>
                  <w:shd w:val="clear" w:color="auto" w:fill="auto"/>
                  <w:vAlign w:val="center"/>
                </w:tcPr>
                <w:p w14:paraId="70156F72">
                  <w:pPr>
                    <w:snapToGrid w:val="0"/>
                    <w:jc w:val="center"/>
                    <w:rPr>
                      <w:rFonts w:hint="eastAsia"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3</w:t>
                  </w:r>
                  <w:r>
                    <w:rPr>
                      <w:rFonts w:hint="eastAsia" w:cs="Times New Roman"/>
                      <w:color w:val="auto"/>
                      <w:szCs w:val="21"/>
                      <w:highlight w:val="none"/>
                      <w:lang w:val="en-US" w:eastAsia="zh-CN"/>
                    </w:rPr>
                    <w:t>0</w:t>
                  </w:r>
                </w:p>
              </w:tc>
              <w:tc>
                <w:tcPr>
                  <w:tcW w:w="545" w:type="pct"/>
                  <w:tcBorders>
                    <w:tl2br w:val="nil"/>
                    <w:tr2bl w:val="nil"/>
                  </w:tcBorders>
                  <w:shd w:val="clear" w:color="auto" w:fill="auto"/>
                  <w:vAlign w:val="center"/>
                </w:tcPr>
                <w:p w14:paraId="5FD9B7E4">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w:t>
                  </w:r>
                </w:p>
              </w:tc>
              <w:tc>
                <w:tcPr>
                  <w:tcW w:w="651" w:type="pct"/>
                  <w:vMerge w:val="restart"/>
                  <w:tcBorders>
                    <w:tl2br w:val="nil"/>
                    <w:tr2bl w:val="nil"/>
                  </w:tcBorders>
                  <w:vAlign w:val="center"/>
                </w:tcPr>
                <w:p w14:paraId="4FE36DCF">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不达标</w:t>
                  </w:r>
                </w:p>
              </w:tc>
            </w:tr>
            <w:tr w14:paraId="75AE3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vMerge w:val="continue"/>
                  <w:tcBorders>
                    <w:tl2br w:val="nil"/>
                    <w:tr2bl w:val="nil"/>
                  </w:tcBorders>
                  <w:shd w:val="clear" w:color="auto" w:fill="auto"/>
                  <w:vAlign w:val="center"/>
                </w:tcPr>
                <w:p w14:paraId="7640F49D">
                  <w:pPr>
                    <w:snapToGrid w:val="0"/>
                    <w:jc w:val="center"/>
                    <w:rPr>
                      <w:rFonts w:hint="default" w:ascii="Times New Roman" w:hAnsi="Times New Roman" w:eastAsia="宋体" w:cs="Times New Roman"/>
                      <w:color w:val="auto"/>
                      <w:szCs w:val="21"/>
                      <w:highlight w:val="none"/>
                    </w:rPr>
                  </w:pPr>
                </w:p>
              </w:tc>
              <w:tc>
                <w:tcPr>
                  <w:tcW w:w="1426" w:type="pct"/>
                  <w:tcBorders>
                    <w:tl2br w:val="nil"/>
                    <w:tr2bl w:val="nil"/>
                  </w:tcBorders>
                  <w:shd w:val="clear" w:color="auto" w:fill="auto"/>
                  <w:vAlign w:val="center"/>
                </w:tcPr>
                <w:p w14:paraId="6ACF374B">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日均值浓度</w:t>
                  </w:r>
                </w:p>
              </w:tc>
              <w:tc>
                <w:tcPr>
                  <w:tcW w:w="909" w:type="pct"/>
                  <w:tcBorders>
                    <w:tl2br w:val="nil"/>
                    <w:tr2bl w:val="nil"/>
                  </w:tcBorders>
                  <w:shd w:val="clear" w:color="auto" w:fill="auto"/>
                  <w:vAlign w:val="center"/>
                </w:tcPr>
                <w:p w14:paraId="4C1FE1C3">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5~157</w:t>
                  </w:r>
                </w:p>
              </w:tc>
              <w:tc>
                <w:tcPr>
                  <w:tcW w:w="876" w:type="pct"/>
                  <w:tcBorders>
                    <w:tl2br w:val="nil"/>
                    <w:tr2bl w:val="nil"/>
                  </w:tcBorders>
                  <w:shd w:val="clear" w:color="auto" w:fill="auto"/>
                  <w:vAlign w:val="center"/>
                </w:tcPr>
                <w:p w14:paraId="18F1A6F8">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60</w:t>
                  </w:r>
                </w:p>
              </w:tc>
              <w:tc>
                <w:tcPr>
                  <w:tcW w:w="545" w:type="pct"/>
                  <w:tcBorders>
                    <w:tl2br w:val="nil"/>
                    <w:tr2bl w:val="nil"/>
                  </w:tcBorders>
                  <w:shd w:val="clear" w:color="auto" w:fill="auto"/>
                  <w:vAlign w:val="center"/>
                </w:tcPr>
                <w:p w14:paraId="713B76C3">
                  <w:pPr>
                    <w:snapToGrid w:val="0"/>
                    <w:jc w:val="center"/>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93.2</w:t>
                  </w:r>
                  <w:r>
                    <w:rPr>
                      <w:rFonts w:hint="default" w:ascii="Times New Roman" w:hAnsi="Times New Roman" w:eastAsia="宋体" w:cs="Times New Roman"/>
                      <w:color w:val="auto"/>
                      <w:szCs w:val="21"/>
                      <w:highlight w:val="none"/>
                    </w:rPr>
                    <w:t>%</w:t>
                  </w:r>
                </w:p>
              </w:tc>
              <w:tc>
                <w:tcPr>
                  <w:tcW w:w="651" w:type="pct"/>
                  <w:vMerge w:val="continue"/>
                  <w:tcBorders>
                    <w:tl2br w:val="nil"/>
                    <w:tr2bl w:val="nil"/>
                  </w:tcBorders>
                  <w:vAlign w:val="center"/>
                </w:tcPr>
                <w:p w14:paraId="38CE3E10">
                  <w:pPr>
                    <w:snapToGrid w:val="0"/>
                    <w:jc w:val="center"/>
                    <w:rPr>
                      <w:rFonts w:hint="default" w:ascii="Times New Roman" w:hAnsi="Times New Roman" w:eastAsia="宋体" w:cs="Times New Roman"/>
                      <w:color w:val="auto"/>
                      <w:szCs w:val="21"/>
                      <w:highlight w:val="none"/>
                    </w:rPr>
                  </w:pPr>
                </w:p>
              </w:tc>
            </w:tr>
            <w:tr w14:paraId="0B122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tcBorders>
                    <w:tl2br w:val="nil"/>
                    <w:tr2bl w:val="nil"/>
                  </w:tcBorders>
                  <w:shd w:val="clear" w:color="auto" w:fill="auto"/>
                  <w:vAlign w:val="center"/>
                </w:tcPr>
                <w:p w14:paraId="03B7E0EA">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CO</w:t>
                  </w:r>
                </w:p>
              </w:tc>
              <w:tc>
                <w:tcPr>
                  <w:tcW w:w="1426" w:type="pct"/>
                  <w:tcBorders>
                    <w:tl2br w:val="nil"/>
                    <w:tr2bl w:val="nil"/>
                  </w:tcBorders>
                  <w:shd w:val="clear" w:color="auto" w:fill="auto"/>
                  <w:vAlign w:val="center"/>
                </w:tcPr>
                <w:p w14:paraId="7C3FC962">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日均值的第95百分位数</w:t>
                  </w:r>
                </w:p>
              </w:tc>
              <w:tc>
                <w:tcPr>
                  <w:tcW w:w="909" w:type="pct"/>
                  <w:tcBorders>
                    <w:tl2br w:val="nil"/>
                    <w:tr2bl w:val="nil"/>
                  </w:tcBorders>
                  <w:shd w:val="clear" w:color="auto" w:fill="auto"/>
                  <w:vAlign w:val="center"/>
                </w:tcPr>
                <w:p w14:paraId="0A2BA1BE">
                  <w:pPr>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w:t>
                  </w:r>
                  <w:r>
                    <w:rPr>
                      <w:rFonts w:hint="eastAsia" w:cs="Times New Roman"/>
                      <w:color w:val="auto"/>
                      <w:szCs w:val="21"/>
                      <w:highlight w:val="none"/>
                      <w:lang w:val="en-US" w:eastAsia="zh-CN"/>
                    </w:rPr>
                    <w:t>0</w:t>
                  </w:r>
                  <w:r>
                    <w:rPr>
                      <w:rFonts w:hint="default" w:ascii="Times New Roman" w:hAnsi="Times New Roman" w:eastAsia="宋体" w:cs="Times New Roman"/>
                      <w:color w:val="auto"/>
                      <w:szCs w:val="21"/>
                      <w:highlight w:val="none"/>
                      <w:lang w:val="en-US" w:eastAsia="zh-CN"/>
                    </w:rPr>
                    <w:t>00</w:t>
                  </w:r>
                </w:p>
              </w:tc>
              <w:tc>
                <w:tcPr>
                  <w:tcW w:w="876" w:type="pct"/>
                  <w:tcBorders>
                    <w:tl2br w:val="nil"/>
                    <w:tr2bl w:val="nil"/>
                  </w:tcBorders>
                  <w:shd w:val="clear" w:color="auto" w:fill="auto"/>
                  <w:vAlign w:val="center"/>
                </w:tcPr>
                <w:p w14:paraId="21C5AF23">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4000</w:t>
                  </w:r>
                </w:p>
              </w:tc>
              <w:tc>
                <w:tcPr>
                  <w:tcW w:w="545" w:type="pct"/>
                  <w:tcBorders>
                    <w:tl2br w:val="nil"/>
                    <w:tr2bl w:val="nil"/>
                  </w:tcBorders>
                  <w:shd w:val="clear" w:color="auto" w:fill="auto"/>
                  <w:vAlign w:val="center"/>
                </w:tcPr>
                <w:p w14:paraId="59436F3F">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w:t>
                  </w:r>
                </w:p>
              </w:tc>
              <w:tc>
                <w:tcPr>
                  <w:tcW w:w="651" w:type="pct"/>
                  <w:tcBorders>
                    <w:tl2br w:val="nil"/>
                    <w:tr2bl w:val="nil"/>
                  </w:tcBorders>
                  <w:vAlign w:val="center"/>
                </w:tcPr>
                <w:p w14:paraId="0206404E">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达标</w:t>
                  </w:r>
                </w:p>
              </w:tc>
            </w:tr>
            <w:tr w14:paraId="6A6F2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tcBorders>
                    <w:tl2br w:val="nil"/>
                    <w:tr2bl w:val="nil"/>
                  </w:tcBorders>
                  <w:shd w:val="clear" w:color="auto" w:fill="auto"/>
                  <w:vAlign w:val="center"/>
                </w:tcPr>
                <w:p w14:paraId="3484597C">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O</w:t>
                  </w:r>
                  <w:r>
                    <w:rPr>
                      <w:rFonts w:hint="default" w:ascii="Times New Roman" w:hAnsi="Times New Roman" w:eastAsia="宋体" w:cs="Times New Roman"/>
                      <w:color w:val="auto"/>
                      <w:szCs w:val="21"/>
                      <w:highlight w:val="none"/>
                      <w:vertAlign w:val="subscript"/>
                    </w:rPr>
                    <w:t>3</w:t>
                  </w:r>
                </w:p>
              </w:tc>
              <w:tc>
                <w:tcPr>
                  <w:tcW w:w="1426" w:type="pct"/>
                  <w:tcBorders>
                    <w:tl2br w:val="nil"/>
                    <w:tr2bl w:val="nil"/>
                  </w:tcBorders>
                  <w:shd w:val="clear" w:color="auto" w:fill="auto"/>
                  <w:vAlign w:val="center"/>
                </w:tcPr>
                <w:p w14:paraId="6922BE46">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日最大8小时滑动平均值的第90百分位数</w:t>
                  </w:r>
                </w:p>
              </w:tc>
              <w:tc>
                <w:tcPr>
                  <w:tcW w:w="909" w:type="pct"/>
                  <w:tcBorders>
                    <w:tl2br w:val="nil"/>
                    <w:tr2bl w:val="nil"/>
                  </w:tcBorders>
                  <w:shd w:val="clear" w:color="auto" w:fill="auto"/>
                  <w:vAlign w:val="center"/>
                </w:tcPr>
                <w:p w14:paraId="7BBB1951">
                  <w:pPr>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168</w:t>
                  </w:r>
                </w:p>
              </w:tc>
              <w:tc>
                <w:tcPr>
                  <w:tcW w:w="876" w:type="pct"/>
                  <w:tcBorders>
                    <w:tl2br w:val="nil"/>
                    <w:tr2bl w:val="nil"/>
                  </w:tcBorders>
                  <w:shd w:val="clear" w:color="auto" w:fill="auto"/>
                  <w:vAlign w:val="center"/>
                </w:tcPr>
                <w:p w14:paraId="7FCF57A7">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160</w:t>
                  </w:r>
                </w:p>
              </w:tc>
              <w:tc>
                <w:tcPr>
                  <w:tcW w:w="545" w:type="pct"/>
                  <w:tcBorders>
                    <w:tl2br w:val="nil"/>
                    <w:tr2bl w:val="nil"/>
                  </w:tcBorders>
                  <w:shd w:val="clear" w:color="auto" w:fill="auto"/>
                  <w:vAlign w:val="center"/>
                </w:tcPr>
                <w:p w14:paraId="306701F7">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w:t>
                  </w:r>
                  <w:r>
                    <w:rPr>
                      <w:rFonts w:hint="eastAsia" w:cs="Times New Roman"/>
                      <w:color w:val="auto"/>
                      <w:szCs w:val="21"/>
                      <w:highlight w:val="none"/>
                      <w:lang w:val="en-US" w:eastAsia="zh-CN"/>
                    </w:rPr>
                    <w:t>6.3</w:t>
                  </w:r>
                  <w:r>
                    <w:rPr>
                      <w:rFonts w:hint="default" w:ascii="Times New Roman" w:hAnsi="Times New Roman" w:eastAsia="宋体" w:cs="Times New Roman"/>
                      <w:color w:val="auto"/>
                      <w:szCs w:val="21"/>
                      <w:highlight w:val="none"/>
                    </w:rPr>
                    <w:t>%</w:t>
                  </w:r>
                </w:p>
              </w:tc>
              <w:tc>
                <w:tcPr>
                  <w:tcW w:w="651" w:type="pct"/>
                  <w:tcBorders>
                    <w:tl2br w:val="nil"/>
                    <w:tr2bl w:val="nil"/>
                  </w:tcBorders>
                  <w:vAlign w:val="center"/>
                </w:tcPr>
                <w:p w14:paraId="41CD6C99">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不达标</w:t>
                  </w:r>
                </w:p>
              </w:tc>
            </w:tr>
          </w:tbl>
          <w:p w14:paraId="6C0353A2">
            <w:pPr>
              <w:adjustRightInd w:val="0"/>
              <w:snapToGrid w:val="0"/>
              <w:spacing w:line="360" w:lineRule="auto"/>
              <w:rPr>
                <w:color w:val="auto"/>
                <w:sz w:val="10"/>
                <w:szCs w:val="10"/>
              </w:rPr>
            </w:pPr>
          </w:p>
          <w:p w14:paraId="691DF9A5">
            <w:pPr>
              <w:spacing w:line="360" w:lineRule="auto"/>
              <w:ind w:firstLine="480" w:firstLineChars="200"/>
              <w:rPr>
                <w:rFonts w:eastAsiaTheme="minorEastAsia"/>
                <w:color w:val="auto"/>
                <w:sz w:val="24"/>
                <w:szCs w:val="24"/>
              </w:rPr>
            </w:pPr>
            <w:r>
              <w:rPr>
                <w:rFonts w:hint="eastAsia" w:cs="Times New Roman"/>
                <w:color w:val="auto"/>
                <w:sz w:val="24"/>
                <w:szCs w:val="24"/>
                <w:highlight w:val="none"/>
                <w:lang w:eastAsia="zh-CN"/>
              </w:rPr>
              <w:t>根据《202</w:t>
            </w:r>
            <w:r>
              <w:rPr>
                <w:rFonts w:hint="eastAsia" w:cs="Times New Roman"/>
                <w:color w:val="auto"/>
                <w:sz w:val="24"/>
                <w:szCs w:val="24"/>
                <w:highlight w:val="none"/>
                <w:lang w:val="en-US" w:eastAsia="zh-CN"/>
              </w:rPr>
              <w:t>4</w:t>
            </w:r>
            <w:r>
              <w:rPr>
                <w:rFonts w:hint="eastAsia" w:cs="Times New Roman"/>
                <w:color w:val="auto"/>
                <w:sz w:val="24"/>
                <w:szCs w:val="24"/>
                <w:highlight w:val="none"/>
                <w:lang w:eastAsia="zh-CN"/>
              </w:rPr>
              <w:t>年常州市生态环境状况公报》项目所在区域环境空气中SO</w:t>
            </w:r>
            <w:r>
              <w:rPr>
                <w:rFonts w:hint="eastAsia" w:cs="Times New Roman"/>
                <w:color w:val="auto"/>
                <w:sz w:val="24"/>
                <w:szCs w:val="24"/>
                <w:highlight w:val="none"/>
                <w:vertAlign w:val="subscript"/>
                <w:lang w:eastAsia="zh-CN"/>
              </w:rPr>
              <w:t>2</w:t>
            </w:r>
            <w:r>
              <w:rPr>
                <w:rFonts w:hint="eastAsia" w:cs="Times New Roman"/>
                <w:color w:val="auto"/>
                <w:sz w:val="24"/>
                <w:szCs w:val="24"/>
                <w:highlight w:val="none"/>
                <w:lang w:eastAsia="zh-CN"/>
              </w:rPr>
              <w:t>、NO</w:t>
            </w:r>
            <w:r>
              <w:rPr>
                <w:rFonts w:hint="eastAsia" w:cs="Times New Roman"/>
                <w:color w:val="auto"/>
                <w:sz w:val="24"/>
                <w:szCs w:val="24"/>
                <w:highlight w:val="none"/>
                <w:vertAlign w:val="subscript"/>
                <w:lang w:eastAsia="zh-CN"/>
              </w:rPr>
              <w:t>2</w:t>
            </w:r>
            <w:r>
              <w:rPr>
                <w:rFonts w:hint="eastAsia" w:cs="Times New Roman"/>
                <w:color w:val="auto"/>
                <w:sz w:val="24"/>
                <w:szCs w:val="24"/>
                <w:highlight w:val="none"/>
                <w:lang w:eastAsia="zh-CN"/>
              </w:rPr>
              <w:t>、CO、PM</w:t>
            </w:r>
            <w:r>
              <w:rPr>
                <w:rFonts w:hint="eastAsia" w:cs="Times New Roman"/>
                <w:color w:val="auto"/>
                <w:sz w:val="24"/>
                <w:szCs w:val="24"/>
                <w:highlight w:val="none"/>
                <w:vertAlign w:val="subscript"/>
                <w:lang w:eastAsia="zh-CN"/>
              </w:rPr>
              <w:t>10</w:t>
            </w:r>
            <w:r>
              <w:rPr>
                <w:rFonts w:hint="eastAsia" w:cs="Times New Roman"/>
                <w:color w:val="auto"/>
                <w:sz w:val="24"/>
                <w:szCs w:val="24"/>
                <w:highlight w:val="none"/>
                <w:lang w:eastAsia="zh-CN"/>
              </w:rPr>
              <w:t>年平均质量浓度监测结果均符合《环境空气质量标准》（GB3095-20</w:t>
            </w:r>
            <w:r>
              <w:rPr>
                <w:rFonts w:hint="eastAsia" w:cs="Times New Roman"/>
                <w:color w:val="auto"/>
                <w:sz w:val="24"/>
                <w:szCs w:val="24"/>
                <w:highlight w:val="none"/>
                <w:lang w:val="en-US" w:eastAsia="zh-CN"/>
              </w:rPr>
              <w:t>26</w:t>
            </w:r>
            <w:r>
              <w:rPr>
                <w:rFonts w:hint="eastAsia" w:cs="Times New Roman"/>
                <w:color w:val="auto"/>
                <w:sz w:val="24"/>
                <w:szCs w:val="24"/>
                <w:highlight w:val="none"/>
                <w:lang w:eastAsia="zh-CN"/>
              </w:rPr>
              <w:t>）表1中</w:t>
            </w:r>
            <w:r>
              <w:rPr>
                <w:rFonts w:hint="eastAsia" w:cs="Times New Roman"/>
                <w:color w:val="auto"/>
                <w:sz w:val="24"/>
                <w:szCs w:val="24"/>
                <w:highlight w:val="none"/>
                <w:lang w:val="en-US" w:eastAsia="zh-CN"/>
              </w:rPr>
              <w:t>过渡阶段浓度限值</w:t>
            </w:r>
            <w:r>
              <w:rPr>
                <w:rFonts w:hint="eastAsia" w:cs="Times New Roman"/>
                <w:color w:val="auto"/>
                <w:sz w:val="24"/>
                <w:szCs w:val="24"/>
                <w:highlight w:val="none"/>
                <w:lang w:eastAsia="zh-CN"/>
              </w:rPr>
              <w:t>二级标准要求；区域环境空气中SO</w:t>
            </w:r>
            <w:r>
              <w:rPr>
                <w:rFonts w:hint="eastAsia" w:cs="Times New Roman"/>
                <w:color w:val="auto"/>
                <w:sz w:val="24"/>
                <w:szCs w:val="24"/>
                <w:highlight w:val="none"/>
                <w:vertAlign w:val="subscript"/>
                <w:lang w:eastAsia="zh-CN"/>
              </w:rPr>
              <w:t>2</w:t>
            </w:r>
            <w:r>
              <w:rPr>
                <w:rFonts w:hint="eastAsia" w:cs="Times New Roman"/>
                <w:color w:val="auto"/>
                <w:sz w:val="24"/>
                <w:szCs w:val="24"/>
                <w:highlight w:val="none"/>
                <w:lang w:eastAsia="zh-CN"/>
              </w:rPr>
              <w:t>、CO日平均质量浓度监测结果均符合《环境空气质量标准》（GB3095-20</w:t>
            </w:r>
            <w:r>
              <w:rPr>
                <w:rFonts w:hint="eastAsia" w:cs="Times New Roman"/>
                <w:color w:val="auto"/>
                <w:sz w:val="24"/>
                <w:szCs w:val="24"/>
                <w:highlight w:val="none"/>
                <w:lang w:val="en-US" w:eastAsia="zh-CN"/>
              </w:rPr>
              <w:t>26</w:t>
            </w:r>
            <w:r>
              <w:rPr>
                <w:rFonts w:hint="eastAsia" w:cs="Times New Roman"/>
                <w:color w:val="auto"/>
                <w:sz w:val="24"/>
                <w:szCs w:val="24"/>
                <w:highlight w:val="none"/>
                <w:lang w:eastAsia="zh-CN"/>
              </w:rPr>
              <w:t>）表1中</w:t>
            </w:r>
            <w:r>
              <w:rPr>
                <w:rFonts w:hint="eastAsia" w:cs="Times New Roman"/>
                <w:color w:val="auto"/>
                <w:sz w:val="24"/>
                <w:szCs w:val="24"/>
                <w:highlight w:val="none"/>
                <w:lang w:val="en-US" w:eastAsia="zh-CN"/>
              </w:rPr>
              <w:t>过渡阶段浓度限值</w:t>
            </w:r>
            <w:r>
              <w:rPr>
                <w:rFonts w:hint="eastAsia" w:cs="Times New Roman"/>
                <w:color w:val="auto"/>
                <w:sz w:val="24"/>
                <w:szCs w:val="24"/>
                <w:highlight w:val="none"/>
                <w:lang w:eastAsia="zh-CN"/>
              </w:rPr>
              <w:t>二级标准要求；区域环境空气中O</w:t>
            </w:r>
            <w:r>
              <w:rPr>
                <w:rFonts w:hint="eastAsia" w:cs="Times New Roman"/>
                <w:color w:val="auto"/>
                <w:sz w:val="24"/>
                <w:szCs w:val="24"/>
                <w:highlight w:val="none"/>
                <w:vertAlign w:val="subscript"/>
                <w:lang w:eastAsia="zh-CN"/>
              </w:rPr>
              <w:t>3</w:t>
            </w:r>
            <w:r>
              <w:rPr>
                <w:rFonts w:hint="eastAsia" w:cs="Times New Roman"/>
                <w:color w:val="auto"/>
                <w:sz w:val="24"/>
                <w:szCs w:val="24"/>
                <w:highlight w:val="none"/>
                <w:lang w:eastAsia="zh-CN"/>
              </w:rPr>
              <w:t>日最大8小时滑动平均值的第90百分位数及PM</w:t>
            </w:r>
            <w:r>
              <w:rPr>
                <w:rFonts w:hint="eastAsia" w:cs="Times New Roman"/>
                <w:color w:val="auto"/>
                <w:sz w:val="24"/>
                <w:szCs w:val="24"/>
                <w:highlight w:val="none"/>
                <w:vertAlign w:val="subscript"/>
                <w:lang w:eastAsia="zh-CN"/>
              </w:rPr>
              <w:t>2.5</w:t>
            </w:r>
            <w:r>
              <w:rPr>
                <w:rFonts w:hint="eastAsia" w:cs="Times New Roman"/>
                <w:color w:val="auto"/>
                <w:sz w:val="24"/>
                <w:szCs w:val="24"/>
                <w:highlight w:val="none"/>
                <w:vertAlign w:val="baseline"/>
                <w:lang w:val="en-US" w:eastAsia="zh-CN"/>
              </w:rPr>
              <w:t>年均值和</w:t>
            </w:r>
            <w:r>
              <w:rPr>
                <w:rFonts w:hint="eastAsia" w:cs="Times New Roman"/>
                <w:color w:val="auto"/>
                <w:sz w:val="24"/>
                <w:szCs w:val="24"/>
                <w:highlight w:val="none"/>
                <w:lang w:eastAsia="zh-CN"/>
              </w:rPr>
              <w:t>日均值的第95百分位数浓度超标，因此，本项目所在区域为不达标区</w:t>
            </w:r>
            <w:r>
              <w:rPr>
                <w:bCs/>
                <w:color w:val="auto"/>
                <w:sz w:val="24"/>
              </w:rPr>
              <w:t>。</w:t>
            </w:r>
          </w:p>
          <w:p w14:paraId="1EE55343">
            <w:pPr>
              <w:spacing w:line="360" w:lineRule="auto"/>
              <w:ind w:firstLine="480" w:firstLineChars="200"/>
              <w:rPr>
                <w:rFonts w:eastAsiaTheme="minorEastAsia"/>
                <w:color w:val="auto"/>
                <w:sz w:val="24"/>
                <w:szCs w:val="24"/>
              </w:rPr>
            </w:pPr>
            <w:r>
              <w:rPr>
                <w:rFonts w:hint="eastAsia" w:ascii="宋体" w:hAnsi="宋体" w:cs="宋体" w:eastAsiaTheme="minorEastAsia"/>
                <w:color w:val="auto"/>
                <w:sz w:val="24"/>
                <w:szCs w:val="24"/>
              </w:rPr>
              <w:t>（</w:t>
            </w:r>
            <w:r>
              <w:rPr>
                <w:rFonts w:eastAsiaTheme="minorEastAsia"/>
                <w:color w:val="auto"/>
                <w:sz w:val="24"/>
                <w:szCs w:val="24"/>
              </w:rPr>
              <w:t>2</w:t>
            </w:r>
            <w:r>
              <w:rPr>
                <w:rFonts w:hint="eastAsia" w:ascii="宋体" w:hAnsi="宋体" w:cs="宋体" w:eastAsiaTheme="minorEastAsia"/>
                <w:color w:val="auto"/>
                <w:sz w:val="24"/>
                <w:szCs w:val="24"/>
                <w:lang w:eastAsia="zh-CN"/>
              </w:rPr>
              <w:t>）</w:t>
            </w:r>
            <w:r>
              <w:rPr>
                <w:rFonts w:eastAsiaTheme="minorEastAsia"/>
                <w:color w:val="auto"/>
                <w:sz w:val="24"/>
                <w:szCs w:val="24"/>
              </w:rPr>
              <w:t>区域削减</w:t>
            </w:r>
          </w:p>
          <w:p w14:paraId="1DB6909E">
            <w:pPr>
              <w:spacing w:line="360" w:lineRule="auto"/>
              <w:ind w:firstLine="480" w:firstLineChars="200"/>
              <w:rPr>
                <w:rFonts w:hint="eastAsia"/>
                <w:bCs/>
                <w:color w:val="auto"/>
                <w:sz w:val="24"/>
                <w:szCs w:val="24"/>
              </w:rPr>
            </w:pPr>
            <w:r>
              <w:rPr>
                <w:rFonts w:hint="eastAsia"/>
                <w:bCs/>
                <w:color w:val="auto"/>
                <w:sz w:val="24"/>
                <w:szCs w:val="24"/>
              </w:rPr>
              <w:t>为加快改善环境空气质量，常州市人民政府发布了</w:t>
            </w:r>
            <w:r>
              <w:rPr>
                <w:rFonts w:hint="eastAsia"/>
                <w:bCs/>
                <w:color w:val="auto"/>
                <w:sz w:val="24"/>
                <w:szCs w:val="24"/>
                <w:lang w:eastAsia="zh-CN"/>
              </w:rPr>
              <w:t>“</w:t>
            </w:r>
            <w:r>
              <w:rPr>
                <w:rFonts w:hint="eastAsia"/>
                <w:bCs/>
                <w:color w:val="auto"/>
                <w:sz w:val="24"/>
                <w:szCs w:val="24"/>
              </w:rPr>
              <w:t>市政府关于印发《常州市空气质量持续改善行动计划实施方案》的通知</w:t>
            </w:r>
            <w:r>
              <w:rPr>
                <w:rFonts w:hint="eastAsia"/>
                <w:bCs/>
                <w:color w:val="auto"/>
                <w:sz w:val="24"/>
                <w:szCs w:val="24"/>
                <w:lang w:eastAsia="zh-CN"/>
              </w:rPr>
              <w:t>”</w:t>
            </w:r>
            <w:r>
              <w:rPr>
                <w:rFonts w:hint="eastAsia"/>
                <w:bCs/>
                <w:color w:val="auto"/>
                <w:sz w:val="24"/>
                <w:szCs w:val="24"/>
              </w:rPr>
              <w:t>（常政发[2024]51号</w:t>
            </w:r>
            <w:r>
              <w:rPr>
                <w:rFonts w:hint="eastAsia"/>
                <w:bCs/>
                <w:color w:val="auto"/>
                <w:sz w:val="24"/>
                <w:szCs w:val="24"/>
                <w:lang w:eastAsia="zh-CN"/>
              </w:rPr>
              <w:t>）</w:t>
            </w:r>
            <w:r>
              <w:rPr>
                <w:rFonts w:hint="eastAsia"/>
                <w:bCs/>
                <w:color w:val="auto"/>
                <w:sz w:val="24"/>
                <w:szCs w:val="24"/>
              </w:rPr>
              <w:t>，进一步提出如下大气污染防治工作计划：</w:t>
            </w:r>
          </w:p>
          <w:p w14:paraId="20542B87">
            <w:pPr>
              <w:spacing w:line="360" w:lineRule="auto"/>
              <w:ind w:firstLine="480" w:firstLineChars="200"/>
              <w:rPr>
                <w:rFonts w:hint="eastAsia"/>
                <w:bCs/>
                <w:color w:val="auto"/>
                <w:sz w:val="24"/>
                <w:szCs w:val="24"/>
              </w:rPr>
            </w:pPr>
            <w:r>
              <w:rPr>
                <w:rFonts w:hint="eastAsia"/>
                <w:bCs/>
                <w:color w:val="auto"/>
                <w:sz w:val="24"/>
                <w:szCs w:val="24"/>
              </w:rPr>
              <w:t>一、工作目标</w:t>
            </w:r>
          </w:p>
          <w:p w14:paraId="6471C6D1">
            <w:pPr>
              <w:spacing w:line="360" w:lineRule="auto"/>
              <w:ind w:firstLine="480" w:firstLineChars="200"/>
              <w:rPr>
                <w:rFonts w:hint="eastAsia"/>
                <w:bCs/>
                <w:color w:val="auto"/>
                <w:sz w:val="24"/>
                <w:szCs w:val="24"/>
              </w:rPr>
            </w:pPr>
            <w:r>
              <w:rPr>
                <w:rFonts w:hint="eastAsia"/>
                <w:bCs/>
                <w:color w:val="auto"/>
                <w:sz w:val="24"/>
                <w:szCs w:val="24"/>
              </w:rPr>
              <w:t>以习近平新时代中国特色社会主义思想为指导，全面贯彻党的二十大及二十届三中全会精神，深入贯彻习近平生态文明思想，认真贯彻习近平总书记对江苏工作重要讲话精神，协同推进降碳、减污、扩绿、增长，以改善空气质量为核心，扎实</w:t>
            </w:r>
            <w:r>
              <w:rPr>
                <w:rFonts w:hint="eastAsia"/>
                <w:bCs/>
                <w:color w:val="auto"/>
                <w:sz w:val="24"/>
                <w:szCs w:val="24"/>
                <w:lang w:eastAsia="zh-CN"/>
              </w:rPr>
              <w:t>推进</w:t>
            </w:r>
            <w:r>
              <w:rPr>
                <w:rFonts w:hint="eastAsia"/>
                <w:bCs/>
                <w:color w:val="auto"/>
                <w:sz w:val="24"/>
                <w:szCs w:val="24"/>
              </w:rPr>
              <w:t>产业、能源、交通绿色低碳转型，推动常州高质量发展继续走在前列，奋力书写好中国式现代化常州答卷，主要目标是：全市PM2.5浓度总体达标，PM2.5浓度比2020年下降10%，基本消除重度及以上污染天气，空气质量持续改善：氮氧化物和VOCs排放总量比2020年分别下降10%以上，完成省下达的减排目标。</w:t>
            </w:r>
          </w:p>
          <w:p w14:paraId="055282F5">
            <w:pPr>
              <w:spacing w:line="360" w:lineRule="auto"/>
              <w:ind w:firstLine="480" w:firstLineChars="200"/>
              <w:rPr>
                <w:rFonts w:hint="eastAsia"/>
                <w:bCs/>
                <w:color w:val="auto"/>
                <w:sz w:val="24"/>
                <w:szCs w:val="24"/>
              </w:rPr>
            </w:pPr>
            <w:r>
              <w:rPr>
                <w:rFonts w:hint="eastAsia"/>
                <w:bCs/>
                <w:color w:val="auto"/>
                <w:sz w:val="24"/>
                <w:szCs w:val="24"/>
              </w:rPr>
              <w:t>二、调整优化产业结构，推进产业绿色低碳发展</w:t>
            </w:r>
          </w:p>
          <w:p w14:paraId="3FF7F9CA">
            <w:pPr>
              <w:spacing w:line="360" w:lineRule="auto"/>
              <w:ind w:firstLine="480" w:firstLineChars="200"/>
              <w:rPr>
                <w:rFonts w:hint="eastAsia"/>
                <w:bCs/>
                <w:color w:val="auto"/>
                <w:sz w:val="24"/>
                <w:szCs w:val="24"/>
              </w:rPr>
            </w:pPr>
            <w:r>
              <w:rPr>
                <w:rFonts w:hint="eastAsia"/>
                <w:bCs/>
                <w:color w:val="auto"/>
                <w:sz w:val="24"/>
                <w:szCs w:val="24"/>
              </w:rPr>
              <w:t>（一</w:t>
            </w:r>
            <w:r>
              <w:rPr>
                <w:rFonts w:hint="eastAsia"/>
                <w:bCs/>
                <w:color w:val="auto"/>
                <w:sz w:val="24"/>
                <w:szCs w:val="24"/>
                <w:lang w:eastAsia="zh-CN"/>
              </w:rPr>
              <w:t>）</w:t>
            </w:r>
            <w:r>
              <w:rPr>
                <w:rFonts w:hint="eastAsia"/>
                <w:bCs/>
                <w:color w:val="auto"/>
                <w:sz w:val="24"/>
                <w:szCs w:val="24"/>
              </w:rPr>
              <w:t>坚决遏制</w:t>
            </w:r>
            <w:r>
              <w:rPr>
                <w:rFonts w:hint="eastAsia"/>
                <w:bCs/>
                <w:color w:val="auto"/>
                <w:sz w:val="24"/>
                <w:szCs w:val="24"/>
                <w:lang w:eastAsia="zh-CN"/>
              </w:rPr>
              <w:t>“</w:t>
            </w:r>
            <w:r>
              <w:rPr>
                <w:rFonts w:hint="eastAsia"/>
                <w:bCs/>
                <w:color w:val="auto"/>
                <w:sz w:val="24"/>
                <w:szCs w:val="24"/>
              </w:rPr>
              <w:t>两高</w:t>
            </w:r>
            <w:r>
              <w:rPr>
                <w:rFonts w:hint="eastAsia"/>
                <w:bCs/>
                <w:color w:val="auto"/>
                <w:sz w:val="24"/>
                <w:szCs w:val="24"/>
                <w:lang w:eastAsia="zh-CN"/>
              </w:rPr>
              <w:t>”</w:t>
            </w:r>
            <w:r>
              <w:rPr>
                <w:rFonts w:hint="eastAsia"/>
                <w:bCs/>
                <w:color w:val="auto"/>
                <w:sz w:val="24"/>
                <w:szCs w:val="24"/>
              </w:rPr>
              <w:t>项目盲目发展。按照江苏省</w:t>
            </w:r>
            <w:r>
              <w:rPr>
                <w:rFonts w:hint="eastAsia"/>
                <w:bCs/>
                <w:color w:val="auto"/>
                <w:sz w:val="24"/>
                <w:szCs w:val="24"/>
                <w:lang w:eastAsia="zh-CN"/>
              </w:rPr>
              <w:t>“</w:t>
            </w:r>
            <w:r>
              <w:rPr>
                <w:rFonts w:hint="eastAsia"/>
                <w:bCs/>
                <w:color w:val="auto"/>
                <w:sz w:val="24"/>
                <w:szCs w:val="24"/>
              </w:rPr>
              <w:t>两高</w:t>
            </w:r>
            <w:r>
              <w:rPr>
                <w:rFonts w:hint="eastAsia"/>
                <w:bCs/>
                <w:color w:val="auto"/>
                <w:sz w:val="24"/>
                <w:szCs w:val="24"/>
                <w:lang w:eastAsia="zh-CN"/>
              </w:rPr>
              <w:t>”</w:t>
            </w:r>
            <w:r>
              <w:rPr>
                <w:rFonts w:hint="eastAsia"/>
                <w:bCs/>
                <w:color w:val="auto"/>
                <w:sz w:val="24"/>
                <w:szCs w:val="24"/>
              </w:rPr>
              <w:t>项目分类管理工作要求，严格执行国家、省有关钢铁（炼钢、炼铁</w:t>
            </w:r>
            <w:r>
              <w:rPr>
                <w:rFonts w:hint="eastAsia"/>
                <w:bCs/>
                <w:color w:val="auto"/>
                <w:sz w:val="24"/>
                <w:szCs w:val="24"/>
                <w:lang w:eastAsia="zh-CN"/>
              </w:rPr>
              <w:t>）</w:t>
            </w:r>
            <w:r>
              <w:rPr>
                <w:rFonts w:hint="eastAsia"/>
                <w:bCs/>
                <w:color w:val="auto"/>
                <w:sz w:val="24"/>
                <w:szCs w:val="24"/>
              </w:rPr>
              <w:t>、焦化、电解铝、水泥（熟料</w:t>
            </w:r>
            <w:r>
              <w:rPr>
                <w:rFonts w:hint="eastAsia"/>
                <w:bCs/>
                <w:color w:val="auto"/>
                <w:sz w:val="24"/>
                <w:szCs w:val="24"/>
                <w:lang w:eastAsia="zh-CN"/>
              </w:rPr>
              <w:t>）</w:t>
            </w:r>
            <w:r>
              <w:rPr>
                <w:rFonts w:hint="eastAsia"/>
                <w:bCs/>
                <w:color w:val="auto"/>
                <w:sz w:val="24"/>
                <w:szCs w:val="24"/>
              </w:rPr>
              <w:t>、平板玻璃（不含光伏压延玻璃</w:t>
            </w:r>
            <w:r>
              <w:rPr>
                <w:rFonts w:hint="eastAsia"/>
                <w:bCs/>
                <w:color w:val="auto"/>
                <w:sz w:val="24"/>
                <w:szCs w:val="24"/>
                <w:lang w:eastAsia="zh-CN"/>
              </w:rPr>
              <w:t>）</w:t>
            </w:r>
            <w:r>
              <w:rPr>
                <w:rFonts w:hint="eastAsia"/>
                <w:bCs/>
                <w:color w:val="auto"/>
                <w:sz w:val="24"/>
                <w:szCs w:val="24"/>
              </w:rPr>
              <w:t>和炼化（纳入国家产业规划除外</w:t>
            </w:r>
            <w:r>
              <w:rPr>
                <w:rFonts w:hint="eastAsia"/>
                <w:bCs/>
                <w:color w:val="auto"/>
                <w:sz w:val="24"/>
                <w:szCs w:val="24"/>
                <w:lang w:eastAsia="zh-CN"/>
              </w:rPr>
              <w:t>）</w:t>
            </w:r>
            <w:r>
              <w:rPr>
                <w:rFonts w:hint="eastAsia"/>
                <w:bCs/>
                <w:color w:val="auto"/>
                <w:sz w:val="24"/>
                <w:szCs w:val="24"/>
              </w:rPr>
              <w:t>等行业产业政策标准。短流程炼钢产能占比力争达20%以上。</w:t>
            </w:r>
          </w:p>
          <w:p w14:paraId="66469154">
            <w:pPr>
              <w:spacing w:line="360" w:lineRule="auto"/>
              <w:ind w:firstLine="480" w:firstLineChars="200"/>
              <w:rPr>
                <w:rFonts w:hint="eastAsia"/>
                <w:bCs/>
                <w:color w:val="auto"/>
                <w:sz w:val="24"/>
                <w:szCs w:val="24"/>
              </w:rPr>
            </w:pPr>
            <w:r>
              <w:rPr>
                <w:rFonts w:hint="eastAsia"/>
                <w:bCs/>
                <w:color w:val="auto"/>
                <w:sz w:val="24"/>
                <w:szCs w:val="24"/>
              </w:rPr>
              <w:t>（二</w:t>
            </w:r>
            <w:r>
              <w:rPr>
                <w:rFonts w:hint="eastAsia"/>
                <w:bCs/>
                <w:color w:val="auto"/>
                <w:sz w:val="24"/>
                <w:szCs w:val="24"/>
                <w:lang w:eastAsia="zh-CN"/>
              </w:rPr>
              <w:t>）</w:t>
            </w:r>
            <w:r>
              <w:rPr>
                <w:rFonts w:hint="eastAsia"/>
                <w:bCs/>
                <w:color w:val="auto"/>
                <w:sz w:val="24"/>
                <w:szCs w:val="24"/>
              </w:rPr>
              <w:t>加快退出重点行业落后产能。落实《产业结构调整指导目录》，依法依规逐步退出限制类涉气行业工艺和装备、逐步淘汰步进式烧结机和球团竖炉以及半封闭式硅锰合金、镍铁、高碳铬铁、高碳锰铁电炉。</w:t>
            </w:r>
          </w:p>
          <w:p w14:paraId="79110D75">
            <w:pPr>
              <w:spacing w:line="360" w:lineRule="auto"/>
              <w:ind w:firstLine="480" w:firstLineChars="200"/>
              <w:rPr>
                <w:rFonts w:hint="eastAsia"/>
                <w:bCs/>
                <w:color w:val="auto"/>
                <w:sz w:val="24"/>
                <w:szCs w:val="24"/>
              </w:rPr>
            </w:pPr>
            <w:r>
              <w:rPr>
                <w:rFonts w:hint="eastAsia"/>
                <w:bCs/>
                <w:color w:val="auto"/>
                <w:sz w:val="24"/>
                <w:szCs w:val="24"/>
              </w:rPr>
              <w:t>（三</w:t>
            </w:r>
            <w:r>
              <w:rPr>
                <w:rFonts w:hint="eastAsia"/>
                <w:bCs/>
                <w:color w:val="auto"/>
                <w:sz w:val="24"/>
                <w:szCs w:val="24"/>
                <w:lang w:eastAsia="zh-CN"/>
              </w:rPr>
              <w:t>）</w:t>
            </w:r>
            <w:r>
              <w:rPr>
                <w:rFonts w:hint="eastAsia"/>
                <w:bCs/>
                <w:color w:val="auto"/>
                <w:sz w:val="24"/>
                <w:szCs w:val="24"/>
              </w:rPr>
              <w:t>推进产业集群、园区绿色转型升级。中小型传统制造企业集中的辖市（区</w:t>
            </w:r>
            <w:r>
              <w:rPr>
                <w:rFonts w:hint="eastAsia"/>
                <w:bCs/>
                <w:color w:val="auto"/>
                <w:sz w:val="24"/>
                <w:szCs w:val="24"/>
                <w:lang w:eastAsia="zh-CN"/>
              </w:rPr>
              <w:t>）</w:t>
            </w:r>
            <w:r>
              <w:rPr>
                <w:rFonts w:hint="eastAsia"/>
                <w:bCs/>
                <w:color w:val="auto"/>
                <w:sz w:val="24"/>
                <w:szCs w:val="24"/>
              </w:rPr>
              <w:t>均要制定涉气产业集群发展规划，严格项目审批，严防污染下乡。针对现有产业集群制定专项整治方案，依法淘汰关停一批、搬迁入园一批、就地改造一批、做优做强一批。</w:t>
            </w:r>
          </w:p>
          <w:p w14:paraId="20690A19">
            <w:pPr>
              <w:spacing w:line="360" w:lineRule="auto"/>
              <w:ind w:firstLine="480" w:firstLineChars="200"/>
              <w:rPr>
                <w:rFonts w:hint="eastAsia"/>
                <w:bCs/>
                <w:color w:val="auto"/>
                <w:sz w:val="24"/>
                <w:szCs w:val="24"/>
              </w:rPr>
            </w:pPr>
            <w:r>
              <w:rPr>
                <w:rFonts w:hint="eastAsia"/>
                <w:bCs/>
                <w:color w:val="auto"/>
                <w:sz w:val="24"/>
                <w:szCs w:val="24"/>
              </w:rPr>
              <w:t>（四</w:t>
            </w:r>
            <w:r>
              <w:rPr>
                <w:rFonts w:hint="eastAsia"/>
                <w:bCs/>
                <w:color w:val="auto"/>
                <w:sz w:val="24"/>
                <w:szCs w:val="24"/>
                <w:lang w:eastAsia="zh-CN"/>
              </w:rPr>
              <w:t>）</w:t>
            </w:r>
            <w:r>
              <w:rPr>
                <w:rFonts w:hint="eastAsia"/>
                <w:bCs/>
                <w:color w:val="auto"/>
                <w:sz w:val="24"/>
                <w:szCs w:val="24"/>
              </w:rPr>
              <w:t>优化含VOCs原辅材料和产品结构。严格控制生产和使用高VOCs含量涂料、油墨、胶粘剂、清洗剂等建设项目。加大工业涂装、包装印刷和电子行业清洁原料替代力度。鼓励和推进汽车4S店、大型汽修厂实施水性涂料替代。</w:t>
            </w:r>
          </w:p>
          <w:p w14:paraId="35FCED92">
            <w:pPr>
              <w:spacing w:line="360" w:lineRule="auto"/>
              <w:ind w:firstLine="480" w:firstLineChars="200"/>
              <w:rPr>
                <w:rFonts w:hint="eastAsia"/>
                <w:bCs/>
                <w:color w:val="auto"/>
                <w:sz w:val="24"/>
                <w:szCs w:val="24"/>
              </w:rPr>
            </w:pPr>
            <w:r>
              <w:rPr>
                <w:rFonts w:hint="eastAsia"/>
                <w:bCs/>
                <w:color w:val="auto"/>
                <w:sz w:val="24"/>
                <w:szCs w:val="24"/>
              </w:rPr>
              <w:t>三、推进能源高效利用，加快能源清洁低碳转型</w:t>
            </w:r>
          </w:p>
          <w:p w14:paraId="771D223E">
            <w:pPr>
              <w:spacing w:line="360" w:lineRule="auto"/>
              <w:ind w:firstLine="480" w:firstLineChars="200"/>
              <w:rPr>
                <w:rFonts w:hint="eastAsia"/>
                <w:bCs/>
                <w:color w:val="auto"/>
                <w:sz w:val="24"/>
                <w:szCs w:val="24"/>
              </w:rPr>
            </w:pPr>
            <w:r>
              <w:rPr>
                <w:rFonts w:hint="eastAsia"/>
                <w:bCs/>
                <w:color w:val="auto"/>
                <w:sz w:val="24"/>
                <w:szCs w:val="24"/>
              </w:rPr>
              <w:t>（五</w:t>
            </w:r>
            <w:r>
              <w:rPr>
                <w:rFonts w:hint="eastAsia"/>
                <w:bCs/>
                <w:color w:val="auto"/>
                <w:sz w:val="24"/>
                <w:szCs w:val="24"/>
                <w:lang w:eastAsia="zh-CN"/>
              </w:rPr>
              <w:t>）</w:t>
            </w:r>
            <w:r>
              <w:rPr>
                <w:rFonts w:hint="eastAsia"/>
                <w:bCs/>
                <w:color w:val="auto"/>
                <w:sz w:val="24"/>
                <w:szCs w:val="24"/>
              </w:rPr>
              <w:t>大力发展新能源和清洁能源。加快推进光伏发电项目建设和公共机构光伏应用，提升全市公共机构光伏应用水平和示范表率功能，因地制宜发展风力发电，统筹发展生物质能，推广建设</w:t>
            </w:r>
            <w:r>
              <w:rPr>
                <w:rFonts w:hint="eastAsia"/>
                <w:bCs/>
                <w:color w:val="auto"/>
                <w:sz w:val="24"/>
                <w:szCs w:val="24"/>
                <w:lang w:eastAsia="zh-CN"/>
              </w:rPr>
              <w:t>“</w:t>
            </w:r>
            <w:r>
              <w:rPr>
                <w:rFonts w:hint="eastAsia"/>
                <w:bCs/>
                <w:color w:val="auto"/>
                <w:sz w:val="24"/>
                <w:szCs w:val="24"/>
              </w:rPr>
              <w:t>光储充检换</w:t>
            </w:r>
            <w:r>
              <w:rPr>
                <w:rFonts w:hint="eastAsia"/>
                <w:bCs/>
                <w:color w:val="auto"/>
                <w:sz w:val="24"/>
                <w:szCs w:val="24"/>
                <w:lang w:eastAsia="zh-CN"/>
              </w:rPr>
              <w:t>”</w:t>
            </w:r>
            <w:r>
              <w:rPr>
                <w:rFonts w:hint="eastAsia"/>
                <w:bCs/>
                <w:color w:val="auto"/>
                <w:sz w:val="24"/>
                <w:szCs w:val="24"/>
              </w:rPr>
              <w:t>一体化充电示范项目，通过光伏优先消纳、余量存入储能、充满之后上网以及储能夜充日放，实现存储就地消纳。新能源发电装机规模达到430万千瓦，公共机构新建建筑可安装光伏屋顶面积力争实现光伏覆盖率达到50%。</w:t>
            </w:r>
          </w:p>
          <w:p w14:paraId="2EE4B0CF">
            <w:pPr>
              <w:spacing w:line="360" w:lineRule="auto"/>
              <w:ind w:firstLine="480" w:firstLineChars="200"/>
              <w:rPr>
                <w:rFonts w:hint="eastAsia"/>
                <w:bCs/>
                <w:color w:val="auto"/>
                <w:sz w:val="24"/>
                <w:szCs w:val="24"/>
              </w:rPr>
            </w:pPr>
            <w:r>
              <w:rPr>
                <w:rFonts w:hint="eastAsia"/>
                <w:bCs/>
                <w:color w:val="auto"/>
                <w:sz w:val="24"/>
                <w:szCs w:val="24"/>
              </w:rPr>
              <w:t>（六</w:t>
            </w:r>
            <w:r>
              <w:rPr>
                <w:rFonts w:hint="eastAsia"/>
                <w:bCs/>
                <w:color w:val="auto"/>
                <w:sz w:val="24"/>
                <w:szCs w:val="24"/>
                <w:lang w:eastAsia="zh-CN"/>
              </w:rPr>
              <w:t>）</w:t>
            </w:r>
            <w:r>
              <w:rPr>
                <w:rFonts w:hint="eastAsia"/>
                <w:bCs/>
                <w:color w:val="auto"/>
                <w:sz w:val="24"/>
                <w:szCs w:val="24"/>
              </w:rPr>
              <w:t>严格合理控制煤炭消费总量。原则上不再新增自备燃煤机组，支持自备燃煤机组实施清洁能源替代。未达到能耗强度降低基本目标进度要求的地区，在节能审查等环节对高耗能项目缓批限批。在保障能源安全供应的前提下，继续实施煤炭消费总量控制，鼓励发电向高效、清洁机组倾斜，全市煤炭消费量较2020年下降5%左右。</w:t>
            </w:r>
          </w:p>
          <w:p w14:paraId="403C042C">
            <w:pPr>
              <w:spacing w:line="360" w:lineRule="auto"/>
              <w:ind w:firstLine="480" w:firstLineChars="200"/>
              <w:rPr>
                <w:rFonts w:hint="eastAsia"/>
                <w:bCs/>
                <w:color w:val="auto"/>
                <w:sz w:val="24"/>
                <w:szCs w:val="24"/>
              </w:rPr>
            </w:pPr>
            <w:r>
              <w:rPr>
                <w:rFonts w:hint="eastAsia"/>
                <w:bCs/>
                <w:color w:val="auto"/>
                <w:sz w:val="24"/>
                <w:szCs w:val="24"/>
              </w:rPr>
              <w:t>（七</w:t>
            </w:r>
            <w:r>
              <w:rPr>
                <w:rFonts w:hint="eastAsia"/>
                <w:bCs/>
                <w:color w:val="auto"/>
                <w:sz w:val="24"/>
                <w:szCs w:val="24"/>
                <w:lang w:eastAsia="zh-CN"/>
              </w:rPr>
              <w:t>）推进</w:t>
            </w:r>
            <w:r>
              <w:rPr>
                <w:rFonts w:hint="eastAsia"/>
                <w:bCs/>
                <w:color w:val="auto"/>
                <w:sz w:val="24"/>
                <w:szCs w:val="24"/>
              </w:rPr>
              <w:t>燃煤锅炉关停整合和工业炉窑清洁能源替代。充分发挥30万千瓦及以上热电联产电厂的供热能力，对其供热，半径30公里范围内的燃煤锅炉和落后燃煤小热电机组（含自备电厂</w:t>
            </w:r>
            <w:r>
              <w:rPr>
                <w:rFonts w:hint="eastAsia"/>
                <w:bCs/>
                <w:color w:val="auto"/>
                <w:sz w:val="24"/>
                <w:szCs w:val="24"/>
                <w:lang w:eastAsia="zh-CN"/>
              </w:rPr>
              <w:t>）</w:t>
            </w:r>
            <w:r>
              <w:rPr>
                <w:rFonts w:hint="eastAsia"/>
                <w:bCs/>
                <w:color w:val="auto"/>
                <w:sz w:val="24"/>
                <w:szCs w:val="24"/>
              </w:rPr>
              <w:t>进行关停或整合。淘汰35蒸吨/小时及以下燃煤锅炉，基本淘汰茶水炉、经营性炉灶、储粮烘干设备、农产品加工等燃煤设施。不再新增燃料类煤气发生炉，新改扩建加热炉、热处理炉、干燥炉、熔化炉原则上采用清洁低碳能源。</w:t>
            </w:r>
          </w:p>
          <w:p w14:paraId="4143BD4D">
            <w:pPr>
              <w:spacing w:line="360" w:lineRule="auto"/>
              <w:ind w:firstLine="480" w:firstLineChars="200"/>
              <w:rPr>
                <w:rFonts w:hint="eastAsia"/>
                <w:bCs/>
                <w:color w:val="auto"/>
                <w:sz w:val="24"/>
                <w:szCs w:val="24"/>
              </w:rPr>
            </w:pPr>
            <w:r>
              <w:rPr>
                <w:rFonts w:hint="eastAsia"/>
                <w:bCs/>
                <w:color w:val="auto"/>
                <w:sz w:val="24"/>
                <w:szCs w:val="24"/>
              </w:rPr>
              <w:t>（八</w:t>
            </w:r>
            <w:r>
              <w:rPr>
                <w:rFonts w:hint="eastAsia"/>
                <w:bCs/>
                <w:color w:val="auto"/>
                <w:sz w:val="24"/>
                <w:szCs w:val="24"/>
                <w:lang w:eastAsia="zh-CN"/>
              </w:rPr>
              <w:t>）</w:t>
            </w:r>
            <w:r>
              <w:rPr>
                <w:rFonts w:hint="eastAsia"/>
                <w:bCs/>
                <w:color w:val="auto"/>
                <w:sz w:val="24"/>
                <w:szCs w:val="24"/>
              </w:rPr>
              <w:t>推进近零碳园区和近零碳工厂试点建设。重点选择绿色产业园区、外贸出口相对集中的园区、</w:t>
            </w:r>
            <w:r>
              <w:rPr>
                <w:rFonts w:hint="eastAsia"/>
                <w:bCs/>
                <w:color w:val="auto"/>
                <w:sz w:val="24"/>
                <w:szCs w:val="24"/>
                <w:lang w:eastAsia="zh-CN"/>
              </w:rPr>
              <w:t>“</w:t>
            </w:r>
            <w:r>
              <w:rPr>
                <w:rFonts w:hint="eastAsia"/>
                <w:bCs/>
                <w:color w:val="auto"/>
                <w:sz w:val="24"/>
                <w:szCs w:val="24"/>
              </w:rPr>
              <w:t>危污乱散低</w:t>
            </w:r>
            <w:r>
              <w:rPr>
                <w:rFonts w:hint="eastAsia"/>
                <w:bCs/>
                <w:color w:val="auto"/>
                <w:sz w:val="24"/>
                <w:szCs w:val="24"/>
                <w:lang w:eastAsia="zh-CN"/>
              </w:rPr>
              <w:t>”</w:t>
            </w:r>
            <w:r>
              <w:rPr>
                <w:rFonts w:hint="eastAsia"/>
                <w:bCs/>
                <w:color w:val="auto"/>
                <w:sz w:val="24"/>
                <w:szCs w:val="24"/>
              </w:rPr>
              <w:t>综合治理</w:t>
            </w:r>
            <w:r>
              <w:rPr>
                <w:rFonts w:hint="eastAsia"/>
                <w:bCs/>
                <w:color w:val="auto"/>
                <w:sz w:val="24"/>
                <w:szCs w:val="24"/>
                <w:lang w:eastAsia="zh-CN"/>
              </w:rPr>
              <w:t>“</w:t>
            </w:r>
            <w:r>
              <w:rPr>
                <w:rFonts w:hint="eastAsia"/>
                <w:bCs/>
                <w:color w:val="auto"/>
                <w:sz w:val="24"/>
                <w:szCs w:val="24"/>
              </w:rPr>
              <w:t>绿岛</w:t>
            </w:r>
            <w:r>
              <w:rPr>
                <w:rFonts w:hint="eastAsia"/>
                <w:bCs/>
                <w:color w:val="auto"/>
                <w:sz w:val="24"/>
                <w:szCs w:val="24"/>
                <w:lang w:eastAsia="zh-CN"/>
              </w:rPr>
              <w:t>”</w:t>
            </w:r>
            <w:r>
              <w:rPr>
                <w:rFonts w:hint="eastAsia"/>
                <w:bCs/>
                <w:color w:val="auto"/>
                <w:sz w:val="24"/>
                <w:szCs w:val="24"/>
              </w:rPr>
              <w:t>园区、科创产业园区等园区类型和市级及以上绿色工厂，推进近零碳园区、近零碳工厂试点。以近零碳园区为主阵地，同步开展近零碳工厂培育和新型智能微电网、虚拟电厂等新能源应用场景推广试点。鼓励企业参与绿电、绿证交易，打造高比例可再生能源渭纳示范区，推广综合能源服务，推进能源梯级利用、余热余压回收、绿色供冷供热，推动园区内源网荷储深度融合四、优化调整交通结构，大力发展绿色运输体系</w:t>
            </w:r>
          </w:p>
          <w:p w14:paraId="7C20A542">
            <w:pPr>
              <w:spacing w:line="360" w:lineRule="auto"/>
              <w:ind w:firstLine="480" w:firstLineChars="200"/>
              <w:rPr>
                <w:rFonts w:hint="eastAsia"/>
                <w:bCs/>
                <w:color w:val="auto"/>
                <w:sz w:val="24"/>
                <w:szCs w:val="24"/>
              </w:rPr>
            </w:pPr>
            <w:r>
              <w:rPr>
                <w:rFonts w:hint="eastAsia"/>
                <w:bCs/>
                <w:color w:val="auto"/>
                <w:sz w:val="24"/>
                <w:szCs w:val="24"/>
              </w:rPr>
              <w:t>四、优化调整交通结构，大力发展绿色运输体系</w:t>
            </w:r>
          </w:p>
          <w:p w14:paraId="2A5C3219">
            <w:pPr>
              <w:spacing w:line="360" w:lineRule="auto"/>
              <w:ind w:firstLine="480" w:firstLineChars="200"/>
              <w:rPr>
                <w:rFonts w:hint="eastAsia"/>
                <w:bCs/>
                <w:color w:val="auto"/>
                <w:sz w:val="24"/>
                <w:szCs w:val="24"/>
              </w:rPr>
            </w:pPr>
            <w:r>
              <w:rPr>
                <w:rFonts w:hint="eastAsia"/>
                <w:bCs/>
                <w:color w:val="auto"/>
                <w:sz w:val="24"/>
                <w:szCs w:val="24"/>
              </w:rPr>
              <w:t>（九</w:t>
            </w:r>
            <w:r>
              <w:rPr>
                <w:rFonts w:hint="eastAsia"/>
                <w:bCs/>
                <w:color w:val="auto"/>
                <w:sz w:val="24"/>
                <w:szCs w:val="24"/>
                <w:lang w:eastAsia="zh-CN"/>
              </w:rPr>
              <w:t>）</w:t>
            </w:r>
            <w:r>
              <w:rPr>
                <w:rFonts w:hint="eastAsia"/>
                <w:bCs/>
                <w:color w:val="auto"/>
                <w:sz w:val="24"/>
                <w:szCs w:val="24"/>
              </w:rPr>
              <w:t>持续优化货物运输结构。水路、铁路货运量比2020年分别增长12%和10%左右，铁路集装箱多式联运量年均增长10%以上。全市采取公铁联运等</w:t>
            </w:r>
            <w:r>
              <w:rPr>
                <w:rFonts w:hint="eastAsia"/>
                <w:bCs/>
                <w:color w:val="auto"/>
                <w:sz w:val="24"/>
                <w:szCs w:val="24"/>
                <w:lang w:eastAsia="zh-CN"/>
              </w:rPr>
              <w:t>“</w:t>
            </w:r>
            <w:r>
              <w:rPr>
                <w:rFonts w:hint="eastAsia"/>
                <w:bCs/>
                <w:color w:val="auto"/>
                <w:sz w:val="24"/>
                <w:szCs w:val="24"/>
              </w:rPr>
              <w:t>外集内配</w:t>
            </w:r>
            <w:r>
              <w:rPr>
                <w:rFonts w:hint="eastAsia"/>
                <w:bCs/>
                <w:color w:val="auto"/>
                <w:sz w:val="24"/>
                <w:szCs w:val="24"/>
                <w:lang w:eastAsia="zh-CN"/>
              </w:rPr>
              <w:t>”</w:t>
            </w:r>
            <w:r>
              <w:rPr>
                <w:rFonts w:hint="eastAsia"/>
                <w:bCs/>
                <w:color w:val="auto"/>
                <w:sz w:val="24"/>
                <w:szCs w:val="24"/>
              </w:rPr>
              <w:t>物流方式。</w:t>
            </w:r>
          </w:p>
          <w:p w14:paraId="1157BADE">
            <w:pPr>
              <w:spacing w:line="360" w:lineRule="auto"/>
              <w:ind w:firstLine="480" w:firstLineChars="200"/>
              <w:rPr>
                <w:rFonts w:hint="eastAsia"/>
                <w:bCs/>
                <w:color w:val="auto"/>
                <w:sz w:val="24"/>
                <w:szCs w:val="24"/>
              </w:rPr>
            </w:pPr>
            <w:r>
              <w:rPr>
                <w:rFonts w:hint="eastAsia"/>
                <w:bCs/>
                <w:color w:val="auto"/>
                <w:sz w:val="24"/>
                <w:szCs w:val="24"/>
              </w:rPr>
              <w:t>（十</w:t>
            </w:r>
            <w:r>
              <w:rPr>
                <w:rFonts w:hint="eastAsia"/>
                <w:bCs/>
                <w:color w:val="auto"/>
                <w:sz w:val="24"/>
                <w:szCs w:val="24"/>
                <w:lang w:eastAsia="zh-CN"/>
              </w:rPr>
              <w:t>）</w:t>
            </w:r>
            <w:r>
              <w:rPr>
                <w:rFonts w:hint="eastAsia"/>
                <w:bCs/>
                <w:color w:val="auto"/>
                <w:sz w:val="24"/>
                <w:szCs w:val="24"/>
              </w:rPr>
              <w:t>实施绿色车轮计划。公共领域新增或更新公交、出租、城市物流配送、轻型环卫等车辆中，新能源汽车或者清洁能源汽车比例不低于80%。加快提升新能源汽车配套基础设施服务保障能力，新建住宅小区停车位立足新能源汽车安全特性100%预留充换电设施接入条件，老旧小区改造应因地制宜同步进行充换电设施改造，积极探索私桩共享模式。制定新能源汽车停车收费优惠政策，落实住宅小区新能源汽车充电电价优惠政策，对新能源汽车实行停车、充电收费优惠。力争提前一年在2024年底前基本淘汰国三及以下排放标准柴油货车。</w:t>
            </w:r>
          </w:p>
          <w:p w14:paraId="3300D380">
            <w:pPr>
              <w:spacing w:line="360" w:lineRule="auto"/>
              <w:ind w:firstLine="480" w:firstLineChars="200"/>
              <w:rPr>
                <w:rFonts w:hint="eastAsia"/>
                <w:bCs/>
                <w:color w:val="auto"/>
                <w:sz w:val="24"/>
                <w:szCs w:val="24"/>
              </w:rPr>
            </w:pPr>
            <w:r>
              <w:rPr>
                <w:rFonts w:hint="eastAsia"/>
                <w:bCs/>
                <w:color w:val="auto"/>
                <w:sz w:val="24"/>
                <w:szCs w:val="24"/>
              </w:rPr>
              <w:t>（十一</w:t>
            </w:r>
            <w:r>
              <w:rPr>
                <w:rFonts w:hint="eastAsia"/>
                <w:bCs/>
                <w:color w:val="auto"/>
                <w:sz w:val="24"/>
                <w:szCs w:val="24"/>
                <w:lang w:eastAsia="zh-CN"/>
              </w:rPr>
              <w:t>）</w:t>
            </w:r>
            <w:r>
              <w:rPr>
                <w:rFonts w:hint="eastAsia"/>
                <w:bCs/>
                <w:color w:val="auto"/>
                <w:sz w:val="24"/>
                <w:szCs w:val="24"/>
              </w:rPr>
              <w:t>强化非道路移动源综合治理。基本淘汰第一阶段及以下排放标准的非道路移动机械，鼓励新增或更新的3吨以下叉车基本实现新能源化；民航机场桥电使用率达95%以上，大力提高岸电使用率，主要港口和排放控制区内靠港船舶的岸电使用电量较2020年翻一番。</w:t>
            </w:r>
          </w:p>
          <w:p w14:paraId="49F17800">
            <w:pPr>
              <w:spacing w:line="360" w:lineRule="auto"/>
              <w:ind w:firstLine="480" w:firstLineChars="200"/>
              <w:rPr>
                <w:rFonts w:hint="eastAsia"/>
                <w:bCs/>
                <w:color w:val="auto"/>
                <w:sz w:val="24"/>
                <w:szCs w:val="24"/>
              </w:rPr>
            </w:pPr>
            <w:r>
              <w:rPr>
                <w:rFonts w:hint="eastAsia"/>
                <w:bCs/>
                <w:color w:val="auto"/>
                <w:sz w:val="24"/>
                <w:szCs w:val="24"/>
              </w:rPr>
              <w:t>五、加强面源污染治理，提高精细化管理水平</w:t>
            </w:r>
          </w:p>
          <w:p w14:paraId="2A31DEA7">
            <w:pPr>
              <w:spacing w:line="360" w:lineRule="auto"/>
              <w:ind w:firstLine="480" w:firstLineChars="200"/>
              <w:rPr>
                <w:rFonts w:hint="eastAsia"/>
                <w:bCs/>
                <w:color w:val="auto"/>
                <w:sz w:val="24"/>
                <w:szCs w:val="24"/>
              </w:rPr>
            </w:pPr>
            <w:r>
              <w:rPr>
                <w:rFonts w:hint="eastAsia"/>
                <w:bCs/>
                <w:color w:val="auto"/>
                <w:sz w:val="24"/>
                <w:szCs w:val="24"/>
              </w:rPr>
              <w:t>（十二</w:t>
            </w:r>
            <w:r>
              <w:rPr>
                <w:rFonts w:hint="eastAsia"/>
                <w:bCs/>
                <w:color w:val="auto"/>
                <w:sz w:val="24"/>
                <w:szCs w:val="24"/>
                <w:lang w:eastAsia="zh-CN"/>
              </w:rPr>
              <w:t>）</w:t>
            </w:r>
            <w:r>
              <w:rPr>
                <w:rFonts w:hint="eastAsia"/>
                <w:bCs/>
                <w:color w:val="auto"/>
                <w:sz w:val="24"/>
                <w:szCs w:val="24"/>
              </w:rPr>
              <w:t>实施扬尘精细化治理。积极实施</w:t>
            </w:r>
            <w:r>
              <w:rPr>
                <w:rFonts w:hint="eastAsia"/>
                <w:bCs/>
                <w:color w:val="auto"/>
                <w:sz w:val="24"/>
                <w:szCs w:val="24"/>
                <w:lang w:eastAsia="zh-CN"/>
              </w:rPr>
              <w:t>“</w:t>
            </w:r>
            <w:r>
              <w:rPr>
                <w:rFonts w:hint="eastAsia"/>
                <w:bCs/>
                <w:color w:val="auto"/>
                <w:sz w:val="24"/>
                <w:szCs w:val="24"/>
              </w:rPr>
              <w:t>清洁城市行动</w:t>
            </w:r>
            <w:r>
              <w:rPr>
                <w:rFonts w:hint="eastAsia"/>
                <w:bCs/>
                <w:color w:val="auto"/>
                <w:sz w:val="24"/>
                <w:szCs w:val="24"/>
                <w:lang w:eastAsia="zh-CN"/>
              </w:rPr>
              <w:t>”</w:t>
            </w:r>
            <w:r>
              <w:rPr>
                <w:rFonts w:hint="eastAsia"/>
                <w:bCs/>
                <w:color w:val="auto"/>
                <w:sz w:val="24"/>
                <w:szCs w:val="24"/>
              </w:rPr>
              <w:t>。全面取消全市范围内四级道路，进一步提升一、二级道路的比重，重点区域周边道路全部提升为一级道路作业标准。对于部分无法用大型车辆进行作业的区域，要配备一定数量的小型机械化冲洗车、洗扫车，实行人机结合的保洁模式，做到</w:t>
            </w:r>
            <w:r>
              <w:rPr>
                <w:rFonts w:hint="eastAsia"/>
                <w:bCs/>
                <w:color w:val="auto"/>
                <w:sz w:val="24"/>
                <w:szCs w:val="24"/>
                <w:lang w:eastAsia="zh-CN"/>
              </w:rPr>
              <w:t>“</w:t>
            </w:r>
            <w:r>
              <w:rPr>
                <w:rFonts w:hint="eastAsia"/>
                <w:bCs/>
                <w:color w:val="auto"/>
                <w:sz w:val="24"/>
                <w:szCs w:val="24"/>
              </w:rPr>
              <w:t>机械保面、人工保点</w:t>
            </w:r>
            <w:r>
              <w:rPr>
                <w:rFonts w:hint="eastAsia"/>
                <w:bCs/>
                <w:color w:val="auto"/>
                <w:sz w:val="24"/>
                <w:szCs w:val="24"/>
                <w:lang w:eastAsia="zh-CN"/>
              </w:rPr>
              <w:t>”</w:t>
            </w:r>
            <w:r>
              <w:rPr>
                <w:rFonts w:hint="eastAsia"/>
                <w:bCs/>
                <w:color w:val="auto"/>
                <w:sz w:val="24"/>
                <w:szCs w:val="24"/>
              </w:rPr>
              <w:t>。推进5000平方米及以上建筑工地安装视频监控并接入监管平台。鼓励推广使用新能源渣土运输车辆。推广装配式施工，推进</w:t>
            </w:r>
            <w:r>
              <w:rPr>
                <w:rFonts w:hint="eastAsia"/>
                <w:bCs/>
                <w:color w:val="auto"/>
                <w:sz w:val="24"/>
                <w:szCs w:val="24"/>
                <w:lang w:eastAsia="zh-CN"/>
              </w:rPr>
              <w:t>“</w:t>
            </w:r>
            <w:r>
              <w:rPr>
                <w:rFonts w:hint="eastAsia"/>
                <w:bCs/>
                <w:color w:val="auto"/>
                <w:sz w:val="24"/>
                <w:szCs w:val="24"/>
              </w:rPr>
              <w:t>全电工地</w:t>
            </w:r>
            <w:r>
              <w:rPr>
                <w:rFonts w:hint="eastAsia"/>
                <w:bCs/>
                <w:color w:val="auto"/>
                <w:sz w:val="24"/>
                <w:szCs w:val="24"/>
                <w:lang w:eastAsia="zh-CN"/>
              </w:rPr>
              <w:t>”</w:t>
            </w:r>
            <w:r>
              <w:rPr>
                <w:rFonts w:hint="eastAsia"/>
                <w:bCs/>
                <w:color w:val="auto"/>
                <w:sz w:val="24"/>
                <w:szCs w:val="24"/>
              </w:rPr>
              <w:t>试点。</w:t>
            </w:r>
          </w:p>
          <w:p w14:paraId="3A4BA02C">
            <w:pPr>
              <w:spacing w:line="360" w:lineRule="auto"/>
              <w:ind w:firstLine="480" w:firstLineChars="200"/>
              <w:rPr>
                <w:rFonts w:hint="eastAsia"/>
                <w:bCs/>
                <w:color w:val="auto"/>
                <w:sz w:val="24"/>
                <w:szCs w:val="24"/>
              </w:rPr>
            </w:pPr>
            <w:r>
              <w:rPr>
                <w:rFonts w:hint="eastAsia"/>
                <w:bCs/>
                <w:color w:val="auto"/>
                <w:sz w:val="24"/>
                <w:szCs w:val="24"/>
              </w:rPr>
              <w:t>（十三</w:t>
            </w:r>
            <w:r>
              <w:rPr>
                <w:rFonts w:hint="eastAsia"/>
                <w:bCs/>
                <w:color w:val="auto"/>
                <w:sz w:val="24"/>
                <w:szCs w:val="24"/>
                <w:lang w:eastAsia="zh-CN"/>
              </w:rPr>
              <w:t>）</w:t>
            </w:r>
            <w:r>
              <w:rPr>
                <w:rFonts w:hint="eastAsia"/>
                <w:bCs/>
                <w:color w:val="auto"/>
                <w:sz w:val="24"/>
                <w:szCs w:val="24"/>
              </w:rPr>
              <w:t>推进矿山生态环境综合整治。新建矿山原则上要同步建设专用廊道或采用其他清洁运输方式。对限期整改仍不达标的矿山，根据安全生产、水土保持、生态环境等要求依法关闭停止生产</w:t>
            </w:r>
          </w:p>
          <w:p w14:paraId="56ED7C7F">
            <w:pPr>
              <w:spacing w:line="360" w:lineRule="auto"/>
              <w:ind w:firstLine="480" w:firstLineChars="200"/>
              <w:rPr>
                <w:rFonts w:hint="eastAsia"/>
                <w:bCs/>
                <w:color w:val="auto"/>
                <w:sz w:val="24"/>
                <w:szCs w:val="24"/>
              </w:rPr>
            </w:pPr>
            <w:r>
              <w:rPr>
                <w:rFonts w:hint="eastAsia"/>
                <w:bCs/>
                <w:color w:val="auto"/>
                <w:sz w:val="24"/>
                <w:szCs w:val="24"/>
              </w:rPr>
              <w:t>（十四</w:t>
            </w:r>
            <w:r>
              <w:rPr>
                <w:rFonts w:hint="eastAsia"/>
                <w:bCs/>
                <w:color w:val="auto"/>
                <w:sz w:val="24"/>
                <w:szCs w:val="24"/>
                <w:lang w:eastAsia="zh-CN"/>
              </w:rPr>
              <w:t>）</w:t>
            </w:r>
            <w:r>
              <w:rPr>
                <w:rFonts w:hint="eastAsia"/>
                <w:bCs/>
                <w:color w:val="auto"/>
                <w:sz w:val="24"/>
                <w:szCs w:val="24"/>
              </w:rPr>
              <w:t>加强秸秆禁烧和综合利用。全市农作物秸秆综合利用率稳定达95%以上。禁止露天焚烧秸秆。综合运用卫星遥感、高清视频监控、无人机等手段，提高秸秆焚烧火点监测及巡查精准度</w:t>
            </w:r>
          </w:p>
          <w:p w14:paraId="535AEDF6">
            <w:pPr>
              <w:spacing w:line="360" w:lineRule="auto"/>
              <w:ind w:firstLine="480" w:firstLineChars="200"/>
              <w:rPr>
                <w:rFonts w:hint="eastAsia"/>
                <w:bCs/>
                <w:color w:val="auto"/>
                <w:sz w:val="24"/>
                <w:szCs w:val="24"/>
              </w:rPr>
            </w:pPr>
            <w:r>
              <w:rPr>
                <w:rFonts w:hint="eastAsia"/>
                <w:bCs/>
                <w:color w:val="auto"/>
                <w:sz w:val="24"/>
                <w:szCs w:val="24"/>
              </w:rPr>
              <w:t>六、强化协同减排，切实降低污染物排放强度</w:t>
            </w:r>
          </w:p>
          <w:p w14:paraId="6313A9B7">
            <w:pPr>
              <w:spacing w:line="360" w:lineRule="auto"/>
              <w:ind w:firstLine="480" w:firstLineChars="200"/>
              <w:rPr>
                <w:rFonts w:hint="eastAsia"/>
                <w:bCs/>
                <w:color w:val="auto"/>
                <w:sz w:val="24"/>
                <w:szCs w:val="24"/>
              </w:rPr>
            </w:pPr>
            <w:r>
              <w:rPr>
                <w:rFonts w:hint="eastAsia"/>
                <w:bCs/>
                <w:color w:val="auto"/>
                <w:sz w:val="24"/>
                <w:szCs w:val="24"/>
              </w:rPr>
              <w:t>（十五</w:t>
            </w:r>
            <w:r>
              <w:rPr>
                <w:rFonts w:hint="eastAsia"/>
                <w:bCs/>
                <w:color w:val="auto"/>
                <w:sz w:val="24"/>
                <w:szCs w:val="24"/>
                <w:lang w:eastAsia="zh-CN"/>
              </w:rPr>
              <w:t>）</w:t>
            </w:r>
            <w:r>
              <w:rPr>
                <w:rFonts w:hint="eastAsia"/>
                <w:bCs/>
                <w:color w:val="auto"/>
                <w:sz w:val="24"/>
                <w:szCs w:val="24"/>
              </w:rPr>
              <w:t>强化VOCs全流程、全环节综合治理，鼓励储罐使用低泄漏的呼吸阀、紧急泄压阀，定期开展密封性检测。重点工业园区建立分环节、分物种管控清单，实施高排放关键活性物种</w:t>
            </w:r>
            <w:r>
              <w:rPr>
                <w:rFonts w:hint="eastAsia"/>
                <w:bCs/>
                <w:color w:val="auto"/>
                <w:sz w:val="24"/>
                <w:szCs w:val="24"/>
                <w:lang w:eastAsia="zh-CN"/>
              </w:rPr>
              <w:t>“</w:t>
            </w:r>
            <w:r>
              <w:rPr>
                <w:rFonts w:hint="eastAsia"/>
                <w:bCs/>
                <w:color w:val="auto"/>
                <w:sz w:val="24"/>
                <w:szCs w:val="24"/>
              </w:rPr>
              <w:t>指纹化</w:t>
            </w:r>
            <w:r>
              <w:rPr>
                <w:rFonts w:hint="eastAsia"/>
                <w:bCs/>
                <w:color w:val="auto"/>
                <w:sz w:val="24"/>
                <w:szCs w:val="24"/>
                <w:lang w:eastAsia="zh-CN"/>
              </w:rPr>
              <w:t>”</w:t>
            </w:r>
            <w:r>
              <w:rPr>
                <w:rFonts w:hint="eastAsia"/>
                <w:bCs/>
                <w:color w:val="auto"/>
                <w:sz w:val="24"/>
                <w:szCs w:val="24"/>
              </w:rPr>
              <w:t>监测监控和靶向治理。重点工业园区VOCs浓度力争比2021年下降20%。</w:t>
            </w:r>
          </w:p>
          <w:p w14:paraId="2292949D">
            <w:pPr>
              <w:spacing w:line="360" w:lineRule="auto"/>
              <w:ind w:firstLine="480" w:firstLineChars="200"/>
              <w:rPr>
                <w:rFonts w:hint="eastAsia"/>
                <w:bCs/>
                <w:color w:val="auto"/>
                <w:sz w:val="24"/>
                <w:szCs w:val="24"/>
              </w:rPr>
            </w:pPr>
            <w:r>
              <w:rPr>
                <w:rFonts w:hint="eastAsia"/>
                <w:bCs/>
                <w:color w:val="auto"/>
                <w:sz w:val="24"/>
                <w:szCs w:val="24"/>
              </w:rPr>
              <w:t>（十六</w:t>
            </w:r>
            <w:r>
              <w:rPr>
                <w:rFonts w:hint="eastAsia"/>
                <w:bCs/>
                <w:color w:val="auto"/>
                <w:sz w:val="24"/>
                <w:szCs w:val="24"/>
                <w:lang w:eastAsia="zh-CN"/>
              </w:rPr>
              <w:t>）</w:t>
            </w:r>
            <w:r>
              <w:rPr>
                <w:rFonts w:hint="eastAsia"/>
                <w:bCs/>
                <w:color w:val="auto"/>
                <w:sz w:val="24"/>
                <w:szCs w:val="24"/>
              </w:rPr>
              <w:t>实施重点行业超低排放与深度治理，有序推进铸造、垃圾焚烧发电、玻璃、有色、石灰、矿棉等行业深度治理，持续推进煤电机组深度脱硝改造，力争2024年底前完成单机10万千瓦及以上煤电机组深度脱硝改造任务。全市水泥企业基本完成超低排放改造，实施重点行业绩效等级提升行动。</w:t>
            </w:r>
          </w:p>
          <w:p w14:paraId="0CDDF817">
            <w:pPr>
              <w:spacing w:line="360" w:lineRule="auto"/>
              <w:ind w:firstLine="480" w:firstLineChars="200"/>
              <w:rPr>
                <w:rFonts w:hint="eastAsia"/>
                <w:bCs/>
                <w:color w:val="auto"/>
                <w:sz w:val="24"/>
                <w:szCs w:val="24"/>
              </w:rPr>
            </w:pPr>
            <w:r>
              <w:rPr>
                <w:rFonts w:hint="eastAsia"/>
                <w:bCs/>
                <w:color w:val="auto"/>
                <w:sz w:val="24"/>
                <w:szCs w:val="24"/>
              </w:rPr>
              <w:t>（十七</w:t>
            </w:r>
            <w:r>
              <w:rPr>
                <w:rFonts w:hint="eastAsia"/>
                <w:bCs/>
                <w:color w:val="auto"/>
                <w:sz w:val="24"/>
                <w:szCs w:val="24"/>
                <w:lang w:eastAsia="zh-CN"/>
              </w:rPr>
              <w:t>）</w:t>
            </w:r>
            <w:r>
              <w:rPr>
                <w:rFonts w:hint="eastAsia"/>
                <w:bCs/>
                <w:color w:val="auto"/>
                <w:sz w:val="24"/>
                <w:szCs w:val="24"/>
              </w:rPr>
              <w:t>推进餐饮油烟、恶臭异味专项整治。加强部门联动，因地制宜解决人民群众反映集中的油烟和恶臭扰民问题。严格居民楼附近餐饮服务单位布局管理。拟开设餐饮服务单位的建筑应设计建设专用烟道。建立重点园区</w:t>
            </w:r>
            <w:r>
              <w:rPr>
                <w:rFonts w:hint="eastAsia"/>
                <w:bCs/>
                <w:color w:val="auto"/>
                <w:sz w:val="24"/>
                <w:szCs w:val="24"/>
                <w:lang w:eastAsia="zh-CN"/>
              </w:rPr>
              <w:t>“</w:t>
            </w:r>
            <w:r>
              <w:rPr>
                <w:rFonts w:hint="eastAsia"/>
                <w:bCs/>
                <w:color w:val="auto"/>
                <w:sz w:val="24"/>
                <w:szCs w:val="24"/>
              </w:rPr>
              <w:t>嗅辨+监测</w:t>
            </w:r>
            <w:r>
              <w:rPr>
                <w:rFonts w:hint="eastAsia"/>
                <w:bCs/>
                <w:color w:val="auto"/>
                <w:sz w:val="24"/>
                <w:szCs w:val="24"/>
                <w:lang w:eastAsia="zh-CN"/>
              </w:rPr>
              <w:t>”</w:t>
            </w:r>
            <w:r>
              <w:rPr>
                <w:rFonts w:hint="eastAsia"/>
                <w:bCs/>
                <w:color w:val="auto"/>
                <w:sz w:val="24"/>
                <w:szCs w:val="24"/>
              </w:rPr>
              <w:t>异味溯源机制。</w:t>
            </w:r>
          </w:p>
          <w:p w14:paraId="36AAED6F">
            <w:pPr>
              <w:spacing w:line="360" w:lineRule="auto"/>
              <w:ind w:firstLine="480" w:firstLineChars="200"/>
              <w:rPr>
                <w:rFonts w:hint="eastAsia"/>
                <w:bCs/>
                <w:color w:val="auto"/>
                <w:sz w:val="24"/>
                <w:szCs w:val="24"/>
              </w:rPr>
            </w:pPr>
            <w:r>
              <w:rPr>
                <w:rFonts w:hint="eastAsia"/>
                <w:bCs/>
                <w:color w:val="auto"/>
                <w:sz w:val="24"/>
                <w:szCs w:val="24"/>
              </w:rPr>
              <w:t>（十八</w:t>
            </w:r>
            <w:r>
              <w:rPr>
                <w:rFonts w:hint="eastAsia"/>
                <w:bCs/>
                <w:color w:val="auto"/>
                <w:sz w:val="24"/>
                <w:szCs w:val="24"/>
                <w:lang w:eastAsia="zh-CN"/>
              </w:rPr>
              <w:t>）</w:t>
            </w:r>
            <w:r>
              <w:rPr>
                <w:rFonts w:hint="eastAsia"/>
                <w:bCs/>
                <w:color w:val="auto"/>
                <w:sz w:val="24"/>
                <w:szCs w:val="24"/>
              </w:rPr>
              <w:t>推动大气氨污染防控。推广氮肥机械深施和低蛋白日粮技术，全市主要农作物化肥施用量较2020年削减3%，畜禽粪污综合利用率稳定在95%左右。加强氮肥、纯碱等行业大气氨排放治理。强化工业源烟气脱硫脱硝氨逃逸防控。</w:t>
            </w:r>
          </w:p>
          <w:p w14:paraId="51F9D28E">
            <w:pPr>
              <w:spacing w:line="360" w:lineRule="auto"/>
              <w:ind w:firstLine="480" w:firstLineChars="200"/>
              <w:rPr>
                <w:rFonts w:hint="eastAsia"/>
                <w:bCs/>
                <w:color w:val="auto"/>
                <w:sz w:val="24"/>
                <w:szCs w:val="24"/>
              </w:rPr>
            </w:pPr>
            <w:r>
              <w:rPr>
                <w:rFonts w:hint="eastAsia"/>
                <w:bCs/>
                <w:color w:val="auto"/>
                <w:sz w:val="24"/>
                <w:szCs w:val="24"/>
              </w:rPr>
              <w:t>采取以上措施，常州市的大气空气质量将得到一定改善。</w:t>
            </w:r>
          </w:p>
          <w:bookmarkEnd w:id="9"/>
          <w:p w14:paraId="76317F8B">
            <w:pPr>
              <w:spacing w:line="360" w:lineRule="auto"/>
              <w:ind w:firstLine="480" w:firstLineChars="200"/>
              <w:rPr>
                <w:color w:val="auto"/>
                <w:sz w:val="24"/>
              </w:rPr>
            </w:pPr>
            <w:r>
              <w:rPr>
                <w:rFonts w:hint="eastAsia"/>
                <w:color w:val="auto"/>
                <w:sz w:val="24"/>
              </w:rPr>
              <w:t>2、</w:t>
            </w:r>
            <w:r>
              <w:rPr>
                <w:color w:val="auto"/>
                <w:sz w:val="24"/>
              </w:rPr>
              <w:t>地表水环境</w:t>
            </w:r>
            <w:r>
              <w:rPr>
                <w:rFonts w:eastAsiaTheme="minorEastAsia"/>
                <w:color w:val="auto"/>
                <w:sz w:val="24"/>
                <w:szCs w:val="24"/>
              </w:rPr>
              <w:t>质量状况</w:t>
            </w:r>
          </w:p>
          <w:p w14:paraId="4BE37BD3">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eastAsiaTheme="minorEastAsia"/>
                <w:color w:val="auto"/>
                <w:sz w:val="24"/>
                <w:szCs w:val="24"/>
              </w:rPr>
            </w:pPr>
            <w:r>
              <w:rPr>
                <w:rFonts w:hint="eastAsia" w:ascii="Times New Roman" w:hAnsi="Times New Roman" w:cs="Times New Roman" w:eastAsiaTheme="minorEastAsia"/>
                <w:color w:val="auto"/>
                <w:sz w:val="24"/>
                <w:szCs w:val="24"/>
                <w:lang w:val="en-US" w:eastAsia="zh-CN"/>
              </w:rPr>
              <w:t>本项目</w:t>
            </w:r>
            <w:r>
              <w:rPr>
                <w:bCs/>
                <w:color w:val="auto"/>
                <w:sz w:val="24"/>
              </w:rPr>
              <w:t>项目生活污水</w:t>
            </w:r>
            <w:r>
              <w:rPr>
                <w:rFonts w:hint="eastAsia"/>
                <w:bCs/>
                <w:color w:val="auto"/>
                <w:sz w:val="24"/>
                <w:lang w:val="en-US" w:eastAsia="zh-CN"/>
              </w:rPr>
              <w:t>经</w:t>
            </w:r>
            <w:r>
              <w:rPr>
                <w:rFonts w:hint="eastAsia"/>
                <w:color w:val="auto"/>
                <w:sz w:val="24"/>
                <w:lang w:val="en-US" w:eastAsia="zh-CN"/>
              </w:rPr>
              <w:t>园区</w:t>
            </w:r>
            <w:r>
              <w:rPr>
                <w:color w:val="auto"/>
                <w:sz w:val="24"/>
              </w:rPr>
              <w:t>化粪池预处理达接管要求后</w:t>
            </w:r>
            <w:r>
              <w:rPr>
                <w:rFonts w:hint="eastAsia"/>
                <w:color w:val="auto"/>
                <w:sz w:val="24"/>
                <w:szCs w:val="24"/>
              </w:rPr>
              <w:t>，</w:t>
            </w:r>
            <w:r>
              <w:rPr>
                <w:color w:val="auto"/>
                <w:sz w:val="24"/>
                <w:szCs w:val="24"/>
              </w:rPr>
              <w:t>接管排放至</w:t>
            </w:r>
            <w:r>
              <w:rPr>
                <w:rFonts w:hint="eastAsia" w:cs="Times New Roman"/>
                <w:color w:val="auto"/>
                <w:sz w:val="24"/>
                <w:szCs w:val="24"/>
                <w:lang w:val="en-US" w:eastAsia="zh-CN"/>
              </w:rPr>
              <w:t>常州市江边污水处理厂</w:t>
            </w:r>
            <w:r>
              <w:rPr>
                <w:rFonts w:hint="default" w:ascii="Times New Roman" w:hAnsi="Times New Roman" w:eastAsia="宋体" w:cs="Times New Roman"/>
                <w:color w:val="auto"/>
                <w:sz w:val="24"/>
                <w:szCs w:val="24"/>
                <w:lang w:eastAsia="zh-CN"/>
              </w:rPr>
              <w:t>集中处理，尾水最终排入</w:t>
            </w:r>
            <w:r>
              <w:rPr>
                <w:rFonts w:hint="eastAsia" w:cs="Times New Roman"/>
                <w:color w:val="auto"/>
                <w:sz w:val="24"/>
                <w:szCs w:val="24"/>
                <w:lang w:eastAsia="zh-CN"/>
              </w:rPr>
              <w:t>长江</w:t>
            </w:r>
            <w:r>
              <w:rPr>
                <w:color w:val="auto"/>
                <w:sz w:val="24"/>
              </w:rPr>
              <w:t>。</w:t>
            </w:r>
          </w:p>
          <w:p w14:paraId="7B0CE00E">
            <w:pPr>
              <w:adjustRightInd w:val="0"/>
              <w:snapToGrid w:val="0"/>
              <w:spacing w:line="360" w:lineRule="auto"/>
              <w:ind w:firstLine="480" w:firstLineChars="200"/>
              <w:rPr>
                <w:rFonts w:eastAsiaTheme="minorEastAsia"/>
                <w:bCs/>
                <w:color w:val="auto"/>
                <w:sz w:val="24"/>
                <w:szCs w:val="24"/>
              </w:rPr>
            </w:pPr>
            <w:r>
              <w:rPr>
                <w:bCs/>
                <w:color w:val="auto"/>
                <w:sz w:val="24"/>
                <w:szCs w:val="24"/>
              </w:rPr>
              <w:t>引用《</w:t>
            </w:r>
            <w:r>
              <w:rPr>
                <w:rFonts w:hint="eastAsia"/>
                <w:bCs/>
                <w:color w:val="auto"/>
                <w:sz w:val="24"/>
                <w:szCs w:val="24"/>
              </w:rPr>
              <w:t>202</w:t>
            </w:r>
            <w:r>
              <w:rPr>
                <w:rFonts w:hint="eastAsia"/>
                <w:bCs/>
                <w:color w:val="auto"/>
                <w:sz w:val="24"/>
                <w:szCs w:val="24"/>
                <w:lang w:val="en-US" w:eastAsia="zh-CN"/>
              </w:rPr>
              <w:t>4</w:t>
            </w:r>
            <w:r>
              <w:rPr>
                <w:rFonts w:hint="eastAsia"/>
                <w:bCs/>
                <w:color w:val="auto"/>
                <w:sz w:val="24"/>
                <w:szCs w:val="24"/>
              </w:rPr>
              <w:t>年</w:t>
            </w:r>
            <w:r>
              <w:rPr>
                <w:bCs/>
                <w:color w:val="auto"/>
                <w:sz w:val="24"/>
                <w:szCs w:val="24"/>
              </w:rPr>
              <w:t>常州市</w:t>
            </w:r>
            <w:r>
              <w:rPr>
                <w:rFonts w:hint="eastAsia"/>
                <w:bCs/>
                <w:color w:val="auto"/>
                <w:sz w:val="24"/>
                <w:szCs w:val="24"/>
              </w:rPr>
              <w:t>生态</w:t>
            </w:r>
            <w:r>
              <w:rPr>
                <w:bCs/>
                <w:color w:val="auto"/>
                <w:sz w:val="24"/>
                <w:szCs w:val="24"/>
              </w:rPr>
              <w:t>环境状况公报》中</w:t>
            </w:r>
            <w:r>
              <w:rPr>
                <w:rFonts w:hint="eastAsia"/>
                <w:bCs/>
                <w:color w:val="auto"/>
                <w:sz w:val="24"/>
                <w:szCs w:val="24"/>
              </w:rPr>
              <w:t>地表水环境质量数据，202</w:t>
            </w:r>
            <w:r>
              <w:rPr>
                <w:rFonts w:hint="eastAsia"/>
                <w:bCs/>
                <w:color w:val="auto"/>
                <w:sz w:val="24"/>
                <w:szCs w:val="24"/>
                <w:lang w:val="en-US" w:eastAsia="zh-CN"/>
              </w:rPr>
              <w:t>4</w:t>
            </w:r>
            <w:r>
              <w:rPr>
                <w:rFonts w:hint="eastAsia"/>
                <w:bCs/>
                <w:color w:val="auto"/>
                <w:sz w:val="24"/>
                <w:szCs w:val="24"/>
              </w:rPr>
              <w:t>年，常州市纳入</w:t>
            </w:r>
            <w:r>
              <w:rPr>
                <w:rFonts w:hint="eastAsia"/>
                <w:bCs/>
                <w:color w:val="auto"/>
                <w:sz w:val="24"/>
                <w:szCs w:val="24"/>
                <w:lang w:eastAsia="zh-CN"/>
              </w:rPr>
              <w:t>“</w:t>
            </w:r>
            <w:r>
              <w:rPr>
                <w:rFonts w:hint="eastAsia"/>
                <w:bCs/>
                <w:color w:val="auto"/>
                <w:sz w:val="24"/>
                <w:szCs w:val="24"/>
              </w:rPr>
              <w:t>十四五</w:t>
            </w:r>
            <w:r>
              <w:rPr>
                <w:rFonts w:hint="eastAsia"/>
                <w:bCs/>
                <w:color w:val="auto"/>
                <w:sz w:val="24"/>
                <w:szCs w:val="24"/>
                <w:lang w:eastAsia="zh-CN"/>
              </w:rPr>
              <w:t>”</w:t>
            </w:r>
            <w:r>
              <w:rPr>
                <w:rFonts w:hint="eastAsia"/>
                <w:bCs/>
                <w:color w:val="auto"/>
                <w:sz w:val="24"/>
                <w:szCs w:val="24"/>
              </w:rPr>
              <w:t>国家地表水环境质量考核的20个断面，年均水质达到或好于《地表水环境质量标准》（GB3838—2002）Ⅲ类标准的断面比例为8</w:t>
            </w:r>
            <w:r>
              <w:rPr>
                <w:rFonts w:hint="eastAsia"/>
                <w:bCs/>
                <w:color w:val="auto"/>
                <w:sz w:val="24"/>
                <w:szCs w:val="24"/>
                <w:lang w:val="en-US" w:eastAsia="zh-CN"/>
              </w:rPr>
              <w:t>5</w:t>
            </w:r>
            <w:r>
              <w:rPr>
                <w:rFonts w:hint="eastAsia"/>
                <w:bCs/>
                <w:color w:val="auto"/>
                <w:sz w:val="24"/>
                <w:szCs w:val="24"/>
              </w:rPr>
              <w:t>%，无劣Ⅴ类断面。纳入江苏省</w:t>
            </w:r>
            <w:r>
              <w:rPr>
                <w:rFonts w:hint="eastAsia"/>
                <w:bCs/>
                <w:color w:val="auto"/>
                <w:sz w:val="24"/>
                <w:szCs w:val="24"/>
                <w:lang w:eastAsia="zh-CN"/>
              </w:rPr>
              <w:t>“</w:t>
            </w:r>
            <w:r>
              <w:rPr>
                <w:rFonts w:hint="eastAsia"/>
                <w:bCs/>
                <w:color w:val="auto"/>
                <w:sz w:val="24"/>
                <w:szCs w:val="24"/>
              </w:rPr>
              <w:t>十四五</w:t>
            </w:r>
            <w:r>
              <w:rPr>
                <w:rFonts w:hint="eastAsia"/>
                <w:bCs/>
                <w:color w:val="auto"/>
                <w:sz w:val="24"/>
                <w:szCs w:val="24"/>
                <w:lang w:eastAsia="zh-CN"/>
              </w:rPr>
              <w:t>”</w:t>
            </w:r>
            <w:r>
              <w:rPr>
                <w:rFonts w:hint="eastAsia"/>
                <w:bCs/>
                <w:color w:val="auto"/>
                <w:sz w:val="24"/>
                <w:szCs w:val="24"/>
              </w:rPr>
              <w:t>水环境质量目标考核的51个断面，年均水质达到或好于Ⅲ类的比例为9</w:t>
            </w:r>
            <w:r>
              <w:rPr>
                <w:rFonts w:hint="eastAsia"/>
                <w:bCs/>
                <w:color w:val="auto"/>
                <w:sz w:val="24"/>
                <w:szCs w:val="24"/>
                <w:lang w:val="en-US" w:eastAsia="zh-CN"/>
              </w:rPr>
              <w:t>4.1</w:t>
            </w:r>
            <w:r>
              <w:rPr>
                <w:rFonts w:hint="eastAsia"/>
                <w:bCs/>
                <w:color w:val="auto"/>
                <w:sz w:val="24"/>
                <w:szCs w:val="24"/>
              </w:rPr>
              <w:t>%，无劣Ⅴ类断面</w:t>
            </w:r>
            <w:r>
              <w:rPr>
                <w:bCs/>
                <w:color w:val="auto"/>
                <w:sz w:val="24"/>
                <w:szCs w:val="24"/>
              </w:rPr>
              <w:t>。</w:t>
            </w:r>
          </w:p>
          <w:p w14:paraId="6BD03C49">
            <w:pPr>
              <w:adjustRightInd w:val="0"/>
              <w:snapToGrid w:val="0"/>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长江干流</w:t>
            </w:r>
            <w:r>
              <w:rPr>
                <w:rFonts w:hint="eastAsia"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常州段）水质连续8年稳定Ⅱ类水平，主要入湖河道、集中式饮用水源地水质稳定达到省定考核目标。</w:t>
            </w:r>
          </w:p>
          <w:p w14:paraId="2A015373">
            <w:pPr>
              <w:adjustRightInd w:val="0"/>
              <w:snapToGrid w:val="0"/>
              <w:spacing w:line="360" w:lineRule="auto"/>
              <w:ind w:firstLine="480" w:firstLineChars="200"/>
              <w:rPr>
                <w:rFonts w:hint="eastAsia"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因此，项目所在地水环境质量状况较好。</w:t>
            </w:r>
          </w:p>
          <w:p w14:paraId="2AE519F2">
            <w:pPr>
              <w:snapToGrid w:val="0"/>
              <w:spacing w:line="360" w:lineRule="auto"/>
              <w:ind w:firstLine="480" w:firstLineChars="200"/>
              <w:rPr>
                <w:rFonts w:eastAsiaTheme="minorEastAsia"/>
                <w:color w:val="auto"/>
                <w:sz w:val="24"/>
                <w:szCs w:val="24"/>
              </w:rPr>
            </w:pPr>
            <w:r>
              <w:rPr>
                <w:rFonts w:hint="eastAsia" w:eastAsiaTheme="minorEastAsia"/>
                <w:color w:val="auto"/>
                <w:sz w:val="24"/>
                <w:szCs w:val="24"/>
              </w:rPr>
              <w:t>3、</w:t>
            </w:r>
            <w:r>
              <w:rPr>
                <w:rFonts w:eastAsiaTheme="minorEastAsia"/>
                <w:color w:val="auto"/>
                <w:sz w:val="24"/>
                <w:szCs w:val="24"/>
              </w:rPr>
              <w:t>环境噪声状况</w:t>
            </w:r>
          </w:p>
          <w:p w14:paraId="17921CDC">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根据</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建设项目环境影响报告表编制技术指南</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污染影响类</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试行</w:t>
            </w:r>
            <w:r>
              <w:rPr>
                <w:rFonts w:hint="eastAsia" w:ascii="Times New Roman" w:hAnsi="Times New Roman" w:eastAsia="宋体" w:cs="Times New Roman"/>
                <w:color w:val="auto"/>
                <w:sz w:val="24"/>
                <w:szCs w:val="24"/>
                <w:lang w:eastAsia="zh-CN"/>
              </w:rPr>
              <w:t>）：</w:t>
            </w:r>
            <w:r>
              <w:rPr>
                <w:rFonts w:hint="eastAsia" w:cs="Times New Roman"/>
                <w:color w:val="auto"/>
                <w:sz w:val="24"/>
                <w:szCs w:val="24"/>
                <w:lang w:eastAsia="zh-CN"/>
              </w:rPr>
              <w:t>“</w:t>
            </w:r>
            <w:r>
              <w:rPr>
                <w:rFonts w:hint="eastAsia" w:ascii="Times New Roman" w:hAnsi="Times New Roman" w:eastAsia="宋体" w:cs="Times New Roman"/>
                <w:color w:val="auto"/>
                <w:sz w:val="24"/>
                <w:szCs w:val="24"/>
                <w:lang w:eastAsia="zh-CN"/>
              </w:rPr>
              <w:t>厂界外周边50米范围内存在声环境保护目标的建设项目，应监测保护目标声环境质量现状并评价达标情况。各点位应监测昼夜间噪声，监测时间不少于1天，项目夜间不生产则仅监测昼间噪声。</w:t>
            </w:r>
            <w:r>
              <w:rPr>
                <w:rFonts w:hint="eastAsia" w:cs="Times New Roman"/>
                <w:color w:val="auto"/>
                <w:sz w:val="24"/>
                <w:szCs w:val="24"/>
                <w:lang w:eastAsia="zh-CN"/>
              </w:rPr>
              <w:t>”</w:t>
            </w:r>
            <w:r>
              <w:rPr>
                <w:rFonts w:hint="eastAsia" w:ascii="Times New Roman" w:hAnsi="Times New Roman" w:eastAsia="宋体" w:cs="Times New Roman"/>
                <w:color w:val="auto"/>
                <w:sz w:val="24"/>
                <w:szCs w:val="24"/>
                <w:lang w:val="en-US" w:eastAsia="zh-CN"/>
              </w:rPr>
              <w:t>本项目厂界外周边50米范围内无</w:t>
            </w:r>
            <w:r>
              <w:rPr>
                <w:rFonts w:hint="eastAsia" w:ascii="Times New Roman" w:hAnsi="Times New Roman" w:eastAsia="宋体" w:cs="Times New Roman"/>
                <w:color w:val="auto"/>
                <w:sz w:val="24"/>
                <w:szCs w:val="24"/>
                <w:lang w:eastAsia="zh-CN"/>
              </w:rPr>
              <w:t>声环境保护目标</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因此不进行声环境质量现状监测</w:t>
            </w:r>
            <w:r>
              <w:rPr>
                <w:rFonts w:hint="default" w:ascii="Times New Roman" w:hAnsi="Times New Roman" w:eastAsia="宋体" w:cs="Times New Roman"/>
                <w:color w:val="auto"/>
                <w:sz w:val="24"/>
                <w:szCs w:val="24"/>
                <w:lang w:eastAsia="zh-CN"/>
              </w:rPr>
              <w:t>。</w:t>
            </w:r>
          </w:p>
          <w:p w14:paraId="164B591F">
            <w:pPr>
              <w:adjustRightInd w:val="0"/>
              <w:snapToGrid w:val="0"/>
              <w:spacing w:line="360" w:lineRule="auto"/>
              <w:ind w:firstLine="480" w:firstLineChars="200"/>
              <w:jc w:val="left"/>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4、生态保护措施</w:t>
            </w:r>
          </w:p>
          <w:p w14:paraId="18A51A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本项目绿化依托</w:t>
            </w:r>
            <w:r>
              <w:rPr>
                <w:rFonts w:hint="eastAsia" w:cs="Times New Roman"/>
                <w:color w:val="auto"/>
                <w:sz w:val="24"/>
                <w:szCs w:val="24"/>
                <w:lang w:val="en-US" w:eastAsia="zh-CN"/>
              </w:rPr>
              <w:t>园区</w:t>
            </w:r>
            <w:r>
              <w:rPr>
                <w:rFonts w:hint="eastAsia" w:ascii="Times New Roman" w:hAnsi="Times New Roman" w:eastAsia="宋体" w:cs="Times New Roman"/>
                <w:color w:val="auto"/>
                <w:sz w:val="24"/>
                <w:szCs w:val="24"/>
              </w:rPr>
              <w:t>现有绿化，绿化覆盖率可达</w:t>
            </w:r>
            <w:r>
              <w:rPr>
                <w:rFonts w:hint="eastAsia" w:cs="Times New Roman"/>
                <w:color w:val="auto"/>
                <w:sz w:val="24"/>
                <w:szCs w:val="24"/>
                <w:lang w:val="en-US" w:eastAsia="zh-CN"/>
              </w:rPr>
              <w:t>10</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以上，对周围生态环境影响较小。</w:t>
            </w:r>
            <w:r>
              <w:rPr>
                <w:rFonts w:hint="default" w:ascii="Times New Roman" w:hAnsi="Times New Roman" w:eastAsia="宋体" w:cs="Times New Roman"/>
                <w:color w:val="auto"/>
                <w:sz w:val="24"/>
                <w:szCs w:val="24"/>
              </w:rPr>
              <w:t>根据《建设项目环境影响报告表编制技术指南（污染影响类</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》（试行</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，产业园区外建设项目新增用地且用地范围内含有生态环境保护目标时，应进行生态现状调查。</w:t>
            </w:r>
          </w:p>
          <w:p w14:paraId="5B27B304">
            <w:pPr>
              <w:adjustRightInd w:val="0"/>
              <w:snapToGrid w:val="0"/>
              <w:spacing w:line="360" w:lineRule="auto"/>
              <w:ind w:firstLine="480" w:firstLineChars="200"/>
              <w:jc w:val="left"/>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w:t>
            </w:r>
            <w:r>
              <w:rPr>
                <w:rFonts w:hint="eastAsia" w:ascii="Times New Roman" w:hAnsi="Times New Roman" w:eastAsia="宋体" w:cs="Times New Roman"/>
                <w:color w:val="auto"/>
                <w:sz w:val="24"/>
                <w:szCs w:val="24"/>
                <w:lang w:val="en-US" w:eastAsia="zh-CN"/>
              </w:rPr>
              <w:t>租赁已建生产厂房，</w:t>
            </w:r>
            <w:r>
              <w:rPr>
                <w:rFonts w:hint="eastAsia" w:ascii="Times New Roman" w:hAnsi="Times New Roman" w:eastAsia="宋体" w:cs="Times New Roman"/>
                <w:color w:val="auto"/>
                <w:sz w:val="24"/>
                <w:szCs w:val="24"/>
              </w:rPr>
              <w:t>不</w:t>
            </w:r>
            <w:r>
              <w:rPr>
                <w:rFonts w:hint="default" w:ascii="Times New Roman" w:hAnsi="Times New Roman" w:eastAsia="宋体" w:cs="Times New Roman"/>
                <w:color w:val="auto"/>
                <w:sz w:val="24"/>
                <w:szCs w:val="24"/>
              </w:rPr>
              <w:t>涉及新增用地，且用地范围内</w:t>
            </w:r>
            <w:r>
              <w:rPr>
                <w:rFonts w:hint="eastAsia" w:ascii="Times New Roman" w:hAnsi="Times New Roman" w:eastAsia="宋体" w:cs="Times New Roman"/>
                <w:color w:val="auto"/>
                <w:sz w:val="24"/>
                <w:szCs w:val="24"/>
                <w:lang w:val="en-US" w:eastAsia="zh-CN"/>
              </w:rPr>
              <w:t>无</w:t>
            </w:r>
            <w:r>
              <w:rPr>
                <w:rFonts w:hint="default" w:ascii="Times New Roman" w:hAnsi="Times New Roman" w:eastAsia="宋体" w:cs="Times New Roman"/>
                <w:color w:val="auto"/>
                <w:sz w:val="24"/>
                <w:szCs w:val="24"/>
              </w:rPr>
              <w:t>生态环境保护目标，因此</w:t>
            </w:r>
            <w:r>
              <w:rPr>
                <w:rFonts w:hint="default" w:ascii="Times New Roman" w:hAnsi="Times New Roman" w:eastAsia="宋体" w:cs="Times New Roman"/>
                <w:color w:val="auto"/>
                <w:sz w:val="24"/>
                <w:szCs w:val="24"/>
                <w:lang w:eastAsia="zh-CN"/>
              </w:rPr>
              <w:t>，不</w:t>
            </w:r>
            <w:r>
              <w:rPr>
                <w:rFonts w:hint="default" w:ascii="Times New Roman" w:hAnsi="Times New Roman" w:eastAsia="宋体" w:cs="Times New Roman"/>
                <w:color w:val="auto"/>
                <w:sz w:val="24"/>
                <w:szCs w:val="24"/>
              </w:rPr>
              <w:t>进行生态现状调查</w:t>
            </w:r>
            <w:r>
              <w:rPr>
                <w:rFonts w:hint="eastAsia" w:ascii="Times New Roman" w:hAnsi="Times New Roman" w:eastAsia="宋体" w:cs="Times New Roman"/>
                <w:color w:val="auto"/>
                <w:sz w:val="24"/>
                <w:szCs w:val="24"/>
              </w:rPr>
              <w:t>。</w:t>
            </w:r>
          </w:p>
          <w:p w14:paraId="58C497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5、电磁辐射</w:t>
            </w:r>
          </w:p>
          <w:p w14:paraId="00E59C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本项目无电磁辐射相关设备</w:t>
            </w:r>
            <w:r>
              <w:rPr>
                <w:rFonts w:hint="default" w:ascii="Times New Roman" w:hAnsi="Times New Roman" w:eastAsia="宋体" w:cs="Times New Roman"/>
                <w:color w:val="auto"/>
                <w:sz w:val="24"/>
                <w:szCs w:val="24"/>
              </w:rPr>
              <w:t>。</w:t>
            </w:r>
          </w:p>
          <w:p w14:paraId="1B37EC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6、地下水</w:t>
            </w:r>
          </w:p>
          <w:p w14:paraId="094346B9">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本项</w:t>
            </w:r>
            <w:r>
              <w:rPr>
                <w:rFonts w:hint="eastAsia" w:ascii="Times New Roman" w:hAnsi="Times New Roman" w:eastAsia="宋体" w:cs="Times New Roman"/>
                <w:color w:val="auto"/>
                <w:sz w:val="24"/>
                <w:szCs w:val="24"/>
                <w:lang w:val="en-US" w:eastAsia="zh-CN"/>
              </w:rPr>
              <w:t>目</w:t>
            </w:r>
            <w:r>
              <w:rPr>
                <w:rFonts w:hint="eastAsia" w:cs="Times New Roman"/>
                <w:color w:val="auto"/>
                <w:sz w:val="24"/>
                <w:szCs w:val="24"/>
                <w:lang w:eastAsia="zh-CN"/>
              </w:rPr>
              <w:t>从事</w:t>
            </w:r>
            <w:r>
              <w:rPr>
                <w:rFonts w:hint="eastAsia" w:cs="Times New Roman"/>
                <w:color w:val="auto"/>
                <w:sz w:val="24"/>
                <w:szCs w:val="24"/>
                <w:lang w:val="en-US" w:eastAsia="zh-CN"/>
              </w:rPr>
              <w:t>高端医用设备</w:t>
            </w:r>
            <w:r>
              <w:rPr>
                <w:rFonts w:hint="eastAsia" w:ascii="Times New Roman" w:hAnsi="Times New Roman" w:eastAsia="宋体" w:cs="Times New Roman"/>
                <w:color w:val="auto"/>
                <w:sz w:val="24"/>
                <w:szCs w:val="24"/>
                <w:lang w:eastAsia="zh-CN"/>
              </w:rPr>
              <w:t>的生产</w:t>
            </w:r>
            <w:r>
              <w:rPr>
                <w:rFonts w:hint="eastAsia" w:ascii="Times New Roman" w:hAnsi="Times New Roman" w:eastAsia="宋体" w:cs="Times New Roman"/>
                <w:color w:val="auto"/>
                <w:sz w:val="24"/>
                <w:szCs w:val="24"/>
                <w:lang w:val="en-US" w:eastAsia="zh-CN"/>
              </w:rPr>
              <w:t>，</w:t>
            </w:r>
            <w:r>
              <w:rPr>
                <w:rFonts w:hint="eastAsia" w:ascii="Times New Roman" w:hAnsi="Times New Roman" w:cs="Times New Roman" w:eastAsiaTheme="minorEastAsia"/>
                <w:color w:val="auto"/>
                <w:sz w:val="24"/>
                <w:szCs w:val="24"/>
                <w:lang w:val="en-US" w:eastAsia="zh-CN"/>
              </w:rPr>
              <w:t>本项目</w:t>
            </w:r>
            <w:r>
              <w:rPr>
                <w:bCs/>
                <w:color w:val="auto"/>
                <w:sz w:val="24"/>
              </w:rPr>
              <w:t>生活污水</w:t>
            </w:r>
            <w:r>
              <w:rPr>
                <w:rFonts w:hint="eastAsia"/>
                <w:bCs/>
                <w:color w:val="auto"/>
                <w:sz w:val="24"/>
                <w:lang w:val="en-US" w:eastAsia="zh-CN"/>
              </w:rPr>
              <w:t>经</w:t>
            </w:r>
            <w:r>
              <w:rPr>
                <w:rFonts w:hint="eastAsia"/>
                <w:color w:val="auto"/>
                <w:sz w:val="24"/>
                <w:lang w:val="en-US" w:eastAsia="zh-CN"/>
              </w:rPr>
              <w:t>园区</w:t>
            </w:r>
            <w:r>
              <w:rPr>
                <w:color w:val="auto"/>
                <w:sz w:val="24"/>
              </w:rPr>
              <w:t>化粪池预处理达接管要求后</w:t>
            </w:r>
            <w:r>
              <w:rPr>
                <w:rFonts w:hint="eastAsia"/>
                <w:color w:val="auto"/>
                <w:sz w:val="24"/>
                <w:szCs w:val="24"/>
              </w:rPr>
              <w:t>，</w:t>
            </w:r>
            <w:r>
              <w:rPr>
                <w:color w:val="auto"/>
                <w:sz w:val="24"/>
                <w:szCs w:val="24"/>
              </w:rPr>
              <w:t>接管排放至</w:t>
            </w:r>
            <w:r>
              <w:rPr>
                <w:rFonts w:hint="eastAsia" w:cs="Times New Roman"/>
                <w:color w:val="auto"/>
                <w:sz w:val="24"/>
                <w:szCs w:val="24"/>
                <w:lang w:val="en-US" w:eastAsia="zh-CN"/>
              </w:rPr>
              <w:t>常州市江边污水处理厂</w:t>
            </w:r>
            <w:r>
              <w:rPr>
                <w:rFonts w:hint="default" w:ascii="Times New Roman" w:hAnsi="Times New Roman" w:eastAsia="宋体" w:cs="Times New Roman"/>
                <w:color w:val="auto"/>
                <w:sz w:val="24"/>
                <w:szCs w:val="24"/>
                <w:lang w:eastAsia="zh-CN"/>
              </w:rPr>
              <w:t>集中处理</w:t>
            </w:r>
            <w:r>
              <w:rPr>
                <w:rFonts w:hint="eastAsia" w:cs="Times New Roman"/>
                <w:color w:val="auto"/>
                <w:sz w:val="24"/>
                <w:szCs w:val="24"/>
                <w:lang w:eastAsia="zh-CN"/>
              </w:rPr>
              <w:t>。</w:t>
            </w:r>
            <w:r>
              <w:rPr>
                <w:rFonts w:hint="eastAsia" w:ascii="Times New Roman" w:hAnsi="Times New Roman" w:eastAsia="宋体" w:cs="Times New Roman"/>
                <w:color w:val="auto"/>
                <w:sz w:val="24"/>
                <w:szCs w:val="24"/>
                <w:lang w:val="en-US" w:eastAsia="zh-CN"/>
              </w:rPr>
              <w:t>本项目</w:t>
            </w:r>
            <w:r>
              <w:rPr>
                <w:rFonts w:hint="eastAsia" w:ascii="Times New Roman" w:hAnsi="Times New Roman" w:eastAsia="宋体" w:cs="Times New Roman"/>
                <w:color w:val="auto"/>
                <w:sz w:val="24"/>
                <w:szCs w:val="24"/>
              </w:rPr>
              <w:t>不涉及重金属等难降解物质，且用地范围内均进行了硬底化，不存在地下水污染途径。根据《建设项目环境影响报告表编制技术指南·污染影</w:t>
            </w:r>
            <w:r>
              <w:rPr>
                <w:rFonts w:hint="eastAsia" w:ascii="Times New Roman" w:hAnsi="Times New Roman" w:eastAsia="宋体" w:cs="Times New Roman"/>
                <w:color w:val="auto"/>
                <w:sz w:val="24"/>
                <w:szCs w:val="24"/>
                <w:lang w:val="en-US" w:eastAsia="zh-CN"/>
              </w:rPr>
              <w:t>响类（试行）》，可不开展地下水环境质量现状监测。</w:t>
            </w:r>
          </w:p>
          <w:p w14:paraId="7488F0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7、土壤环境质量状况</w:t>
            </w:r>
          </w:p>
          <w:p w14:paraId="6B2C11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本项目租赁已建生产厂房，周边主要为工业企业，不存在耕地、牧草地等土壤环境敏感目标，不涉及重金属等难降解物质，且用地范围内均进行了硬底化，不存在土壤污染途径。根据《建设项目环境影响报告表编制技术指南·污染影响类（试行）》，可不开展土壤环境质量现状监测。</w:t>
            </w:r>
          </w:p>
          <w:p w14:paraId="4F5507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FF0000"/>
                <w:sz w:val="24"/>
                <w:szCs w:val="24"/>
              </w:rPr>
            </w:pPr>
          </w:p>
          <w:p w14:paraId="37643C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FF0000"/>
                <w:sz w:val="24"/>
                <w:szCs w:val="24"/>
              </w:rPr>
            </w:pPr>
          </w:p>
          <w:p w14:paraId="63E67E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FF0000"/>
                <w:sz w:val="24"/>
                <w:szCs w:val="24"/>
              </w:rPr>
            </w:pPr>
          </w:p>
          <w:p w14:paraId="790620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FF0000"/>
                <w:sz w:val="24"/>
                <w:szCs w:val="24"/>
              </w:rPr>
            </w:pPr>
          </w:p>
          <w:p w14:paraId="0E90E6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FF0000"/>
                <w:sz w:val="24"/>
                <w:szCs w:val="24"/>
              </w:rPr>
            </w:pPr>
          </w:p>
          <w:p w14:paraId="16C5AD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FF0000"/>
                <w:sz w:val="24"/>
                <w:szCs w:val="24"/>
              </w:rPr>
            </w:pPr>
          </w:p>
          <w:p w14:paraId="2583AB5E">
            <w:pPr>
              <w:rPr>
                <w:rFonts w:hint="eastAsia" w:ascii="Times New Roman" w:hAnsi="Times New Roman" w:eastAsia="宋体" w:cs="Times New Roman"/>
                <w:color w:val="FF0000"/>
                <w:sz w:val="24"/>
                <w:szCs w:val="24"/>
              </w:rPr>
            </w:pPr>
          </w:p>
          <w:p w14:paraId="1E692D14">
            <w:pPr>
              <w:pStyle w:val="3"/>
              <w:rPr>
                <w:rFonts w:hint="eastAsia" w:ascii="Times New Roman" w:hAnsi="Times New Roman" w:eastAsia="宋体" w:cs="Times New Roman"/>
                <w:color w:val="FF0000"/>
                <w:sz w:val="24"/>
                <w:szCs w:val="24"/>
              </w:rPr>
            </w:pPr>
          </w:p>
          <w:p w14:paraId="6D6995C3">
            <w:pPr>
              <w:rPr>
                <w:rFonts w:hint="eastAsia" w:ascii="Times New Roman" w:hAnsi="Times New Roman" w:eastAsia="宋体" w:cs="Times New Roman"/>
                <w:color w:val="FF0000"/>
                <w:sz w:val="24"/>
                <w:szCs w:val="24"/>
              </w:rPr>
            </w:pPr>
          </w:p>
          <w:p w14:paraId="10C1FCB1">
            <w:pPr>
              <w:pStyle w:val="3"/>
              <w:rPr>
                <w:rFonts w:hint="eastAsia" w:ascii="Times New Roman" w:hAnsi="Times New Roman" w:eastAsia="宋体" w:cs="Times New Roman"/>
                <w:color w:val="FF0000"/>
                <w:sz w:val="24"/>
                <w:szCs w:val="24"/>
              </w:rPr>
            </w:pPr>
          </w:p>
          <w:p w14:paraId="06BD63A6">
            <w:pPr>
              <w:rPr>
                <w:rFonts w:hint="eastAsia" w:ascii="Times New Roman" w:hAnsi="Times New Roman" w:eastAsia="宋体" w:cs="Times New Roman"/>
                <w:color w:val="FF0000"/>
                <w:sz w:val="24"/>
                <w:szCs w:val="24"/>
              </w:rPr>
            </w:pPr>
          </w:p>
          <w:p w14:paraId="3264CB5A">
            <w:pPr>
              <w:pStyle w:val="3"/>
              <w:rPr>
                <w:rFonts w:hint="eastAsia" w:ascii="Times New Roman" w:hAnsi="Times New Roman" w:eastAsia="宋体" w:cs="Times New Roman"/>
                <w:color w:val="FF0000"/>
                <w:sz w:val="24"/>
                <w:szCs w:val="24"/>
              </w:rPr>
            </w:pPr>
          </w:p>
          <w:p w14:paraId="399CF1D9">
            <w:pPr>
              <w:rPr>
                <w:rFonts w:hint="eastAsia" w:ascii="Times New Roman" w:hAnsi="Times New Roman" w:eastAsia="宋体" w:cs="Times New Roman"/>
                <w:color w:val="FF0000"/>
                <w:sz w:val="24"/>
                <w:szCs w:val="24"/>
              </w:rPr>
            </w:pPr>
          </w:p>
          <w:p w14:paraId="7FF09A0A">
            <w:pPr>
              <w:pStyle w:val="3"/>
              <w:rPr>
                <w:rFonts w:hint="eastAsia" w:ascii="Times New Roman" w:hAnsi="Times New Roman" w:eastAsia="宋体" w:cs="Times New Roman"/>
                <w:color w:val="FF0000"/>
                <w:sz w:val="24"/>
                <w:szCs w:val="24"/>
              </w:rPr>
            </w:pPr>
          </w:p>
          <w:p w14:paraId="109EA1DE">
            <w:pPr>
              <w:rPr>
                <w:rFonts w:hint="eastAsia" w:ascii="Times New Roman" w:hAnsi="Times New Roman" w:eastAsia="宋体" w:cs="Times New Roman"/>
                <w:color w:val="FF0000"/>
                <w:sz w:val="24"/>
                <w:szCs w:val="24"/>
              </w:rPr>
            </w:pPr>
          </w:p>
          <w:p w14:paraId="3FC4D2D9">
            <w:pPr>
              <w:pStyle w:val="2"/>
              <w:rPr>
                <w:color w:val="FF0000"/>
              </w:rPr>
            </w:pPr>
          </w:p>
          <w:p w14:paraId="7AFE28E3">
            <w:pPr>
              <w:rPr>
                <w:color w:val="FF0000"/>
              </w:rPr>
            </w:pPr>
          </w:p>
          <w:p w14:paraId="74B7642F">
            <w:pPr>
              <w:rPr>
                <w:color w:val="FF0000"/>
              </w:rPr>
            </w:pPr>
          </w:p>
        </w:tc>
      </w:tr>
    </w:tbl>
    <w:p w14:paraId="3CBA3E02">
      <w:pPr>
        <w:adjustRightInd w:val="0"/>
        <w:snapToGrid w:val="0"/>
        <w:jc w:val="center"/>
        <w:rPr>
          <w:rFonts w:ascii="宋体" w:hAnsi="宋体" w:cs="宋体"/>
          <w:b/>
          <w:bCs/>
          <w:color w:val="FF0000"/>
          <w:kern w:val="0"/>
          <w:sz w:val="24"/>
          <w:szCs w:val="24"/>
        </w:rPr>
        <w:sectPr>
          <w:pgSz w:w="11906" w:h="16838"/>
          <w:pgMar w:top="1276" w:right="1803" w:bottom="1713" w:left="1803" w:header="851" w:footer="992" w:gutter="0"/>
          <w:pgBorders>
            <w:top w:val="none" w:sz="0" w:space="0"/>
            <w:left w:val="none" w:sz="0" w:space="0"/>
            <w:bottom w:val="none" w:sz="0" w:space="0"/>
            <w:right w:val="none" w:sz="0" w:space="0"/>
          </w:pgBorders>
          <w:pgNumType w:fmt="decimal"/>
          <w:cols w:space="0" w:num="1"/>
          <w:docGrid w:type="lines" w:linePitch="319" w:charSpace="0"/>
        </w:sect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3568"/>
      </w:tblGrid>
      <w:tr w14:paraId="4FF8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3" w:hRule="atLeast"/>
          <w:jc w:val="center"/>
        </w:trPr>
        <w:tc>
          <w:tcPr>
            <w:tcW w:w="397" w:type="dxa"/>
            <w:vAlign w:val="center"/>
          </w:tcPr>
          <w:p w14:paraId="1937BCEB">
            <w:pPr>
              <w:adjustRightInd w:val="0"/>
              <w:snapToGrid w:val="0"/>
              <w:ind w:right="40" w:rightChars="19"/>
              <w:rPr>
                <w:rFonts w:eastAsiaTheme="minorEastAsia"/>
                <w:color w:val="FF0000"/>
                <w:sz w:val="24"/>
                <w:szCs w:val="24"/>
              </w:rPr>
            </w:pPr>
            <w:r>
              <w:rPr>
                <w:rFonts w:hint="eastAsia" w:eastAsiaTheme="minorEastAsia"/>
                <w:b/>
                <w:bCs/>
                <w:color w:val="auto"/>
                <w:sz w:val="24"/>
                <w:szCs w:val="24"/>
              </w:rPr>
              <w:t>环境保护目标</w:t>
            </w:r>
          </w:p>
        </w:tc>
        <w:tc>
          <w:tcPr>
            <w:tcW w:w="13568" w:type="dxa"/>
          </w:tcPr>
          <w:p w14:paraId="7C1C5F89">
            <w:pPr>
              <w:spacing w:line="360" w:lineRule="auto"/>
              <w:ind w:firstLine="480" w:firstLineChars="200"/>
              <w:rPr>
                <w:rFonts w:eastAsiaTheme="minorEastAsia"/>
                <w:color w:val="auto"/>
                <w:sz w:val="24"/>
                <w:szCs w:val="24"/>
              </w:rPr>
            </w:pPr>
            <w:r>
              <w:rPr>
                <w:rFonts w:eastAsiaTheme="minorEastAsia"/>
                <w:color w:val="auto"/>
                <w:sz w:val="24"/>
                <w:szCs w:val="24"/>
              </w:rPr>
              <w:t>根据现场踏勘，确定本项目环境保护目标见表3-</w:t>
            </w:r>
            <w:r>
              <w:rPr>
                <w:rFonts w:hint="eastAsia" w:eastAsiaTheme="minorEastAsia"/>
                <w:color w:val="auto"/>
                <w:sz w:val="24"/>
                <w:szCs w:val="24"/>
                <w:lang w:val="en-US" w:eastAsia="zh-CN"/>
              </w:rPr>
              <w:t>2</w:t>
            </w:r>
            <w:r>
              <w:rPr>
                <w:rFonts w:eastAsiaTheme="minorEastAsia"/>
                <w:color w:val="auto"/>
                <w:sz w:val="24"/>
                <w:szCs w:val="24"/>
              </w:rPr>
              <w:t>。</w:t>
            </w:r>
          </w:p>
          <w:p w14:paraId="166169E4">
            <w:pPr>
              <w:snapToGrid w:val="0"/>
              <w:spacing w:line="360" w:lineRule="auto"/>
              <w:jc w:val="center"/>
              <w:rPr>
                <w:rFonts w:eastAsiaTheme="minorEastAsia"/>
                <w:color w:val="auto"/>
                <w:sz w:val="24"/>
                <w:szCs w:val="24"/>
              </w:rPr>
            </w:pPr>
            <w:r>
              <w:rPr>
                <w:rFonts w:eastAsiaTheme="minorEastAsia"/>
                <w:b/>
                <w:color w:val="auto"/>
                <w:sz w:val="24"/>
                <w:szCs w:val="24"/>
              </w:rPr>
              <w:t>表3</w:t>
            </w:r>
            <w:r>
              <w:rPr>
                <w:rFonts w:hint="eastAsia" w:eastAsiaTheme="minorEastAsia"/>
                <w:b/>
                <w:color w:val="auto"/>
                <w:sz w:val="24"/>
                <w:szCs w:val="24"/>
                <w:lang w:val="en-US" w:eastAsia="zh-CN"/>
              </w:rPr>
              <w:t>-2</w:t>
            </w:r>
            <w:r>
              <w:rPr>
                <w:rFonts w:eastAsiaTheme="minorEastAsia"/>
                <w:b/>
                <w:color w:val="auto"/>
                <w:sz w:val="24"/>
                <w:szCs w:val="24"/>
              </w:rPr>
              <w:t>主要</w:t>
            </w:r>
            <w:r>
              <w:rPr>
                <w:rFonts w:eastAsiaTheme="minorEastAsia"/>
                <w:b/>
                <w:bCs/>
                <w:color w:val="auto"/>
                <w:sz w:val="24"/>
                <w:szCs w:val="24"/>
              </w:rPr>
              <w:t>环境保护</w:t>
            </w:r>
            <w:r>
              <w:rPr>
                <w:rFonts w:eastAsiaTheme="minorEastAsia"/>
                <w:b/>
                <w:color w:val="auto"/>
                <w:sz w:val="24"/>
                <w:szCs w:val="24"/>
              </w:rPr>
              <w:t>目标、环境功能区划情况一览表</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8"/>
              <w:gridCol w:w="596"/>
              <w:gridCol w:w="825"/>
              <w:gridCol w:w="130"/>
              <w:gridCol w:w="1003"/>
              <w:gridCol w:w="1026"/>
              <w:gridCol w:w="993"/>
              <w:gridCol w:w="12"/>
              <w:gridCol w:w="981"/>
              <w:gridCol w:w="1290"/>
              <w:gridCol w:w="1000"/>
              <w:gridCol w:w="1343"/>
              <w:gridCol w:w="1560"/>
              <w:gridCol w:w="1690"/>
            </w:tblGrid>
            <w:tr w14:paraId="19904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325" w:type="pct"/>
                  <w:vMerge w:val="restart"/>
                  <w:shd w:val="clear" w:color="auto" w:fill="auto"/>
                  <w:vAlign w:val="center"/>
                </w:tcPr>
                <w:p w14:paraId="15B0AB93">
                  <w:pPr>
                    <w:snapToGrid w:val="0"/>
                    <w:jc w:val="center"/>
                    <w:rPr>
                      <w:rFonts w:eastAsiaTheme="minorEastAsia"/>
                      <w:b/>
                      <w:bCs/>
                      <w:color w:val="auto"/>
                      <w:szCs w:val="21"/>
                    </w:rPr>
                  </w:pPr>
                  <w:r>
                    <w:rPr>
                      <w:rFonts w:eastAsiaTheme="minorEastAsia"/>
                      <w:b/>
                      <w:bCs/>
                      <w:color w:val="auto"/>
                      <w:szCs w:val="21"/>
                    </w:rPr>
                    <w:t>环境</w:t>
                  </w:r>
                </w:p>
                <w:p w14:paraId="2C5F0923">
                  <w:pPr>
                    <w:snapToGrid w:val="0"/>
                    <w:jc w:val="center"/>
                    <w:rPr>
                      <w:rFonts w:eastAsiaTheme="minorEastAsia"/>
                      <w:b/>
                      <w:bCs/>
                      <w:color w:val="auto"/>
                      <w:szCs w:val="21"/>
                    </w:rPr>
                  </w:pPr>
                  <w:r>
                    <w:rPr>
                      <w:rFonts w:eastAsiaTheme="minorEastAsia"/>
                      <w:b/>
                      <w:bCs/>
                      <w:color w:val="auto"/>
                      <w:szCs w:val="21"/>
                    </w:rPr>
                    <w:t>要素</w:t>
                  </w:r>
                </w:p>
              </w:tc>
              <w:tc>
                <w:tcPr>
                  <w:tcW w:w="533" w:type="pct"/>
                  <w:gridSpan w:val="2"/>
                  <w:vMerge w:val="restart"/>
                  <w:shd w:val="clear" w:color="auto" w:fill="auto"/>
                  <w:vAlign w:val="center"/>
                </w:tcPr>
                <w:p w14:paraId="5001542B">
                  <w:pPr>
                    <w:snapToGrid w:val="0"/>
                    <w:jc w:val="center"/>
                    <w:rPr>
                      <w:rFonts w:eastAsiaTheme="minorEastAsia"/>
                      <w:b/>
                      <w:bCs/>
                      <w:color w:val="auto"/>
                      <w:szCs w:val="21"/>
                    </w:rPr>
                  </w:pPr>
                  <w:r>
                    <w:rPr>
                      <w:rFonts w:eastAsiaTheme="minorEastAsia"/>
                      <w:b/>
                      <w:bCs/>
                      <w:color w:val="auto"/>
                      <w:szCs w:val="21"/>
                    </w:rPr>
                    <w:t>保护对象名称</w:t>
                  </w:r>
                </w:p>
              </w:tc>
              <w:tc>
                <w:tcPr>
                  <w:tcW w:w="810" w:type="pct"/>
                  <w:gridSpan w:val="3"/>
                  <w:shd w:val="clear" w:color="auto" w:fill="auto"/>
                  <w:vAlign w:val="center"/>
                </w:tcPr>
                <w:p w14:paraId="314A0BD8">
                  <w:pPr>
                    <w:pStyle w:val="58"/>
                    <w:snapToGrid w:val="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坐标</w:t>
                  </w:r>
                  <w:r>
                    <w:rPr>
                      <w:rFonts w:hint="eastAsia" w:ascii="Times New Roman" w:hAnsi="Times New Roman" w:eastAsiaTheme="minorEastAsia"/>
                      <w:b/>
                      <w:color w:val="auto"/>
                      <w:sz w:val="21"/>
                      <w:szCs w:val="21"/>
                    </w:rPr>
                    <w:t>/m</w:t>
                  </w:r>
                </w:p>
              </w:tc>
              <w:tc>
                <w:tcPr>
                  <w:tcW w:w="377" w:type="pct"/>
                  <w:gridSpan w:val="2"/>
                  <w:vMerge w:val="restart"/>
                  <w:shd w:val="clear" w:color="auto" w:fill="auto"/>
                  <w:vAlign w:val="center"/>
                </w:tcPr>
                <w:p w14:paraId="224EFA33">
                  <w:pPr>
                    <w:pStyle w:val="58"/>
                    <w:snapToGrid w:val="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保护</w:t>
                  </w:r>
                </w:p>
                <w:p w14:paraId="29D5260A">
                  <w:pPr>
                    <w:pStyle w:val="58"/>
                    <w:snapToGrid w:val="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对象</w:t>
                  </w:r>
                </w:p>
              </w:tc>
              <w:tc>
                <w:tcPr>
                  <w:tcW w:w="368" w:type="pct"/>
                  <w:vMerge w:val="restart"/>
                  <w:shd w:val="clear" w:color="auto" w:fill="auto"/>
                  <w:vAlign w:val="center"/>
                </w:tcPr>
                <w:p w14:paraId="7B46659B">
                  <w:pPr>
                    <w:pStyle w:val="58"/>
                    <w:snapToGrid w:val="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保护</w:t>
                  </w:r>
                </w:p>
                <w:p w14:paraId="3F7A0B67">
                  <w:pPr>
                    <w:pStyle w:val="58"/>
                    <w:snapToGrid w:val="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内容</w:t>
                  </w:r>
                </w:p>
              </w:tc>
              <w:tc>
                <w:tcPr>
                  <w:tcW w:w="484" w:type="pct"/>
                  <w:vMerge w:val="restart"/>
                  <w:shd w:val="clear" w:color="auto" w:fill="auto"/>
                  <w:vAlign w:val="center"/>
                </w:tcPr>
                <w:p w14:paraId="0DE3ADB3">
                  <w:pPr>
                    <w:snapToGrid w:val="0"/>
                    <w:jc w:val="center"/>
                    <w:rPr>
                      <w:rFonts w:eastAsiaTheme="minorEastAsia"/>
                      <w:b/>
                      <w:bCs/>
                      <w:color w:val="auto"/>
                      <w:szCs w:val="21"/>
                    </w:rPr>
                  </w:pPr>
                  <w:r>
                    <w:rPr>
                      <w:rFonts w:eastAsiaTheme="minorEastAsia"/>
                      <w:b/>
                      <w:bCs/>
                      <w:color w:val="auto"/>
                      <w:szCs w:val="21"/>
                    </w:rPr>
                    <w:t>规模</w:t>
                  </w:r>
                </w:p>
              </w:tc>
              <w:tc>
                <w:tcPr>
                  <w:tcW w:w="375" w:type="pct"/>
                  <w:vMerge w:val="restart"/>
                  <w:shd w:val="clear" w:color="auto" w:fill="auto"/>
                  <w:vAlign w:val="center"/>
                </w:tcPr>
                <w:p w14:paraId="00E96DE5">
                  <w:pPr>
                    <w:pStyle w:val="58"/>
                    <w:snapToGrid w:val="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相对厂址方位</w:t>
                  </w:r>
                </w:p>
              </w:tc>
              <w:tc>
                <w:tcPr>
                  <w:tcW w:w="504" w:type="pct"/>
                  <w:vMerge w:val="restart"/>
                  <w:shd w:val="clear" w:color="auto" w:fill="auto"/>
                  <w:vAlign w:val="center"/>
                </w:tcPr>
                <w:p w14:paraId="05219C27">
                  <w:pPr>
                    <w:pStyle w:val="58"/>
                    <w:snapToGrid w:val="0"/>
                    <w:jc w:val="center"/>
                    <w:rPr>
                      <w:rFonts w:hint="eastAsia" w:ascii="Times New Roman" w:hAnsi="Times New Roman" w:eastAsiaTheme="minorEastAsia"/>
                      <w:b/>
                      <w:color w:val="auto"/>
                      <w:sz w:val="21"/>
                      <w:szCs w:val="21"/>
                      <w:lang w:eastAsia="zh-CN"/>
                    </w:rPr>
                  </w:pPr>
                  <w:r>
                    <w:rPr>
                      <w:rFonts w:ascii="Times New Roman" w:hAnsi="Times New Roman" w:eastAsiaTheme="minorEastAsia"/>
                      <w:b/>
                      <w:color w:val="auto"/>
                      <w:sz w:val="21"/>
                      <w:szCs w:val="21"/>
                    </w:rPr>
                    <w:t>相对厂界</w:t>
                  </w:r>
                  <w:r>
                    <w:rPr>
                      <w:rFonts w:hint="eastAsia" w:ascii="Times New Roman" w:hAnsi="Times New Roman" w:eastAsiaTheme="minorEastAsia"/>
                      <w:b/>
                      <w:color w:val="auto"/>
                      <w:sz w:val="21"/>
                      <w:szCs w:val="21"/>
                      <w:lang w:val="en-US" w:eastAsia="zh-CN"/>
                    </w:rPr>
                    <w:t>最近</w:t>
                  </w:r>
                  <w:r>
                    <w:rPr>
                      <w:rFonts w:ascii="Times New Roman" w:hAnsi="Times New Roman" w:eastAsiaTheme="minorEastAsia"/>
                      <w:b/>
                      <w:color w:val="auto"/>
                      <w:sz w:val="21"/>
                      <w:szCs w:val="21"/>
                    </w:rPr>
                    <w:t>距离</w:t>
                  </w:r>
                  <w:r>
                    <w:rPr>
                      <w:rFonts w:hint="eastAsia" w:ascii="Times New Roman" w:hAnsi="Times New Roman" w:eastAsiaTheme="minorEastAsia"/>
                      <w:b/>
                      <w:color w:val="auto"/>
                      <w:sz w:val="21"/>
                      <w:szCs w:val="21"/>
                      <w:lang w:eastAsia="zh-CN"/>
                    </w:rPr>
                    <w:t>（</w:t>
                  </w:r>
                  <w:r>
                    <w:rPr>
                      <w:rFonts w:hint="eastAsia" w:ascii="Times New Roman" w:hAnsi="Times New Roman" w:eastAsiaTheme="minorEastAsia"/>
                      <w:b/>
                      <w:color w:val="auto"/>
                      <w:sz w:val="21"/>
                      <w:szCs w:val="21"/>
                      <w:lang w:val="en-US" w:eastAsia="zh-CN"/>
                    </w:rPr>
                    <w:t>m</w:t>
                  </w:r>
                  <w:r>
                    <w:rPr>
                      <w:rFonts w:hint="eastAsia" w:ascii="Times New Roman" w:hAnsi="Times New Roman" w:eastAsiaTheme="minorEastAsia"/>
                      <w:b/>
                      <w:color w:val="auto"/>
                      <w:sz w:val="21"/>
                      <w:szCs w:val="21"/>
                      <w:lang w:eastAsia="zh-CN"/>
                    </w:rPr>
                    <w:t>）</w:t>
                  </w:r>
                </w:p>
              </w:tc>
              <w:tc>
                <w:tcPr>
                  <w:tcW w:w="585" w:type="pct"/>
                  <w:vMerge w:val="restart"/>
                  <w:shd w:val="clear" w:color="auto" w:fill="auto"/>
                  <w:vAlign w:val="center"/>
                </w:tcPr>
                <w:p w14:paraId="3061388D">
                  <w:pPr>
                    <w:pStyle w:val="58"/>
                    <w:snapToGrid w:val="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环境功能区</w:t>
                  </w:r>
                </w:p>
              </w:tc>
              <w:tc>
                <w:tcPr>
                  <w:tcW w:w="634" w:type="pct"/>
                  <w:vMerge w:val="restart"/>
                  <w:shd w:val="clear" w:color="auto" w:fill="auto"/>
                  <w:vAlign w:val="center"/>
                </w:tcPr>
                <w:p w14:paraId="38CD1948">
                  <w:pPr>
                    <w:pStyle w:val="58"/>
                    <w:snapToGrid w:val="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依据</w:t>
                  </w:r>
                </w:p>
              </w:tc>
            </w:tr>
            <w:tr w14:paraId="6883A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vMerge w:val="continue"/>
                  <w:shd w:val="clear" w:color="auto" w:fill="auto"/>
                  <w:vAlign w:val="center"/>
                </w:tcPr>
                <w:p w14:paraId="2E2E4826">
                  <w:pPr>
                    <w:pStyle w:val="58"/>
                    <w:snapToGrid w:val="0"/>
                    <w:jc w:val="center"/>
                    <w:rPr>
                      <w:rFonts w:ascii="Times New Roman" w:hAnsi="Times New Roman" w:eastAsiaTheme="minorEastAsia"/>
                      <w:color w:val="auto"/>
                      <w:sz w:val="21"/>
                      <w:szCs w:val="21"/>
                    </w:rPr>
                  </w:pPr>
                </w:p>
              </w:tc>
              <w:tc>
                <w:tcPr>
                  <w:tcW w:w="533" w:type="pct"/>
                  <w:gridSpan w:val="2"/>
                  <w:vMerge w:val="continue"/>
                  <w:shd w:val="clear" w:color="auto" w:fill="auto"/>
                  <w:vAlign w:val="center"/>
                </w:tcPr>
                <w:p w14:paraId="68F022E7">
                  <w:pPr>
                    <w:pStyle w:val="58"/>
                    <w:snapToGrid w:val="0"/>
                    <w:jc w:val="center"/>
                    <w:rPr>
                      <w:rFonts w:ascii="Times New Roman" w:hAnsi="Times New Roman" w:eastAsiaTheme="minorEastAsia"/>
                      <w:color w:val="auto"/>
                      <w:sz w:val="21"/>
                      <w:szCs w:val="21"/>
                    </w:rPr>
                  </w:pPr>
                </w:p>
              </w:tc>
              <w:tc>
                <w:tcPr>
                  <w:tcW w:w="425" w:type="pct"/>
                  <w:gridSpan w:val="2"/>
                  <w:shd w:val="clear" w:color="auto" w:fill="auto"/>
                  <w:vAlign w:val="center"/>
                </w:tcPr>
                <w:p w14:paraId="0D3DF94C">
                  <w:pPr>
                    <w:pStyle w:val="58"/>
                    <w:snapToGrid w:val="0"/>
                    <w:jc w:val="center"/>
                    <w:rPr>
                      <w:rFonts w:ascii="Times New Roman" w:hAnsi="Times New Roman" w:eastAsiaTheme="minorEastAsia"/>
                      <w:b/>
                      <w:color w:val="auto"/>
                      <w:sz w:val="21"/>
                      <w:szCs w:val="21"/>
                    </w:rPr>
                  </w:pPr>
                  <w:r>
                    <w:rPr>
                      <w:rFonts w:hint="eastAsia" w:ascii="Times New Roman" w:hAnsi="Times New Roman" w:eastAsiaTheme="minorEastAsia"/>
                      <w:b/>
                      <w:color w:val="auto"/>
                      <w:sz w:val="21"/>
                      <w:szCs w:val="21"/>
                    </w:rPr>
                    <w:t>X</w:t>
                  </w:r>
                </w:p>
              </w:tc>
              <w:tc>
                <w:tcPr>
                  <w:tcW w:w="385" w:type="pct"/>
                  <w:shd w:val="clear" w:color="auto" w:fill="auto"/>
                  <w:vAlign w:val="center"/>
                </w:tcPr>
                <w:p w14:paraId="76E5039E">
                  <w:pPr>
                    <w:pStyle w:val="58"/>
                    <w:snapToGrid w:val="0"/>
                    <w:jc w:val="center"/>
                    <w:rPr>
                      <w:rFonts w:ascii="Times New Roman" w:hAnsi="Times New Roman" w:eastAsiaTheme="minorEastAsia"/>
                      <w:b/>
                      <w:color w:val="auto"/>
                      <w:sz w:val="21"/>
                      <w:szCs w:val="21"/>
                    </w:rPr>
                  </w:pPr>
                  <w:r>
                    <w:rPr>
                      <w:rFonts w:hint="eastAsia" w:ascii="Times New Roman" w:hAnsi="Times New Roman" w:eastAsiaTheme="minorEastAsia"/>
                      <w:b/>
                      <w:color w:val="auto"/>
                      <w:sz w:val="21"/>
                      <w:szCs w:val="21"/>
                    </w:rPr>
                    <w:t>Y</w:t>
                  </w:r>
                </w:p>
              </w:tc>
              <w:tc>
                <w:tcPr>
                  <w:tcW w:w="377" w:type="pct"/>
                  <w:gridSpan w:val="2"/>
                  <w:vMerge w:val="continue"/>
                  <w:shd w:val="clear" w:color="auto" w:fill="auto"/>
                  <w:vAlign w:val="center"/>
                </w:tcPr>
                <w:p w14:paraId="01390AF9">
                  <w:pPr>
                    <w:pStyle w:val="58"/>
                    <w:snapToGrid w:val="0"/>
                    <w:jc w:val="center"/>
                    <w:rPr>
                      <w:rFonts w:ascii="Times New Roman" w:hAnsi="Times New Roman" w:eastAsiaTheme="minorEastAsia"/>
                      <w:color w:val="auto"/>
                      <w:sz w:val="21"/>
                      <w:szCs w:val="21"/>
                    </w:rPr>
                  </w:pPr>
                </w:p>
              </w:tc>
              <w:tc>
                <w:tcPr>
                  <w:tcW w:w="368" w:type="pct"/>
                  <w:vMerge w:val="continue"/>
                  <w:shd w:val="clear" w:color="auto" w:fill="auto"/>
                  <w:vAlign w:val="center"/>
                </w:tcPr>
                <w:p w14:paraId="14FB6D50">
                  <w:pPr>
                    <w:pStyle w:val="58"/>
                    <w:snapToGrid w:val="0"/>
                    <w:jc w:val="center"/>
                    <w:rPr>
                      <w:rFonts w:ascii="Times New Roman" w:hAnsi="Times New Roman" w:eastAsiaTheme="minorEastAsia"/>
                      <w:color w:val="auto"/>
                      <w:sz w:val="21"/>
                      <w:szCs w:val="21"/>
                    </w:rPr>
                  </w:pPr>
                </w:p>
              </w:tc>
              <w:tc>
                <w:tcPr>
                  <w:tcW w:w="484" w:type="pct"/>
                  <w:vMerge w:val="continue"/>
                  <w:shd w:val="clear" w:color="auto" w:fill="auto"/>
                  <w:vAlign w:val="center"/>
                </w:tcPr>
                <w:p w14:paraId="6390BD0A">
                  <w:pPr>
                    <w:pStyle w:val="58"/>
                    <w:snapToGrid w:val="0"/>
                    <w:jc w:val="center"/>
                    <w:rPr>
                      <w:rFonts w:ascii="Times New Roman" w:hAnsi="Times New Roman" w:eastAsiaTheme="minorEastAsia"/>
                      <w:color w:val="auto"/>
                      <w:sz w:val="21"/>
                      <w:szCs w:val="21"/>
                    </w:rPr>
                  </w:pPr>
                </w:p>
              </w:tc>
              <w:tc>
                <w:tcPr>
                  <w:tcW w:w="375" w:type="pct"/>
                  <w:vMerge w:val="continue"/>
                  <w:shd w:val="clear" w:color="auto" w:fill="auto"/>
                  <w:vAlign w:val="center"/>
                </w:tcPr>
                <w:p w14:paraId="28F0DE0D">
                  <w:pPr>
                    <w:pStyle w:val="58"/>
                    <w:snapToGrid w:val="0"/>
                    <w:jc w:val="center"/>
                    <w:rPr>
                      <w:rFonts w:ascii="Times New Roman" w:hAnsi="Times New Roman" w:eastAsiaTheme="minorEastAsia"/>
                      <w:color w:val="auto"/>
                      <w:sz w:val="21"/>
                      <w:szCs w:val="21"/>
                    </w:rPr>
                  </w:pPr>
                </w:p>
              </w:tc>
              <w:tc>
                <w:tcPr>
                  <w:tcW w:w="504" w:type="pct"/>
                  <w:vMerge w:val="continue"/>
                  <w:shd w:val="clear" w:color="auto" w:fill="auto"/>
                  <w:vAlign w:val="center"/>
                </w:tcPr>
                <w:p w14:paraId="6CE667FA">
                  <w:pPr>
                    <w:pStyle w:val="58"/>
                    <w:snapToGrid w:val="0"/>
                    <w:jc w:val="center"/>
                    <w:rPr>
                      <w:rFonts w:ascii="Times New Roman" w:hAnsi="Times New Roman" w:eastAsiaTheme="minorEastAsia"/>
                      <w:color w:val="auto"/>
                      <w:sz w:val="21"/>
                      <w:szCs w:val="21"/>
                    </w:rPr>
                  </w:pPr>
                </w:p>
              </w:tc>
              <w:tc>
                <w:tcPr>
                  <w:tcW w:w="585" w:type="pct"/>
                  <w:vMerge w:val="continue"/>
                  <w:shd w:val="clear" w:color="auto" w:fill="auto"/>
                  <w:vAlign w:val="center"/>
                </w:tcPr>
                <w:p w14:paraId="6C8FEA74">
                  <w:pPr>
                    <w:pStyle w:val="58"/>
                    <w:snapToGrid w:val="0"/>
                    <w:jc w:val="center"/>
                    <w:rPr>
                      <w:rFonts w:ascii="Times New Roman" w:hAnsi="Times New Roman" w:eastAsiaTheme="minorEastAsia"/>
                      <w:color w:val="auto"/>
                      <w:sz w:val="21"/>
                      <w:szCs w:val="21"/>
                    </w:rPr>
                  </w:pPr>
                </w:p>
              </w:tc>
              <w:tc>
                <w:tcPr>
                  <w:tcW w:w="634" w:type="pct"/>
                  <w:vMerge w:val="continue"/>
                  <w:shd w:val="clear" w:color="auto" w:fill="auto"/>
                  <w:vAlign w:val="center"/>
                </w:tcPr>
                <w:p w14:paraId="02DC43BA">
                  <w:pPr>
                    <w:pStyle w:val="58"/>
                    <w:snapToGrid w:val="0"/>
                    <w:jc w:val="center"/>
                    <w:rPr>
                      <w:rFonts w:ascii="Times New Roman" w:hAnsi="Times New Roman" w:eastAsiaTheme="minorEastAsia"/>
                      <w:color w:val="auto"/>
                      <w:sz w:val="21"/>
                      <w:szCs w:val="21"/>
                    </w:rPr>
                  </w:pPr>
                </w:p>
              </w:tc>
            </w:tr>
            <w:tr w14:paraId="3C0F6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vMerge w:val="restart"/>
                  <w:shd w:val="clear" w:color="auto" w:fill="auto"/>
                  <w:vAlign w:val="center"/>
                </w:tcPr>
                <w:p w14:paraId="61DB2D79">
                  <w:pPr>
                    <w:adjustRightInd w:val="0"/>
                    <w:snapToGrid w:val="0"/>
                    <w:spacing w:before="74"/>
                    <w:jc w:val="center"/>
                    <w:rPr>
                      <w:rFonts w:eastAsiaTheme="minorEastAsia"/>
                      <w:color w:val="auto"/>
                      <w:szCs w:val="21"/>
                    </w:rPr>
                  </w:pPr>
                  <w:r>
                    <w:rPr>
                      <w:rFonts w:eastAsiaTheme="minorEastAsia"/>
                      <w:color w:val="auto"/>
                      <w:szCs w:val="21"/>
                    </w:rPr>
                    <w:t>大气</w:t>
                  </w:r>
                </w:p>
                <w:p w14:paraId="3E36DB13">
                  <w:pPr>
                    <w:adjustRightInd w:val="0"/>
                    <w:snapToGrid w:val="0"/>
                    <w:spacing w:before="74"/>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Cs w:val="21"/>
                    </w:rPr>
                    <w:t>环境</w:t>
                  </w:r>
                </w:p>
              </w:tc>
              <w:tc>
                <w:tcPr>
                  <w:tcW w:w="533" w:type="pct"/>
                  <w:gridSpan w:val="2"/>
                  <w:shd w:val="clear" w:color="auto" w:fill="auto"/>
                  <w:vAlign w:val="center"/>
                </w:tcPr>
                <w:p w14:paraId="6F0B7DA3">
                  <w:pPr>
                    <w:pStyle w:val="58"/>
                    <w:snapToGrid w:val="0"/>
                    <w:jc w:val="center"/>
                    <w:rPr>
                      <w:rFonts w:hint="eastAsia" w:ascii="Times New Roman" w:hAnsi="Times New Roman" w:eastAsiaTheme="minorEastAsia"/>
                      <w:b w:val="0"/>
                      <w:bCs w:val="0"/>
                      <w:color w:val="auto"/>
                      <w:sz w:val="21"/>
                      <w:szCs w:val="21"/>
                      <w:lang w:val="en-US" w:eastAsia="zh-CN"/>
                    </w:rPr>
                  </w:pPr>
                  <w:r>
                    <w:rPr>
                      <w:rFonts w:hint="eastAsia" w:ascii="Times New Roman" w:hAnsi="Times New Roman" w:eastAsiaTheme="minorEastAsia"/>
                      <w:b w:val="0"/>
                      <w:bCs w:val="0"/>
                      <w:color w:val="auto"/>
                      <w:sz w:val="21"/>
                      <w:szCs w:val="21"/>
                      <w:lang w:val="en-US" w:eastAsia="zh-CN"/>
                    </w:rPr>
                    <w:t>百馨西苑</w:t>
                  </w:r>
                </w:p>
                <w:p w14:paraId="3EF20518">
                  <w:pPr>
                    <w:pStyle w:val="58"/>
                    <w:snapToGrid w:val="0"/>
                    <w:jc w:val="center"/>
                    <w:rPr>
                      <w:rFonts w:hint="default" w:ascii="Times New Roman" w:hAnsi="Times New Roman" w:eastAsiaTheme="minorEastAsia"/>
                      <w:b w:val="0"/>
                      <w:bCs w:val="0"/>
                      <w:color w:val="auto"/>
                      <w:sz w:val="21"/>
                      <w:szCs w:val="21"/>
                      <w:lang w:val="en-US" w:eastAsia="zh-CN"/>
                    </w:rPr>
                  </w:pPr>
                  <w:r>
                    <w:rPr>
                      <w:rFonts w:hint="eastAsia" w:ascii="Times New Roman" w:hAnsi="Times New Roman" w:eastAsiaTheme="minorEastAsia"/>
                      <w:b w:val="0"/>
                      <w:bCs w:val="0"/>
                      <w:color w:val="auto"/>
                      <w:sz w:val="21"/>
                      <w:szCs w:val="21"/>
                      <w:lang w:val="en-US" w:eastAsia="zh-CN"/>
                    </w:rPr>
                    <w:t>五期南区</w:t>
                  </w:r>
                </w:p>
              </w:tc>
              <w:tc>
                <w:tcPr>
                  <w:tcW w:w="425" w:type="pct"/>
                  <w:gridSpan w:val="2"/>
                  <w:shd w:val="clear" w:color="auto" w:fill="auto"/>
                  <w:vAlign w:val="center"/>
                </w:tcPr>
                <w:p w14:paraId="4E45BAF5">
                  <w:pPr>
                    <w:pStyle w:val="58"/>
                    <w:snapToGrid w:val="0"/>
                    <w:jc w:val="center"/>
                    <w:rPr>
                      <w:rFonts w:hint="default" w:ascii="Times New Roman" w:hAnsi="Times New Roman" w:eastAsiaTheme="minorEastAsia"/>
                      <w:b w:val="0"/>
                      <w:bCs w:val="0"/>
                      <w:color w:val="auto"/>
                      <w:sz w:val="21"/>
                      <w:szCs w:val="21"/>
                      <w:lang w:val="en-US" w:eastAsia="zh-CN"/>
                    </w:rPr>
                  </w:pPr>
                  <w:r>
                    <w:rPr>
                      <w:rFonts w:hint="eastAsia" w:ascii="Times New Roman" w:hAnsi="Times New Roman" w:eastAsiaTheme="minorEastAsia"/>
                      <w:b w:val="0"/>
                      <w:bCs w:val="0"/>
                      <w:color w:val="auto"/>
                      <w:sz w:val="21"/>
                      <w:szCs w:val="21"/>
                      <w:lang w:val="en-US" w:eastAsia="zh-CN"/>
                    </w:rPr>
                    <w:t>220</w:t>
                  </w:r>
                </w:p>
              </w:tc>
              <w:tc>
                <w:tcPr>
                  <w:tcW w:w="385" w:type="pct"/>
                  <w:shd w:val="clear" w:color="auto" w:fill="auto"/>
                  <w:vAlign w:val="center"/>
                </w:tcPr>
                <w:p w14:paraId="689DD8DB">
                  <w:pPr>
                    <w:pStyle w:val="58"/>
                    <w:snapToGrid w:val="0"/>
                    <w:jc w:val="center"/>
                    <w:rPr>
                      <w:rFonts w:hint="default" w:ascii="Times New Roman" w:hAnsi="Times New Roman" w:eastAsiaTheme="minorEastAsia"/>
                      <w:b w:val="0"/>
                      <w:bCs w:val="0"/>
                      <w:color w:val="auto"/>
                      <w:sz w:val="21"/>
                      <w:szCs w:val="21"/>
                      <w:lang w:val="en-US" w:eastAsia="zh-CN"/>
                    </w:rPr>
                  </w:pPr>
                  <w:r>
                    <w:rPr>
                      <w:rFonts w:hint="eastAsia" w:ascii="Times New Roman" w:hAnsi="Times New Roman" w:eastAsiaTheme="minorEastAsia"/>
                      <w:b w:val="0"/>
                      <w:bCs w:val="0"/>
                      <w:color w:val="auto"/>
                      <w:sz w:val="21"/>
                      <w:szCs w:val="21"/>
                      <w:lang w:val="en-US" w:eastAsia="zh-CN"/>
                    </w:rPr>
                    <w:t>0</w:t>
                  </w:r>
                </w:p>
              </w:tc>
              <w:tc>
                <w:tcPr>
                  <w:tcW w:w="377" w:type="pct"/>
                  <w:gridSpan w:val="2"/>
                  <w:shd w:val="clear" w:color="auto" w:fill="auto"/>
                  <w:vAlign w:val="center"/>
                </w:tcPr>
                <w:p w14:paraId="42D605DD">
                  <w:pPr>
                    <w:pStyle w:val="58"/>
                    <w:snapToGrid w:val="0"/>
                    <w:rPr>
                      <w:rFonts w:hint="eastAsia" w:ascii="Times New Roman" w:hAnsi="Times New Roman" w:cs="Times New Roman" w:eastAsiaTheme="minorEastAsia"/>
                      <w:color w:val="auto"/>
                      <w:kern w:val="44"/>
                      <w:sz w:val="21"/>
                      <w:szCs w:val="21"/>
                      <w:lang w:val="en-US" w:eastAsia="zh-CN" w:bidi="ar-SA"/>
                    </w:rPr>
                  </w:pPr>
                  <w:r>
                    <w:rPr>
                      <w:rFonts w:hint="eastAsia" w:ascii="Times New Roman" w:hAnsi="Times New Roman" w:eastAsiaTheme="minorEastAsia"/>
                      <w:color w:val="auto"/>
                      <w:sz w:val="21"/>
                      <w:szCs w:val="21"/>
                      <w:lang w:val="en-US" w:eastAsia="zh-CN"/>
                    </w:rPr>
                    <w:t>居住区</w:t>
                  </w:r>
                </w:p>
              </w:tc>
              <w:tc>
                <w:tcPr>
                  <w:tcW w:w="368" w:type="pct"/>
                  <w:shd w:val="clear" w:color="auto" w:fill="auto"/>
                  <w:vAlign w:val="center"/>
                </w:tcPr>
                <w:p w14:paraId="42E4F5F3">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人群</w:t>
                  </w:r>
                </w:p>
              </w:tc>
              <w:tc>
                <w:tcPr>
                  <w:tcW w:w="484" w:type="pct"/>
                  <w:shd w:val="clear" w:color="auto" w:fill="auto"/>
                  <w:vAlign w:val="center"/>
                </w:tcPr>
                <w:p w14:paraId="07D53940">
                  <w:pPr>
                    <w:pStyle w:val="58"/>
                    <w:snapToGrid w:val="0"/>
                    <w:jc w:val="center"/>
                    <w:rPr>
                      <w:rFonts w:hint="default" w:ascii="Times New Roman" w:hAnsi="Times New Roman" w:eastAsiaTheme="minorEastAsia"/>
                      <w:b w:val="0"/>
                      <w:bCs w:val="0"/>
                      <w:color w:val="auto"/>
                      <w:sz w:val="21"/>
                      <w:szCs w:val="21"/>
                      <w:lang w:val="en-US" w:eastAsia="zh-CN"/>
                    </w:rPr>
                  </w:pPr>
                  <w:r>
                    <w:rPr>
                      <w:rFonts w:hint="eastAsia" w:ascii="Times New Roman" w:hAnsi="Times New Roman" w:eastAsiaTheme="minorEastAsia"/>
                      <w:b w:val="0"/>
                      <w:bCs w:val="0"/>
                      <w:color w:val="auto"/>
                      <w:sz w:val="21"/>
                      <w:szCs w:val="21"/>
                      <w:lang w:val="en-US" w:eastAsia="zh-CN"/>
                    </w:rPr>
                    <w:t>约3000人</w:t>
                  </w:r>
                </w:p>
              </w:tc>
              <w:tc>
                <w:tcPr>
                  <w:tcW w:w="375" w:type="pct"/>
                  <w:shd w:val="clear" w:color="auto" w:fill="auto"/>
                  <w:vAlign w:val="center"/>
                </w:tcPr>
                <w:p w14:paraId="5C44B170">
                  <w:pPr>
                    <w:pStyle w:val="58"/>
                    <w:snapToGrid w:val="0"/>
                    <w:jc w:val="center"/>
                    <w:rPr>
                      <w:rFonts w:hint="eastAsia" w:ascii="Times New Roman" w:hAnsi="Times New Roman" w:eastAsiaTheme="minorEastAsia"/>
                      <w:b w:val="0"/>
                      <w:bCs w:val="0"/>
                      <w:color w:val="auto"/>
                      <w:sz w:val="21"/>
                      <w:szCs w:val="21"/>
                      <w:lang w:val="en-US" w:eastAsia="zh-CN"/>
                    </w:rPr>
                  </w:pPr>
                  <w:r>
                    <w:rPr>
                      <w:rFonts w:hint="eastAsia" w:ascii="Times New Roman" w:hAnsi="Times New Roman" w:eastAsiaTheme="minorEastAsia"/>
                      <w:b w:val="0"/>
                      <w:bCs w:val="0"/>
                      <w:color w:val="auto"/>
                      <w:sz w:val="21"/>
                      <w:szCs w:val="21"/>
                      <w:lang w:val="en-US" w:eastAsia="zh-CN"/>
                    </w:rPr>
                    <w:t>E</w:t>
                  </w:r>
                </w:p>
              </w:tc>
              <w:tc>
                <w:tcPr>
                  <w:tcW w:w="504" w:type="pct"/>
                  <w:shd w:val="clear" w:color="auto" w:fill="auto"/>
                  <w:vAlign w:val="center"/>
                </w:tcPr>
                <w:p w14:paraId="70E364E4">
                  <w:pPr>
                    <w:pStyle w:val="58"/>
                    <w:snapToGrid w:val="0"/>
                    <w:jc w:val="center"/>
                    <w:rPr>
                      <w:rFonts w:hint="default" w:ascii="Times New Roman" w:hAnsi="Times New Roman" w:eastAsiaTheme="minorEastAsia"/>
                      <w:b w:val="0"/>
                      <w:bCs w:val="0"/>
                      <w:color w:val="auto"/>
                      <w:sz w:val="21"/>
                      <w:szCs w:val="21"/>
                      <w:lang w:val="en-US" w:eastAsia="zh-CN"/>
                    </w:rPr>
                  </w:pPr>
                  <w:r>
                    <w:rPr>
                      <w:rFonts w:hint="eastAsia" w:ascii="Times New Roman" w:hAnsi="Times New Roman" w:eastAsiaTheme="minorEastAsia"/>
                      <w:b w:val="0"/>
                      <w:bCs w:val="0"/>
                      <w:color w:val="auto"/>
                      <w:sz w:val="21"/>
                      <w:szCs w:val="21"/>
                      <w:lang w:val="en-US" w:eastAsia="zh-CN"/>
                    </w:rPr>
                    <w:t>220</w:t>
                  </w:r>
                </w:p>
              </w:tc>
              <w:tc>
                <w:tcPr>
                  <w:tcW w:w="585" w:type="pct"/>
                  <w:vMerge w:val="restart"/>
                  <w:shd w:val="clear" w:color="auto" w:fill="auto"/>
                  <w:vAlign w:val="center"/>
                </w:tcPr>
                <w:p w14:paraId="2FEAF3AA">
                  <w:pPr>
                    <w:snapToGrid w:val="0"/>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kern w:val="0"/>
                      <w:szCs w:val="21"/>
                    </w:rPr>
                    <w:t>二类功能区</w:t>
                  </w:r>
                </w:p>
              </w:tc>
              <w:tc>
                <w:tcPr>
                  <w:tcW w:w="634" w:type="pct"/>
                  <w:vMerge w:val="restart"/>
                  <w:shd w:val="clear" w:color="auto" w:fill="auto"/>
                  <w:vAlign w:val="center"/>
                </w:tcPr>
                <w:p w14:paraId="50CB1E45">
                  <w:pPr>
                    <w:snapToGrid w:val="0"/>
                    <w:jc w:val="center"/>
                    <w:rPr>
                      <w:rFonts w:ascii="Times New Roman" w:hAnsi="Times New Roman" w:cs="Times New Roman" w:eastAsiaTheme="minorEastAsia"/>
                      <w:color w:val="auto"/>
                      <w:kern w:val="2"/>
                      <w:sz w:val="21"/>
                      <w:szCs w:val="21"/>
                      <w:lang w:val="en-US" w:eastAsia="zh-CN" w:bidi="ar-SA"/>
                    </w:rPr>
                  </w:pPr>
                  <w:r>
                    <w:rPr>
                      <w:rFonts w:eastAsiaTheme="minorEastAsia"/>
                      <w:bCs/>
                      <w:color w:val="auto"/>
                      <w:szCs w:val="21"/>
                    </w:rPr>
                    <w:t>《常州市环境空气质量功能区划分规定》（常政办发（常政发〔2017〕160号）</w:t>
                  </w:r>
                </w:p>
              </w:tc>
            </w:tr>
            <w:tr w14:paraId="37041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vMerge w:val="continue"/>
                  <w:shd w:val="clear" w:color="auto" w:fill="auto"/>
                  <w:vAlign w:val="center"/>
                </w:tcPr>
                <w:p w14:paraId="5E099E6E">
                  <w:pPr>
                    <w:adjustRightInd w:val="0"/>
                    <w:snapToGrid w:val="0"/>
                    <w:spacing w:before="74"/>
                    <w:jc w:val="center"/>
                    <w:rPr>
                      <w:rFonts w:eastAsiaTheme="minorEastAsia"/>
                      <w:color w:val="auto"/>
                      <w:szCs w:val="21"/>
                    </w:rPr>
                  </w:pPr>
                </w:p>
              </w:tc>
              <w:tc>
                <w:tcPr>
                  <w:tcW w:w="533" w:type="pct"/>
                  <w:gridSpan w:val="2"/>
                  <w:shd w:val="clear" w:color="auto" w:fill="auto"/>
                  <w:vAlign w:val="center"/>
                </w:tcPr>
                <w:p w14:paraId="30DB0D6C">
                  <w:pPr>
                    <w:pStyle w:val="58"/>
                    <w:snapToGrid w:val="0"/>
                    <w:jc w:val="center"/>
                    <w:rPr>
                      <w:rFonts w:hint="eastAsia" w:ascii="Times New Roman" w:hAnsi="Times New Roman" w:eastAsiaTheme="minorEastAsia"/>
                      <w:b w:val="0"/>
                      <w:bCs w:val="0"/>
                      <w:color w:val="auto"/>
                      <w:sz w:val="21"/>
                      <w:szCs w:val="21"/>
                      <w:lang w:val="en-US" w:eastAsia="zh-CN"/>
                    </w:rPr>
                  </w:pPr>
                  <w:r>
                    <w:rPr>
                      <w:rFonts w:hint="eastAsia" w:ascii="Times New Roman" w:hAnsi="Times New Roman" w:eastAsiaTheme="minorEastAsia"/>
                      <w:b w:val="0"/>
                      <w:bCs w:val="0"/>
                      <w:color w:val="auto"/>
                      <w:sz w:val="21"/>
                      <w:szCs w:val="21"/>
                      <w:lang w:val="en-US" w:eastAsia="zh-CN"/>
                    </w:rPr>
                    <w:t>百馨西苑</w:t>
                  </w:r>
                </w:p>
                <w:p w14:paraId="5A5B5057">
                  <w:pPr>
                    <w:pStyle w:val="58"/>
                    <w:snapToGrid w:val="0"/>
                    <w:jc w:val="center"/>
                    <w:rPr>
                      <w:rFonts w:hint="default" w:ascii="Times New Roman" w:hAnsi="Times New Roman" w:eastAsiaTheme="minorEastAsia"/>
                      <w:b w:val="0"/>
                      <w:bCs w:val="0"/>
                      <w:color w:val="auto"/>
                      <w:sz w:val="21"/>
                      <w:szCs w:val="21"/>
                      <w:lang w:val="en-US" w:eastAsia="zh-CN"/>
                    </w:rPr>
                  </w:pPr>
                  <w:r>
                    <w:rPr>
                      <w:rFonts w:hint="eastAsia" w:ascii="Times New Roman" w:hAnsi="Times New Roman" w:eastAsiaTheme="minorEastAsia"/>
                      <w:b w:val="0"/>
                      <w:bCs w:val="0"/>
                      <w:color w:val="auto"/>
                      <w:sz w:val="21"/>
                      <w:szCs w:val="21"/>
                      <w:lang w:val="en-US" w:eastAsia="zh-CN"/>
                    </w:rPr>
                    <w:t>五期北区</w:t>
                  </w:r>
                </w:p>
              </w:tc>
              <w:tc>
                <w:tcPr>
                  <w:tcW w:w="425" w:type="pct"/>
                  <w:gridSpan w:val="2"/>
                  <w:shd w:val="clear" w:color="auto" w:fill="auto"/>
                  <w:vAlign w:val="center"/>
                </w:tcPr>
                <w:p w14:paraId="2361BCA5">
                  <w:pPr>
                    <w:pStyle w:val="58"/>
                    <w:snapToGrid w:val="0"/>
                    <w:jc w:val="center"/>
                    <w:rPr>
                      <w:rFonts w:hint="default" w:ascii="Times New Roman" w:hAnsi="Times New Roman" w:eastAsiaTheme="minorEastAsia"/>
                      <w:b w:val="0"/>
                      <w:bCs w:val="0"/>
                      <w:color w:val="auto"/>
                      <w:sz w:val="21"/>
                      <w:szCs w:val="21"/>
                      <w:lang w:val="en-US" w:eastAsia="zh-CN"/>
                    </w:rPr>
                  </w:pPr>
                  <w:r>
                    <w:rPr>
                      <w:rFonts w:hint="eastAsia" w:ascii="Times New Roman" w:hAnsi="Times New Roman" w:eastAsiaTheme="minorEastAsia"/>
                      <w:b w:val="0"/>
                      <w:bCs w:val="0"/>
                      <w:color w:val="auto"/>
                      <w:sz w:val="21"/>
                      <w:szCs w:val="21"/>
                      <w:lang w:val="en-US" w:eastAsia="zh-CN"/>
                    </w:rPr>
                    <w:t>260</w:t>
                  </w:r>
                </w:p>
              </w:tc>
              <w:tc>
                <w:tcPr>
                  <w:tcW w:w="385" w:type="pct"/>
                  <w:shd w:val="clear" w:color="auto" w:fill="auto"/>
                  <w:vAlign w:val="center"/>
                </w:tcPr>
                <w:p w14:paraId="2AB4F356">
                  <w:pPr>
                    <w:pStyle w:val="58"/>
                    <w:snapToGrid w:val="0"/>
                    <w:jc w:val="center"/>
                    <w:rPr>
                      <w:rFonts w:hint="default" w:ascii="Times New Roman" w:hAnsi="Times New Roman" w:eastAsiaTheme="minorEastAsia"/>
                      <w:b w:val="0"/>
                      <w:bCs w:val="0"/>
                      <w:color w:val="auto"/>
                      <w:sz w:val="21"/>
                      <w:szCs w:val="21"/>
                      <w:lang w:val="en-US" w:eastAsia="zh-CN"/>
                    </w:rPr>
                  </w:pPr>
                  <w:r>
                    <w:rPr>
                      <w:rFonts w:hint="eastAsia" w:ascii="Times New Roman" w:hAnsi="Times New Roman" w:eastAsiaTheme="minorEastAsia"/>
                      <w:b w:val="0"/>
                      <w:bCs w:val="0"/>
                      <w:color w:val="auto"/>
                      <w:sz w:val="21"/>
                      <w:szCs w:val="21"/>
                      <w:lang w:val="en-US" w:eastAsia="zh-CN"/>
                    </w:rPr>
                    <w:t>186</w:t>
                  </w:r>
                </w:p>
              </w:tc>
              <w:tc>
                <w:tcPr>
                  <w:tcW w:w="377" w:type="pct"/>
                  <w:gridSpan w:val="2"/>
                  <w:shd w:val="clear" w:color="auto" w:fill="auto"/>
                  <w:vAlign w:val="center"/>
                </w:tcPr>
                <w:p w14:paraId="5A4D632A">
                  <w:pPr>
                    <w:pStyle w:val="58"/>
                    <w:snapToGrid w:val="0"/>
                    <w:rPr>
                      <w:rFonts w:hint="eastAsia" w:ascii="Times New Roman" w:hAnsi="Times New Roman" w:cs="Times New Roman" w:eastAsiaTheme="minorEastAsia"/>
                      <w:color w:val="auto"/>
                      <w:kern w:val="44"/>
                      <w:sz w:val="21"/>
                      <w:szCs w:val="21"/>
                      <w:lang w:val="en-US" w:eastAsia="zh-CN" w:bidi="ar-SA"/>
                    </w:rPr>
                  </w:pPr>
                  <w:r>
                    <w:rPr>
                      <w:rFonts w:hint="eastAsia" w:ascii="Times New Roman" w:hAnsi="Times New Roman" w:eastAsiaTheme="minorEastAsia"/>
                      <w:color w:val="auto"/>
                      <w:sz w:val="21"/>
                      <w:szCs w:val="21"/>
                      <w:lang w:val="en-US" w:eastAsia="zh-CN"/>
                    </w:rPr>
                    <w:t>居住区</w:t>
                  </w:r>
                </w:p>
              </w:tc>
              <w:tc>
                <w:tcPr>
                  <w:tcW w:w="368" w:type="pct"/>
                  <w:shd w:val="clear" w:color="auto" w:fill="auto"/>
                  <w:vAlign w:val="center"/>
                </w:tcPr>
                <w:p w14:paraId="6B7307A3">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人群</w:t>
                  </w:r>
                </w:p>
              </w:tc>
              <w:tc>
                <w:tcPr>
                  <w:tcW w:w="484" w:type="pct"/>
                  <w:shd w:val="clear" w:color="auto" w:fill="auto"/>
                  <w:vAlign w:val="center"/>
                </w:tcPr>
                <w:p w14:paraId="52BCF46D">
                  <w:pPr>
                    <w:pStyle w:val="58"/>
                    <w:snapToGrid w:val="0"/>
                    <w:jc w:val="center"/>
                    <w:rPr>
                      <w:rFonts w:hint="eastAsia" w:ascii="Times New Roman" w:hAnsi="Times New Roman" w:eastAsiaTheme="minorEastAsia"/>
                      <w:b w:val="0"/>
                      <w:bCs w:val="0"/>
                      <w:color w:val="auto"/>
                      <w:sz w:val="21"/>
                      <w:szCs w:val="21"/>
                      <w:lang w:val="en-US" w:eastAsia="zh-CN"/>
                    </w:rPr>
                  </w:pPr>
                  <w:r>
                    <w:rPr>
                      <w:rFonts w:hint="eastAsia" w:ascii="Times New Roman" w:hAnsi="Times New Roman" w:eastAsiaTheme="minorEastAsia"/>
                      <w:b w:val="0"/>
                      <w:bCs w:val="0"/>
                      <w:color w:val="auto"/>
                      <w:sz w:val="21"/>
                      <w:szCs w:val="21"/>
                      <w:lang w:val="en-US" w:eastAsia="zh-CN"/>
                    </w:rPr>
                    <w:t>约3000人</w:t>
                  </w:r>
                </w:p>
              </w:tc>
              <w:tc>
                <w:tcPr>
                  <w:tcW w:w="375" w:type="pct"/>
                  <w:shd w:val="clear" w:color="auto" w:fill="auto"/>
                  <w:vAlign w:val="center"/>
                </w:tcPr>
                <w:p w14:paraId="268DB216">
                  <w:pPr>
                    <w:pStyle w:val="58"/>
                    <w:snapToGrid w:val="0"/>
                    <w:jc w:val="center"/>
                    <w:rPr>
                      <w:rFonts w:hint="default" w:ascii="Times New Roman" w:hAnsi="Times New Roman" w:eastAsiaTheme="minorEastAsia"/>
                      <w:b w:val="0"/>
                      <w:bCs w:val="0"/>
                      <w:color w:val="auto"/>
                      <w:sz w:val="21"/>
                      <w:szCs w:val="21"/>
                      <w:lang w:val="en-US" w:eastAsia="zh-CN"/>
                    </w:rPr>
                  </w:pPr>
                  <w:r>
                    <w:rPr>
                      <w:rFonts w:hint="eastAsia" w:ascii="Times New Roman" w:hAnsi="Times New Roman" w:eastAsiaTheme="minorEastAsia"/>
                      <w:b w:val="0"/>
                      <w:bCs w:val="0"/>
                      <w:color w:val="auto"/>
                      <w:sz w:val="21"/>
                      <w:szCs w:val="21"/>
                      <w:lang w:val="en-US" w:eastAsia="zh-CN"/>
                    </w:rPr>
                    <w:t>NE</w:t>
                  </w:r>
                </w:p>
              </w:tc>
              <w:tc>
                <w:tcPr>
                  <w:tcW w:w="504" w:type="pct"/>
                  <w:shd w:val="clear" w:color="auto" w:fill="auto"/>
                  <w:vAlign w:val="center"/>
                </w:tcPr>
                <w:p w14:paraId="09E486D1">
                  <w:pPr>
                    <w:pStyle w:val="58"/>
                    <w:snapToGrid w:val="0"/>
                    <w:jc w:val="center"/>
                    <w:rPr>
                      <w:rFonts w:hint="default" w:ascii="Times New Roman" w:hAnsi="Times New Roman" w:eastAsiaTheme="minorEastAsia"/>
                      <w:b w:val="0"/>
                      <w:bCs w:val="0"/>
                      <w:color w:val="auto"/>
                      <w:sz w:val="21"/>
                      <w:szCs w:val="21"/>
                      <w:lang w:val="en-US" w:eastAsia="zh-CN"/>
                    </w:rPr>
                  </w:pPr>
                  <w:r>
                    <w:rPr>
                      <w:rFonts w:hint="eastAsia" w:ascii="Times New Roman" w:hAnsi="Times New Roman" w:eastAsiaTheme="minorEastAsia"/>
                      <w:b w:val="0"/>
                      <w:bCs w:val="0"/>
                      <w:color w:val="auto"/>
                      <w:sz w:val="21"/>
                      <w:szCs w:val="21"/>
                      <w:lang w:val="en-US" w:eastAsia="zh-CN"/>
                    </w:rPr>
                    <w:t>320</w:t>
                  </w:r>
                </w:p>
              </w:tc>
              <w:tc>
                <w:tcPr>
                  <w:tcW w:w="585" w:type="pct"/>
                  <w:vMerge w:val="continue"/>
                  <w:shd w:val="clear" w:color="auto" w:fill="auto"/>
                  <w:vAlign w:val="center"/>
                </w:tcPr>
                <w:p w14:paraId="140C1D2C">
                  <w:pPr>
                    <w:snapToGrid w:val="0"/>
                    <w:jc w:val="center"/>
                    <w:rPr>
                      <w:rFonts w:eastAsiaTheme="minorEastAsia"/>
                      <w:color w:val="FF0000"/>
                      <w:kern w:val="0"/>
                      <w:szCs w:val="21"/>
                    </w:rPr>
                  </w:pPr>
                </w:p>
              </w:tc>
              <w:tc>
                <w:tcPr>
                  <w:tcW w:w="634" w:type="pct"/>
                  <w:vMerge w:val="continue"/>
                  <w:shd w:val="clear" w:color="auto" w:fill="auto"/>
                  <w:vAlign w:val="center"/>
                </w:tcPr>
                <w:p w14:paraId="21B9648A">
                  <w:pPr>
                    <w:snapToGrid w:val="0"/>
                    <w:jc w:val="center"/>
                    <w:rPr>
                      <w:rFonts w:eastAsiaTheme="minorEastAsia"/>
                      <w:bCs/>
                      <w:color w:val="FF0000"/>
                      <w:szCs w:val="21"/>
                    </w:rPr>
                  </w:pPr>
                </w:p>
              </w:tc>
            </w:tr>
            <w:tr w14:paraId="65533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shd w:val="clear" w:color="auto" w:fill="auto"/>
                  <w:vAlign w:val="center"/>
                </w:tcPr>
                <w:p w14:paraId="79D42810">
                  <w:pPr>
                    <w:snapToGrid w:val="0"/>
                    <w:spacing w:before="0"/>
                    <w:jc w:val="center"/>
                    <w:rPr>
                      <w:b/>
                      <w:bCs/>
                      <w:color w:val="auto"/>
                      <w:szCs w:val="21"/>
                    </w:rPr>
                  </w:pPr>
                  <w:r>
                    <w:rPr>
                      <w:b/>
                      <w:bCs/>
                      <w:color w:val="auto"/>
                      <w:szCs w:val="21"/>
                    </w:rPr>
                    <w:t>环境</w:t>
                  </w:r>
                </w:p>
                <w:p w14:paraId="79ED02A5">
                  <w:pPr>
                    <w:snapToGrid w:val="0"/>
                    <w:spacing w:before="0"/>
                    <w:jc w:val="center"/>
                    <w:rPr>
                      <w:rFonts w:eastAsiaTheme="minorEastAsia"/>
                      <w:color w:val="auto"/>
                      <w:szCs w:val="21"/>
                    </w:rPr>
                  </w:pPr>
                  <w:r>
                    <w:rPr>
                      <w:b/>
                      <w:bCs/>
                      <w:color w:val="auto"/>
                      <w:szCs w:val="21"/>
                    </w:rPr>
                    <w:t>要素</w:t>
                  </w:r>
                </w:p>
              </w:tc>
              <w:tc>
                <w:tcPr>
                  <w:tcW w:w="1344" w:type="pct"/>
                  <w:gridSpan w:val="5"/>
                  <w:shd w:val="clear" w:color="auto" w:fill="auto"/>
                  <w:vAlign w:val="center"/>
                </w:tcPr>
                <w:p w14:paraId="4970E530">
                  <w:pPr>
                    <w:jc w:val="center"/>
                    <w:rPr>
                      <w:rFonts w:hint="eastAsia" w:cs="Times New Roman" w:eastAsiaTheme="minorEastAsia"/>
                      <w:color w:val="auto"/>
                      <w:kern w:val="2"/>
                      <w:sz w:val="21"/>
                      <w:szCs w:val="21"/>
                      <w:lang w:val="en-US" w:eastAsia="zh-CN" w:bidi="ar-SA"/>
                    </w:rPr>
                  </w:pPr>
                  <w:r>
                    <w:rPr>
                      <w:rFonts w:ascii="Times New Roman" w:hAnsi="Times New Roman" w:eastAsia="宋体"/>
                      <w:b/>
                      <w:bCs/>
                      <w:color w:val="auto"/>
                      <w:sz w:val="21"/>
                      <w:szCs w:val="21"/>
                    </w:rPr>
                    <w:t>保护对象名称</w:t>
                  </w:r>
                </w:p>
              </w:tc>
              <w:tc>
                <w:tcPr>
                  <w:tcW w:w="372" w:type="pct"/>
                  <w:shd w:val="clear" w:color="auto" w:fill="auto"/>
                  <w:vAlign w:val="center"/>
                </w:tcPr>
                <w:p w14:paraId="1DA0473D">
                  <w:pPr>
                    <w:pStyle w:val="58"/>
                    <w:snapToGrid w:val="0"/>
                    <w:spacing w:before="0"/>
                    <w:jc w:val="center"/>
                    <w:rPr>
                      <w:rFonts w:ascii="Times New Roman" w:hAnsi="Times New Roman" w:eastAsia="宋体"/>
                      <w:b/>
                      <w:color w:val="auto"/>
                      <w:sz w:val="21"/>
                      <w:szCs w:val="21"/>
                    </w:rPr>
                  </w:pPr>
                  <w:r>
                    <w:rPr>
                      <w:rFonts w:ascii="Times New Roman" w:hAnsi="Times New Roman" w:eastAsia="宋体"/>
                      <w:b/>
                      <w:color w:val="auto"/>
                      <w:sz w:val="21"/>
                      <w:szCs w:val="21"/>
                    </w:rPr>
                    <w:t>保护</w:t>
                  </w:r>
                </w:p>
                <w:p w14:paraId="69B104EB">
                  <w:pPr>
                    <w:pStyle w:val="58"/>
                    <w:snapToGrid w:val="0"/>
                    <w:spacing w:before="0"/>
                    <w:jc w:val="center"/>
                    <w:rPr>
                      <w:rFonts w:eastAsiaTheme="minorEastAsia"/>
                      <w:color w:val="auto"/>
                      <w:szCs w:val="21"/>
                    </w:rPr>
                  </w:pPr>
                  <w:r>
                    <w:rPr>
                      <w:rFonts w:ascii="Times New Roman" w:hAnsi="Times New Roman" w:eastAsia="宋体"/>
                      <w:b/>
                      <w:color w:val="auto"/>
                      <w:sz w:val="21"/>
                      <w:szCs w:val="21"/>
                    </w:rPr>
                    <w:t>对象</w:t>
                  </w:r>
                </w:p>
              </w:tc>
              <w:tc>
                <w:tcPr>
                  <w:tcW w:w="372" w:type="pct"/>
                  <w:gridSpan w:val="2"/>
                  <w:shd w:val="clear" w:color="auto" w:fill="auto"/>
                  <w:vAlign w:val="center"/>
                </w:tcPr>
                <w:p w14:paraId="12565CE4">
                  <w:pPr>
                    <w:pStyle w:val="58"/>
                    <w:snapToGrid w:val="0"/>
                    <w:spacing w:before="0"/>
                    <w:jc w:val="center"/>
                    <w:rPr>
                      <w:rFonts w:ascii="Times New Roman" w:hAnsi="Times New Roman" w:eastAsia="宋体"/>
                      <w:b/>
                      <w:color w:val="auto"/>
                      <w:sz w:val="21"/>
                      <w:szCs w:val="21"/>
                    </w:rPr>
                  </w:pPr>
                  <w:r>
                    <w:rPr>
                      <w:rFonts w:ascii="Times New Roman" w:hAnsi="Times New Roman" w:eastAsia="宋体"/>
                      <w:b/>
                      <w:color w:val="auto"/>
                      <w:sz w:val="21"/>
                      <w:szCs w:val="21"/>
                    </w:rPr>
                    <w:t>保护</w:t>
                  </w:r>
                </w:p>
                <w:p w14:paraId="1F3CCE53">
                  <w:pPr>
                    <w:pStyle w:val="58"/>
                    <w:snapToGrid w:val="0"/>
                    <w:spacing w:before="0"/>
                    <w:jc w:val="center"/>
                    <w:rPr>
                      <w:rFonts w:eastAsiaTheme="minorEastAsia"/>
                      <w:color w:val="auto"/>
                      <w:szCs w:val="21"/>
                    </w:rPr>
                  </w:pPr>
                  <w:r>
                    <w:rPr>
                      <w:rFonts w:ascii="Times New Roman" w:hAnsi="Times New Roman" w:eastAsia="宋体"/>
                      <w:b/>
                      <w:color w:val="auto"/>
                      <w:sz w:val="21"/>
                      <w:szCs w:val="21"/>
                    </w:rPr>
                    <w:t>内容</w:t>
                  </w:r>
                </w:p>
              </w:tc>
              <w:tc>
                <w:tcPr>
                  <w:tcW w:w="484" w:type="pct"/>
                  <w:shd w:val="clear" w:color="auto" w:fill="auto"/>
                  <w:vAlign w:val="center"/>
                </w:tcPr>
                <w:p w14:paraId="4B86F0C3">
                  <w:pPr>
                    <w:snapToGrid w:val="0"/>
                    <w:spacing w:before="0"/>
                    <w:jc w:val="center"/>
                    <w:rPr>
                      <w:rFonts w:hint="eastAsia" w:cs="Times New Roman" w:eastAsiaTheme="minorEastAsia"/>
                      <w:color w:val="auto"/>
                      <w:kern w:val="2"/>
                      <w:sz w:val="21"/>
                      <w:szCs w:val="21"/>
                      <w:lang w:val="en-US" w:eastAsia="zh-CN" w:bidi="ar-SA"/>
                    </w:rPr>
                  </w:pPr>
                  <w:r>
                    <w:rPr>
                      <w:b/>
                      <w:bCs/>
                      <w:color w:val="auto"/>
                      <w:szCs w:val="21"/>
                    </w:rPr>
                    <w:t>规模</w:t>
                  </w:r>
                </w:p>
              </w:tc>
              <w:tc>
                <w:tcPr>
                  <w:tcW w:w="375" w:type="pct"/>
                  <w:shd w:val="clear" w:color="auto" w:fill="auto"/>
                  <w:vAlign w:val="center"/>
                </w:tcPr>
                <w:p w14:paraId="49E2CB1C">
                  <w:pPr>
                    <w:pStyle w:val="58"/>
                    <w:snapToGrid w:val="0"/>
                    <w:spacing w:before="0"/>
                    <w:jc w:val="center"/>
                    <w:rPr>
                      <w:rFonts w:hint="eastAsia" w:cs="Times New Roman" w:eastAsiaTheme="minorEastAsia"/>
                      <w:color w:val="auto"/>
                      <w:kern w:val="2"/>
                      <w:sz w:val="21"/>
                      <w:szCs w:val="21"/>
                      <w:lang w:val="en-US" w:eastAsia="zh-CN" w:bidi="ar-SA"/>
                    </w:rPr>
                  </w:pPr>
                  <w:r>
                    <w:rPr>
                      <w:rFonts w:ascii="Times New Roman" w:hAnsi="Times New Roman" w:eastAsia="宋体"/>
                      <w:b/>
                      <w:color w:val="auto"/>
                      <w:sz w:val="21"/>
                      <w:szCs w:val="21"/>
                    </w:rPr>
                    <w:t>相对厂址方位</w:t>
                  </w:r>
                </w:p>
              </w:tc>
              <w:tc>
                <w:tcPr>
                  <w:tcW w:w="504" w:type="pct"/>
                  <w:shd w:val="clear" w:color="auto" w:fill="auto"/>
                  <w:vAlign w:val="center"/>
                </w:tcPr>
                <w:p w14:paraId="70E20782">
                  <w:pPr>
                    <w:pStyle w:val="58"/>
                    <w:snapToGrid w:val="0"/>
                    <w:spacing w:before="0"/>
                    <w:jc w:val="center"/>
                    <w:rPr>
                      <w:rFonts w:hint="eastAsia" w:cs="Times New Roman" w:eastAsiaTheme="minorEastAsia"/>
                      <w:color w:val="auto"/>
                      <w:kern w:val="2"/>
                      <w:sz w:val="21"/>
                      <w:szCs w:val="21"/>
                      <w:lang w:val="en-US" w:eastAsia="zh-CN" w:bidi="ar-SA"/>
                    </w:rPr>
                  </w:pPr>
                  <w:r>
                    <w:rPr>
                      <w:rFonts w:ascii="Times New Roman" w:hAnsi="Times New Roman" w:eastAsia="宋体"/>
                      <w:b/>
                      <w:color w:val="auto"/>
                      <w:sz w:val="21"/>
                      <w:szCs w:val="21"/>
                    </w:rPr>
                    <w:t>相对厂界距离</w:t>
                  </w:r>
                </w:p>
              </w:tc>
              <w:tc>
                <w:tcPr>
                  <w:tcW w:w="585" w:type="pct"/>
                  <w:shd w:val="clear" w:color="auto" w:fill="auto"/>
                  <w:vAlign w:val="center"/>
                </w:tcPr>
                <w:p w14:paraId="3B75BB40">
                  <w:pPr>
                    <w:pStyle w:val="58"/>
                    <w:snapToGrid w:val="0"/>
                    <w:spacing w:before="0"/>
                    <w:jc w:val="center"/>
                    <w:rPr>
                      <w:rFonts w:eastAsiaTheme="minorEastAsia"/>
                      <w:color w:val="auto"/>
                      <w:kern w:val="0"/>
                      <w:szCs w:val="21"/>
                    </w:rPr>
                  </w:pPr>
                  <w:r>
                    <w:rPr>
                      <w:rFonts w:ascii="Times New Roman" w:hAnsi="Times New Roman" w:eastAsia="宋体"/>
                      <w:b/>
                      <w:color w:val="auto"/>
                      <w:sz w:val="21"/>
                      <w:szCs w:val="21"/>
                    </w:rPr>
                    <w:t>环境功能区</w:t>
                  </w:r>
                </w:p>
              </w:tc>
              <w:tc>
                <w:tcPr>
                  <w:tcW w:w="634" w:type="pct"/>
                  <w:shd w:val="clear" w:color="auto" w:fill="auto"/>
                  <w:vAlign w:val="center"/>
                </w:tcPr>
                <w:p w14:paraId="7772895D">
                  <w:pPr>
                    <w:pStyle w:val="58"/>
                    <w:snapToGrid w:val="0"/>
                    <w:spacing w:before="0"/>
                    <w:jc w:val="center"/>
                    <w:rPr>
                      <w:rFonts w:eastAsiaTheme="minorEastAsia"/>
                      <w:bCs/>
                      <w:color w:val="auto"/>
                      <w:szCs w:val="21"/>
                    </w:rPr>
                  </w:pPr>
                  <w:r>
                    <w:rPr>
                      <w:rFonts w:ascii="Times New Roman" w:hAnsi="Times New Roman" w:eastAsia="宋体"/>
                      <w:b/>
                      <w:color w:val="auto"/>
                      <w:sz w:val="21"/>
                      <w:szCs w:val="21"/>
                    </w:rPr>
                    <w:t>依据</w:t>
                  </w:r>
                </w:p>
              </w:tc>
            </w:tr>
            <w:tr w14:paraId="40ED41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vMerge w:val="restart"/>
                  <w:shd w:val="clear" w:color="auto" w:fill="auto"/>
                  <w:vAlign w:val="center"/>
                </w:tcPr>
                <w:p w14:paraId="48D071DA">
                  <w:pPr>
                    <w:snapToGrid w:val="0"/>
                    <w:jc w:val="center"/>
                    <w:rPr>
                      <w:rFonts w:eastAsiaTheme="minorEastAsia"/>
                      <w:color w:val="auto"/>
                      <w:szCs w:val="21"/>
                    </w:rPr>
                  </w:pPr>
                  <w:r>
                    <w:rPr>
                      <w:rFonts w:eastAsiaTheme="minorEastAsia"/>
                      <w:color w:val="auto"/>
                      <w:szCs w:val="21"/>
                    </w:rPr>
                    <w:t>地表水环境</w:t>
                  </w:r>
                </w:p>
              </w:tc>
              <w:tc>
                <w:tcPr>
                  <w:tcW w:w="223" w:type="pct"/>
                  <w:vMerge w:val="restart"/>
                  <w:shd w:val="clear" w:color="auto" w:fill="auto"/>
                  <w:vAlign w:val="center"/>
                </w:tcPr>
                <w:p w14:paraId="0DFE19EE">
                  <w:pPr>
                    <w:spacing w:line="300" w:lineRule="exact"/>
                    <w:jc w:val="center"/>
                    <w:rPr>
                      <w:rFonts w:hint="eastAsia" w:ascii="Times New Roman" w:hAnsi="Times New Roman" w:cs="Times New Roman" w:eastAsiaTheme="minorEastAsia"/>
                      <w:color w:val="auto"/>
                      <w:kern w:val="2"/>
                      <w:sz w:val="21"/>
                      <w:szCs w:val="21"/>
                      <w:lang w:val="en-US" w:eastAsia="zh-CN" w:bidi="ar-SA"/>
                    </w:rPr>
                  </w:pPr>
                  <w:r>
                    <w:rPr>
                      <w:rFonts w:ascii="Times New Roman" w:hAnsi="Times New Roman" w:eastAsiaTheme="minorEastAsia"/>
                      <w:color w:val="auto"/>
                      <w:sz w:val="21"/>
                      <w:szCs w:val="21"/>
                    </w:rPr>
                    <w:t>长江（常州段）</w:t>
                  </w:r>
                </w:p>
              </w:tc>
              <w:tc>
                <w:tcPr>
                  <w:tcW w:w="358" w:type="pct"/>
                  <w:gridSpan w:val="2"/>
                  <w:shd w:val="clear" w:color="auto" w:fill="auto"/>
                  <w:vAlign w:val="center"/>
                </w:tcPr>
                <w:p w14:paraId="404F26E6">
                  <w:pPr>
                    <w:spacing w:line="300" w:lineRule="exact"/>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kern w:val="44"/>
                      <w:szCs w:val="21"/>
                    </w:rPr>
                    <w:t>长江</w:t>
                  </w:r>
                  <w:r>
                    <w:rPr>
                      <w:rFonts w:eastAsiaTheme="minorEastAsia"/>
                      <w:color w:val="auto"/>
                      <w:kern w:val="44"/>
                      <w:szCs w:val="21"/>
                    </w:rPr>
                    <w:t>魏村水厂取水口</w:t>
                  </w:r>
                </w:p>
              </w:tc>
              <w:tc>
                <w:tcPr>
                  <w:tcW w:w="376" w:type="pct"/>
                  <w:shd w:val="clear" w:color="auto" w:fill="auto"/>
                  <w:vAlign w:val="center"/>
                </w:tcPr>
                <w:p w14:paraId="16E1F0B8">
                  <w:pPr>
                    <w:jc w:val="center"/>
                    <w:rPr>
                      <w:rFonts w:hint="eastAsia" w:eastAsiaTheme="minorEastAsia"/>
                      <w:color w:val="auto"/>
                      <w:szCs w:val="21"/>
                      <w:lang w:eastAsia="zh-CN"/>
                    </w:rPr>
                  </w:pPr>
                  <w:r>
                    <w:rPr>
                      <w:rFonts w:eastAsiaTheme="minorEastAsia"/>
                      <w:color w:val="auto"/>
                      <w:szCs w:val="21"/>
                    </w:rPr>
                    <w:t>119.954545</w:t>
                  </w:r>
                </w:p>
              </w:tc>
              <w:tc>
                <w:tcPr>
                  <w:tcW w:w="385" w:type="pct"/>
                  <w:shd w:val="clear" w:color="auto" w:fill="auto"/>
                  <w:vAlign w:val="center"/>
                </w:tcPr>
                <w:p w14:paraId="65C4CFFF">
                  <w:pPr>
                    <w:jc w:val="center"/>
                    <w:rPr>
                      <w:rFonts w:hint="eastAsia" w:eastAsiaTheme="minorEastAsia"/>
                      <w:color w:val="auto"/>
                      <w:szCs w:val="21"/>
                      <w:lang w:eastAsia="zh-CN"/>
                    </w:rPr>
                  </w:pPr>
                  <w:r>
                    <w:rPr>
                      <w:rFonts w:eastAsiaTheme="minorEastAsia"/>
                      <w:color w:val="auto"/>
                      <w:szCs w:val="21"/>
                    </w:rPr>
                    <w:t>32.001325</w:t>
                  </w:r>
                </w:p>
              </w:tc>
              <w:tc>
                <w:tcPr>
                  <w:tcW w:w="372" w:type="pct"/>
                  <w:vMerge w:val="restart"/>
                  <w:shd w:val="clear" w:color="auto" w:fill="auto"/>
                  <w:vAlign w:val="center"/>
                </w:tcPr>
                <w:p w14:paraId="4A645C5F">
                  <w:pPr>
                    <w:pStyle w:val="58"/>
                    <w:snapToGrid w:val="0"/>
                    <w:jc w:val="center"/>
                    <w:rPr>
                      <w:rFonts w:hint="default" w:ascii="Times New Roman" w:hAnsi="Times New Roman" w:cs="Times New Roman" w:eastAsiaTheme="minorEastAsia"/>
                      <w:color w:val="auto"/>
                      <w:kern w:val="44"/>
                      <w:sz w:val="21"/>
                      <w:szCs w:val="21"/>
                      <w:lang w:val="en-US" w:eastAsia="zh-CN" w:bidi="ar-SA"/>
                    </w:rPr>
                  </w:pPr>
                  <w:r>
                    <w:rPr>
                      <w:rFonts w:ascii="Times New Roman" w:hAnsi="Times New Roman" w:eastAsiaTheme="minorEastAsia"/>
                      <w:color w:val="auto"/>
                      <w:sz w:val="21"/>
                      <w:szCs w:val="21"/>
                    </w:rPr>
                    <w:t>河流</w:t>
                  </w:r>
                </w:p>
              </w:tc>
              <w:tc>
                <w:tcPr>
                  <w:tcW w:w="372" w:type="pct"/>
                  <w:gridSpan w:val="2"/>
                  <w:vMerge w:val="restart"/>
                  <w:shd w:val="clear" w:color="auto" w:fill="auto"/>
                  <w:vAlign w:val="center"/>
                </w:tcPr>
                <w:p w14:paraId="775F2B5D">
                  <w:pPr>
                    <w:pStyle w:val="58"/>
                    <w:snapToGrid w:val="0"/>
                    <w:jc w:val="center"/>
                    <w:rPr>
                      <w:rFonts w:hint="default" w:ascii="Times New Roman" w:hAnsi="Times New Roman" w:cs="Times New Roman" w:eastAsiaTheme="minorEastAsia"/>
                      <w:color w:val="auto"/>
                      <w:kern w:val="44"/>
                      <w:sz w:val="21"/>
                      <w:szCs w:val="21"/>
                      <w:lang w:val="en-US" w:eastAsia="zh-CN" w:bidi="ar-SA"/>
                    </w:rPr>
                  </w:pPr>
                  <w:r>
                    <w:rPr>
                      <w:rFonts w:ascii="Times New Roman" w:hAnsi="Times New Roman" w:eastAsiaTheme="minorEastAsia"/>
                      <w:color w:val="auto"/>
                      <w:sz w:val="21"/>
                      <w:szCs w:val="21"/>
                    </w:rPr>
                    <w:t>/</w:t>
                  </w:r>
                </w:p>
              </w:tc>
              <w:tc>
                <w:tcPr>
                  <w:tcW w:w="484" w:type="pct"/>
                  <w:vMerge w:val="restart"/>
                  <w:shd w:val="clear" w:color="auto" w:fill="auto"/>
                  <w:vAlign w:val="center"/>
                </w:tcPr>
                <w:p w14:paraId="02B82C0D">
                  <w:pPr>
                    <w:snapToGrid w:val="0"/>
                    <w:jc w:val="center"/>
                    <w:rPr>
                      <w:rFonts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大</w:t>
                  </w:r>
                  <w:r>
                    <w:rPr>
                      <w:rFonts w:eastAsiaTheme="minorEastAsia"/>
                      <w:color w:val="auto"/>
                      <w:szCs w:val="21"/>
                    </w:rPr>
                    <w:t>河</w:t>
                  </w:r>
                </w:p>
              </w:tc>
              <w:tc>
                <w:tcPr>
                  <w:tcW w:w="375" w:type="pct"/>
                  <w:shd w:val="clear" w:color="auto" w:fill="auto"/>
                  <w:vAlign w:val="center"/>
                </w:tcPr>
                <w:p w14:paraId="5633F8D9">
                  <w:pPr>
                    <w:pStyle w:val="58"/>
                    <w:snapToGrid w:val="0"/>
                    <w:jc w:val="center"/>
                    <w:rPr>
                      <w:rFonts w:hint="default" w:ascii="Times New Roman" w:hAnsi="Times New Roman" w:cs="Times New Roman" w:eastAsiaTheme="minorEastAsia"/>
                      <w:color w:val="auto"/>
                      <w:kern w:val="2"/>
                      <w:sz w:val="21"/>
                      <w:szCs w:val="21"/>
                      <w:lang w:val="en-US" w:eastAsia="zh-CN" w:bidi="ar-SA"/>
                    </w:rPr>
                  </w:pPr>
                  <w:r>
                    <w:rPr>
                      <w:rFonts w:ascii="Times New Roman" w:hAnsi="Times New Roman" w:cs="Times New Roman" w:eastAsiaTheme="minorEastAsia"/>
                      <w:color w:val="auto"/>
                      <w:kern w:val="2"/>
                      <w:sz w:val="21"/>
                      <w:szCs w:val="21"/>
                      <w:lang w:val="en-US" w:eastAsia="zh-CN" w:bidi="ar-SA"/>
                    </w:rPr>
                    <w:t>N</w:t>
                  </w:r>
                  <w:r>
                    <w:rPr>
                      <w:rFonts w:hint="eastAsia" w:ascii="Times New Roman" w:hAnsi="Times New Roman" w:cs="Times New Roman" w:eastAsiaTheme="minorEastAsia"/>
                      <w:color w:val="auto"/>
                      <w:kern w:val="2"/>
                      <w:sz w:val="21"/>
                      <w:szCs w:val="21"/>
                      <w:lang w:val="en-US" w:eastAsia="zh-CN" w:bidi="ar-SA"/>
                    </w:rPr>
                    <w:t>W</w:t>
                  </w:r>
                </w:p>
              </w:tc>
              <w:tc>
                <w:tcPr>
                  <w:tcW w:w="1343" w:type="dxa"/>
                  <w:shd w:val="clear" w:color="auto" w:fill="auto"/>
                  <w:vAlign w:val="center"/>
                </w:tcPr>
                <w:p w14:paraId="181BCFA9">
                  <w:pPr>
                    <w:snapToGrid w:val="0"/>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color w:val="auto"/>
                      <w:lang w:val="en-US" w:eastAsia="zh-CN"/>
                    </w:rPr>
                    <w:t>4.6</w:t>
                  </w:r>
                  <w:r>
                    <w:rPr>
                      <w:rFonts w:hint="eastAsia" w:ascii="Times New Roman" w:hAnsi="Times New Roman" w:eastAsia="宋体" w:cs="Times New Roman"/>
                      <w:color w:val="auto"/>
                      <w:lang w:val="en-US" w:eastAsia="zh-CN"/>
                    </w:rPr>
                    <w:t>km</w:t>
                  </w:r>
                </w:p>
              </w:tc>
              <w:tc>
                <w:tcPr>
                  <w:tcW w:w="585" w:type="pct"/>
                  <w:vMerge w:val="restart"/>
                  <w:shd w:val="clear" w:color="auto" w:fill="auto"/>
                  <w:vAlign w:val="center"/>
                </w:tcPr>
                <w:p w14:paraId="1ADB97FB">
                  <w:pPr>
                    <w:snapToGrid w:val="0"/>
                    <w:jc w:val="center"/>
                    <w:rPr>
                      <w:rFonts w:ascii="Times New Roman" w:hAnsi="Times New Roman" w:cs="Times New Roman" w:eastAsiaTheme="minorEastAsia"/>
                      <w:color w:val="auto"/>
                      <w:kern w:val="2"/>
                      <w:sz w:val="21"/>
                      <w:szCs w:val="21"/>
                      <w:lang w:val="en-US" w:eastAsia="zh-CN" w:bidi="ar-SA"/>
                    </w:rPr>
                  </w:pPr>
                  <w:r>
                    <w:rPr>
                      <w:rFonts w:ascii="Times New Roman" w:hAnsi="Times New Roman" w:cs="Times New Roman" w:eastAsiaTheme="minorEastAsia"/>
                      <w:color w:val="auto"/>
                      <w:kern w:val="2"/>
                      <w:sz w:val="21"/>
                      <w:szCs w:val="21"/>
                      <w:lang w:val="en-US" w:eastAsia="zh-CN" w:bidi="ar-SA"/>
                    </w:rPr>
                    <w:t>《地表水环境质量标准》（GB3838-2002）</w:t>
                  </w:r>
                  <w:r>
                    <w:rPr>
                      <w:rFonts w:ascii="Times New Roman" w:hAnsi="Times New Roman" w:cs="Times New Roman" w:eastAsiaTheme="minorEastAsia"/>
                      <w:color w:val="auto"/>
                      <w:kern w:val="2"/>
                      <w:sz w:val="21"/>
                      <w:szCs w:val="21"/>
                      <w:lang w:val="en-US" w:eastAsia="zh-CN" w:bidi="ar-SA"/>
                    </w:rPr>
                    <w:cr/>
                  </w:r>
                  <w:r>
                    <w:rPr>
                      <w:rFonts w:hint="eastAsia" w:ascii="Times New Roman" w:hAnsi="Times New Roman" w:cs="Times New Roman" w:eastAsiaTheme="minorEastAsia"/>
                      <w:color w:val="auto"/>
                      <w:kern w:val="2"/>
                      <w:sz w:val="21"/>
                      <w:szCs w:val="21"/>
                      <w:lang w:val="en-US" w:eastAsia="zh-CN" w:bidi="ar-SA"/>
                    </w:rPr>
                    <w:t>中</w:t>
                  </w:r>
                  <w:r>
                    <w:rPr>
                      <w:rFonts w:ascii="Times New Roman" w:hAnsi="Times New Roman" w:cs="Times New Roman" w:eastAsiaTheme="minorEastAsia"/>
                      <w:color w:val="auto"/>
                      <w:kern w:val="2"/>
                      <w:sz w:val="21"/>
                      <w:szCs w:val="21"/>
                      <w:lang w:val="en-US" w:eastAsia="zh-CN" w:bidi="ar-SA"/>
                    </w:rPr>
                    <w:t>Ⅱ类水质标准</w:t>
                  </w:r>
                </w:p>
              </w:tc>
              <w:tc>
                <w:tcPr>
                  <w:tcW w:w="634" w:type="pct"/>
                  <w:vMerge w:val="restart"/>
                  <w:shd w:val="clear" w:color="auto" w:fill="auto"/>
                  <w:vAlign w:val="center"/>
                </w:tcPr>
                <w:p w14:paraId="4C4391D8">
                  <w:pPr>
                    <w:snapToGrid w:val="0"/>
                    <w:jc w:val="center"/>
                    <w:rPr>
                      <w:rFonts w:hint="eastAsia" w:eastAsiaTheme="minorEastAsia"/>
                      <w:color w:val="auto"/>
                      <w:szCs w:val="21"/>
                      <w:lang w:eastAsia="zh-CN"/>
                    </w:rPr>
                  </w:pPr>
                  <w:r>
                    <w:rPr>
                      <w:rFonts w:hint="eastAsia" w:eastAsiaTheme="minorEastAsia"/>
                      <w:color w:val="auto"/>
                      <w:lang w:eastAsia="zh-CN"/>
                    </w:rPr>
                    <w:t>《江苏省地表水（环境）功能区划（2021-2030年）》（苏环办〔2022〕82号）</w:t>
                  </w:r>
                </w:p>
              </w:tc>
            </w:tr>
            <w:tr w14:paraId="55BB9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vMerge w:val="continue"/>
                  <w:shd w:val="clear" w:color="auto" w:fill="auto"/>
                  <w:vAlign w:val="center"/>
                </w:tcPr>
                <w:p w14:paraId="2DDC401A">
                  <w:pPr>
                    <w:jc w:val="center"/>
                    <w:rPr>
                      <w:color w:val="auto"/>
                    </w:rPr>
                  </w:pPr>
                </w:p>
              </w:tc>
              <w:tc>
                <w:tcPr>
                  <w:tcW w:w="223" w:type="pct"/>
                  <w:vMerge w:val="continue"/>
                  <w:shd w:val="clear" w:color="auto" w:fill="auto"/>
                  <w:vAlign w:val="center"/>
                </w:tcPr>
                <w:p w14:paraId="79737089">
                  <w:pPr>
                    <w:spacing w:line="300" w:lineRule="exact"/>
                    <w:jc w:val="center"/>
                    <w:rPr>
                      <w:color w:val="auto"/>
                    </w:rPr>
                  </w:pPr>
                </w:p>
              </w:tc>
              <w:tc>
                <w:tcPr>
                  <w:tcW w:w="358" w:type="pct"/>
                  <w:gridSpan w:val="2"/>
                  <w:shd w:val="clear" w:color="auto" w:fill="auto"/>
                  <w:vAlign w:val="center"/>
                </w:tcPr>
                <w:p w14:paraId="27AFB66A">
                  <w:pPr>
                    <w:spacing w:line="300" w:lineRule="exact"/>
                    <w:jc w:val="center"/>
                    <w:rPr>
                      <w:rFonts w:hint="eastAsia" w:ascii="Times New Roman" w:hAnsi="Times New Roman" w:eastAsia="宋体" w:cs="Times New Roman"/>
                      <w:color w:val="auto"/>
                      <w:kern w:val="2"/>
                      <w:sz w:val="21"/>
                      <w:lang w:val="en-US" w:eastAsia="zh-CN" w:bidi="ar-SA"/>
                    </w:rPr>
                  </w:pPr>
                  <w:r>
                    <w:rPr>
                      <w:rFonts w:hint="eastAsia" w:eastAsiaTheme="minorEastAsia"/>
                      <w:color w:val="auto"/>
                      <w:kern w:val="44"/>
                      <w:szCs w:val="21"/>
                    </w:rPr>
                    <w:t>长江</w:t>
                  </w:r>
                  <w:r>
                    <w:rPr>
                      <w:rFonts w:eastAsiaTheme="minorEastAsia"/>
                      <w:color w:val="auto"/>
                      <w:kern w:val="44"/>
                      <w:szCs w:val="21"/>
                    </w:rPr>
                    <w:t>锡澄水厂取水口</w:t>
                  </w:r>
                </w:p>
              </w:tc>
              <w:tc>
                <w:tcPr>
                  <w:tcW w:w="376" w:type="pct"/>
                  <w:shd w:val="clear" w:color="auto" w:fill="auto"/>
                  <w:vAlign w:val="center"/>
                </w:tcPr>
                <w:p w14:paraId="4F2F64D7">
                  <w:pPr>
                    <w:jc w:val="center"/>
                    <w:rPr>
                      <w:color w:val="auto"/>
                    </w:rPr>
                  </w:pPr>
                  <w:r>
                    <w:rPr>
                      <w:rFonts w:eastAsiaTheme="minorEastAsia"/>
                      <w:color w:val="auto"/>
                      <w:szCs w:val="21"/>
                    </w:rPr>
                    <w:t>120.078356</w:t>
                  </w:r>
                </w:p>
              </w:tc>
              <w:tc>
                <w:tcPr>
                  <w:tcW w:w="385" w:type="pct"/>
                  <w:shd w:val="clear" w:color="auto" w:fill="auto"/>
                  <w:vAlign w:val="center"/>
                </w:tcPr>
                <w:p w14:paraId="4E458FE8">
                  <w:pPr>
                    <w:jc w:val="center"/>
                    <w:rPr>
                      <w:rFonts w:hint="eastAsia" w:eastAsiaTheme="minorEastAsia"/>
                      <w:color w:val="auto"/>
                      <w:szCs w:val="21"/>
                      <w:lang w:eastAsia="zh-CN"/>
                    </w:rPr>
                  </w:pPr>
                  <w:r>
                    <w:rPr>
                      <w:rFonts w:eastAsiaTheme="minorEastAsia"/>
                      <w:color w:val="auto"/>
                      <w:szCs w:val="21"/>
                    </w:rPr>
                    <w:t>31.943441</w:t>
                  </w:r>
                </w:p>
              </w:tc>
              <w:tc>
                <w:tcPr>
                  <w:tcW w:w="372" w:type="pct"/>
                  <w:vMerge w:val="continue"/>
                  <w:shd w:val="clear" w:color="auto" w:fill="auto"/>
                  <w:vAlign w:val="center"/>
                </w:tcPr>
                <w:p w14:paraId="228C52AD">
                  <w:pPr>
                    <w:jc w:val="center"/>
                    <w:rPr>
                      <w:rFonts w:hint="eastAsia" w:eastAsiaTheme="minorEastAsia"/>
                      <w:color w:val="FF0000"/>
                      <w:szCs w:val="21"/>
                      <w:lang w:eastAsia="zh-CN"/>
                    </w:rPr>
                  </w:pPr>
                </w:p>
              </w:tc>
              <w:tc>
                <w:tcPr>
                  <w:tcW w:w="372" w:type="pct"/>
                  <w:gridSpan w:val="2"/>
                  <w:vMerge w:val="continue"/>
                  <w:shd w:val="clear" w:color="auto" w:fill="auto"/>
                  <w:vAlign w:val="center"/>
                </w:tcPr>
                <w:p w14:paraId="25A01D02">
                  <w:pPr>
                    <w:jc w:val="center"/>
                    <w:rPr>
                      <w:rFonts w:hint="eastAsia" w:eastAsiaTheme="minorEastAsia"/>
                      <w:color w:val="FF0000"/>
                      <w:szCs w:val="21"/>
                      <w:lang w:eastAsia="zh-CN"/>
                    </w:rPr>
                  </w:pPr>
                </w:p>
              </w:tc>
              <w:tc>
                <w:tcPr>
                  <w:tcW w:w="484" w:type="pct"/>
                  <w:vMerge w:val="continue"/>
                  <w:shd w:val="clear" w:color="auto" w:fill="auto"/>
                  <w:vAlign w:val="center"/>
                </w:tcPr>
                <w:p w14:paraId="052BD529">
                  <w:pPr>
                    <w:jc w:val="center"/>
                    <w:rPr>
                      <w:rFonts w:hint="eastAsia" w:eastAsiaTheme="minorEastAsia"/>
                      <w:color w:val="FF0000"/>
                      <w:szCs w:val="21"/>
                      <w:lang w:eastAsia="zh-CN"/>
                    </w:rPr>
                  </w:pPr>
                </w:p>
              </w:tc>
              <w:tc>
                <w:tcPr>
                  <w:tcW w:w="375" w:type="pct"/>
                  <w:shd w:val="clear" w:color="auto" w:fill="auto"/>
                  <w:vAlign w:val="center"/>
                </w:tcPr>
                <w:p w14:paraId="7A71CCE8">
                  <w:pPr>
                    <w:pStyle w:val="58"/>
                    <w:snapToGrid w:val="0"/>
                    <w:jc w:val="center"/>
                    <w:rPr>
                      <w:rFonts w:hint="eastAsia" w:ascii="Times New Roman" w:hAnsi="Times New Roman" w:cs="Times New Roman" w:eastAsiaTheme="minorEastAsia"/>
                      <w:color w:val="auto"/>
                      <w:kern w:val="2"/>
                      <w:sz w:val="21"/>
                      <w:szCs w:val="21"/>
                      <w:lang w:val="en-US" w:eastAsia="zh-CN" w:bidi="ar-SA"/>
                    </w:rPr>
                  </w:pPr>
                  <w:r>
                    <w:rPr>
                      <w:rFonts w:ascii="Times New Roman" w:hAnsi="Times New Roman" w:cs="Times New Roman" w:eastAsiaTheme="minorEastAsia"/>
                      <w:color w:val="auto"/>
                      <w:kern w:val="2"/>
                      <w:sz w:val="21"/>
                      <w:szCs w:val="21"/>
                      <w:lang w:val="en-US" w:eastAsia="zh-CN" w:bidi="ar-SA"/>
                    </w:rPr>
                    <w:t>N</w:t>
                  </w:r>
                  <w:r>
                    <w:rPr>
                      <w:rFonts w:hint="eastAsia" w:ascii="Times New Roman" w:hAnsi="Times New Roman" w:cs="Times New Roman" w:eastAsiaTheme="minorEastAsia"/>
                      <w:color w:val="auto"/>
                      <w:kern w:val="2"/>
                      <w:sz w:val="21"/>
                      <w:szCs w:val="21"/>
                      <w:lang w:val="en-US" w:eastAsia="zh-CN" w:bidi="ar-SA"/>
                    </w:rPr>
                    <w:t>E</w:t>
                  </w:r>
                </w:p>
              </w:tc>
              <w:tc>
                <w:tcPr>
                  <w:tcW w:w="1343" w:type="dxa"/>
                  <w:shd w:val="clear" w:color="auto" w:fill="auto"/>
                  <w:vAlign w:val="center"/>
                </w:tcPr>
                <w:p w14:paraId="6C82916F">
                  <w:pPr>
                    <w:snapToGrid w:val="0"/>
                    <w:jc w:val="center"/>
                    <w:rPr>
                      <w:rFonts w:hint="eastAsia" w:ascii="Times New Roman" w:hAnsi="Times New Roman" w:cs="Times New Roman" w:eastAsiaTheme="minorEastAsia"/>
                      <w:color w:val="auto"/>
                      <w:kern w:val="2"/>
                      <w:sz w:val="21"/>
                      <w:szCs w:val="21"/>
                      <w:lang w:val="en-US" w:eastAsia="zh-CN" w:bidi="ar-SA"/>
                    </w:rPr>
                  </w:pPr>
                  <w:r>
                    <w:rPr>
                      <w:rFonts w:hint="eastAsia" w:cs="Times New Roman"/>
                      <w:color w:val="auto"/>
                      <w:lang w:val="en-US" w:eastAsia="zh-CN"/>
                    </w:rPr>
                    <w:t>28.1</w:t>
                  </w:r>
                  <w:r>
                    <w:rPr>
                      <w:rFonts w:hint="eastAsia" w:ascii="Times New Roman" w:hAnsi="Times New Roman" w:eastAsia="宋体" w:cs="Times New Roman"/>
                      <w:color w:val="auto"/>
                      <w:lang w:val="en-US" w:eastAsia="zh-CN"/>
                    </w:rPr>
                    <w:t>km</w:t>
                  </w:r>
                </w:p>
              </w:tc>
              <w:tc>
                <w:tcPr>
                  <w:tcW w:w="585" w:type="pct"/>
                  <w:vMerge w:val="continue"/>
                  <w:shd w:val="clear" w:color="auto" w:fill="auto"/>
                  <w:vAlign w:val="center"/>
                </w:tcPr>
                <w:p w14:paraId="6DBEA0DE">
                  <w:pPr>
                    <w:jc w:val="center"/>
                    <w:rPr>
                      <w:rFonts w:hint="eastAsia" w:ascii="Times New Roman" w:hAnsi="Times New Roman" w:cs="Times New Roman" w:eastAsiaTheme="minorEastAsia"/>
                      <w:color w:val="FF0000"/>
                      <w:kern w:val="2"/>
                      <w:sz w:val="21"/>
                      <w:szCs w:val="21"/>
                      <w:lang w:val="en-US" w:eastAsia="zh-CN" w:bidi="ar-SA"/>
                    </w:rPr>
                  </w:pPr>
                </w:p>
              </w:tc>
              <w:tc>
                <w:tcPr>
                  <w:tcW w:w="634" w:type="pct"/>
                  <w:vMerge w:val="continue"/>
                  <w:shd w:val="clear" w:color="auto" w:fill="auto"/>
                  <w:vAlign w:val="center"/>
                </w:tcPr>
                <w:p w14:paraId="0F143A2C">
                  <w:pPr>
                    <w:jc w:val="center"/>
                    <w:rPr>
                      <w:rFonts w:hint="eastAsia" w:eastAsiaTheme="minorEastAsia"/>
                      <w:color w:val="FF0000"/>
                      <w:szCs w:val="21"/>
                      <w:lang w:eastAsia="zh-CN"/>
                    </w:rPr>
                  </w:pPr>
                </w:p>
              </w:tc>
            </w:tr>
            <w:tr w14:paraId="029DF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vMerge w:val="continue"/>
                  <w:shd w:val="clear" w:color="auto" w:fill="auto"/>
                  <w:vAlign w:val="center"/>
                </w:tcPr>
                <w:p w14:paraId="18E1E4B0">
                  <w:pPr>
                    <w:jc w:val="center"/>
                    <w:rPr>
                      <w:rFonts w:hint="eastAsia" w:eastAsiaTheme="minorEastAsia"/>
                      <w:color w:val="auto"/>
                      <w:szCs w:val="21"/>
                      <w:lang w:eastAsia="zh-CN"/>
                    </w:rPr>
                  </w:pPr>
                </w:p>
              </w:tc>
              <w:tc>
                <w:tcPr>
                  <w:tcW w:w="223" w:type="pct"/>
                  <w:vMerge w:val="continue"/>
                  <w:shd w:val="clear" w:color="auto" w:fill="auto"/>
                  <w:vAlign w:val="center"/>
                </w:tcPr>
                <w:p w14:paraId="4366D8AE">
                  <w:pPr>
                    <w:spacing w:line="300" w:lineRule="exact"/>
                    <w:jc w:val="center"/>
                    <w:rPr>
                      <w:rFonts w:hint="eastAsia" w:eastAsiaTheme="minorEastAsia"/>
                      <w:color w:val="auto"/>
                      <w:szCs w:val="21"/>
                      <w:lang w:eastAsia="zh-CN"/>
                    </w:rPr>
                  </w:pPr>
                </w:p>
              </w:tc>
              <w:tc>
                <w:tcPr>
                  <w:tcW w:w="358" w:type="pct"/>
                  <w:gridSpan w:val="2"/>
                  <w:shd w:val="clear" w:color="auto" w:fill="auto"/>
                  <w:vAlign w:val="center"/>
                </w:tcPr>
                <w:p w14:paraId="5E1A48CF">
                  <w:pPr>
                    <w:spacing w:line="300" w:lineRule="exact"/>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kern w:val="44"/>
                      <w:szCs w:val="21"/>
                    </w:rPr>
                    <w:t>长江</w:t>
                  </w:r>
                  <w:r>
                    <w:rPr>
                      <w:rFonts w:eastAsiaTheme="minorEastAsia"/>
                      <w:color w:val="auto"/>
                      <w:kern w:val="44"/>
                      <w:szCs w:val="21"/>
                    </w:rPr>
                    <w:t>利港水厂取水口</w:t>
                  </w:r>
                </w:p>
              </w:tc>
              <w:tc>
                <w:tcPr>
                  <w:tcW w:w="376" w:type="pct"/>
                  <w:shd w:val="clear" w:color="auto" w:fill="auto"/>
                  <w:vAlign w:val="center"/>
                </w:tcPr>
                <w:p w14:paraId="3B6DAFF7">
                  <w:pPr>
                    <w:jc w:val="center"/>
                    <w:rPr>
                      <w:rFonts w:hint="eastAsia" w:eastAsiaTheme="minorEastAsia"/>
                      <w:color w:val="auto"/>
                      <w:szCs w:val="21"/>
                      <w:lang w:eastAsia="zh-CN"/>
                    </w:rPr>
                  </w:pPr>
                  <w:r>
                    <w:rPr>
                      <w:rFonts w:eastAsiaTheme="minorEastAsia"/>
                      <w:color w:val="auto"/>
                      <w:szCs w:val="21"/>
                    </w:rPr>
                    <w:t>120.098097</w:t>
                  </w:r>
                </w:p>
              </w:tc>
              <w:tc>
                <w:tcPr>
                  <w:tcW w:w="385" w:type="pct"/>
                  <w:shd w:val="clear" w:color="auto" w:fill="auto"/>
                  <w:vAlign w:val="center"/>
                </w:tcPr>
                <w:p w14:paraId="6CEED18A">
                  <w:pPr>
                    <w:jc w:val="center"/>
                    <w:rPr>
                      <w:rFonts w:hint="eastAsia" w:eastAsiaTheme="minorEastAsia"/>
                      <w:color w:val="auto"/>
                      <w:szCs w:val="21"/>
                      <w:lang w:eastAsia="zh-CN"/>
                    </w:rPr>
                  </w:pPr>
                  <w:r>
                    <w:rPr>
                      <w:rFonts w:eastAsiaTheme="minorEastAsia"/>
                      <w:color w:val="auto"/>
                      <w:szCs w:val="21"/>
                    </w:rPr>
                    <w:t>31.938907</w:t>
                  </w:r>
                </w:p>
              </w:tc>
              <w:tc>
                <w:tcPr>
                  <w:tcW w:w="372" w:type="pct"/>
                  <w:vMerge w:val="continue"/>
                  <w:shd w:val="clear" w:color="auto" w:fill="auto"/>
                  <w:vAlign w:val="center"/>
                </w:tcPr>
                <w:p w14:paraId="232B82BF">
                  <w:pPr>
                    <w:jc w:val="center"/>
                    <w:rPr>
                      <w:rFonts w:hint="eastAsia" w:eastAsiaTheme="minorEastAsia"/>
                      <w:color w:val="FF0000"/>
                      <w:szCs w:val="21"/>
                      <w:lang w:eastAsia="zh-CN"/>
                    </w:rPr>
                  </w:pPr>
                </w:p>
              </w:tc>
              <w:tc>
                <w:tcPr>
                  <w:tcW w:w="372" w:type="pct"/>
                  <w:gridSpan w:val="2"/>
                  <w:vMerge w:val="continue"/>
                  <w:shd w:val="clear" w:color="auto" w:fill="auto"/>
                  <w:vAlign w:val="center"/>
                </w:tcPr>
                <w:p w14:paraId="28BAC394">
                  <w:pPr>
                    <w:jc w:val="center"/>
                    <w:rPr>
                      <w:rFonts w:hint="eastAsia" w:eastAsiaTheme="minorEastAsia"/>
                      <w:color w:val="FF0000"/>
                      <w:szCs w:val="21"/>
                      <w:lang w:eastAsia="zh-CN"/>
                    </w:rPr>
                  </w:pPr>
                </w:p>
              </w:tc>
              <w:tc>
                <w:tcPr>
                  <w:tcW w:w="484" w:type="pct"/>
                  <w:vMerge w:val="continue"/>
                  <w:shd w:val="clear" w:color="auto" w:fill="auto"/>
                  <w:vAlign w:val="center"/>
                </w:tcPr>
                <w:p w14:paraId="782E5C6F">
                  <w:pPr>
                    <w:jc w:val="center"/>
                    <w:rPr>
                      <w:rFonts w:hint="eastAsia" w:eastAsiaTheme="minorEastAsia"/>
                      <w:color w:val="FF0000"/>
                      <w:szCs w:val="21"/>
                      <w:lang w:eastAsia="zh-CN"/>
                    </w:rPr>
                  </w:pPr>
                </w:p>
              </w:tc>
              <w:tc>
                <w:tcPr>
                  <w:tcW w:w="375" w:type="pct"/>
                  <w:shd w:val="clear" w:color="auto" w:fill="auto"/>
                  <w:vAlign w:val="center"/>
                </w:tcPr>
                <w:p w14:paraId="14AF8F22">
                  <w:pPr>
                    <w:pStyle w:val="58"/>
                    <w:snapToGrid w:val="0"/>
                    <w:jc w:val="center"/>
                    <w:rPr>
                      <w:rFonts w:hint="eastAsia" w:ascii="Times New Roman" w:hAnsi="Times New Roman" w:cs="Times New Roman" w:eastAsiaTheme="minorEastAsia"/>
                      <w:color w:val="auto"/>
                      <w:kern w:val="2"/>
                      <w:sz w:val="21"/>
                      <w:szCs w:val="21"/>
                      <w:lang w:val="en-US" w:eastAsia="zh-CN" w:bidi="ar-SA"/>
                    </w:rPr>
                  </w:pPr>
                  <w:r>
                    <w:rPr>
                      <w:rFonts w:ascii="Times New Roman" w:hAnsi="Times New Roman" w:cs="Times New Roman" w:eastAsiaTheme="minorEastAsia"/>
                      <w:color w:val="auto"/>
                      <w:kern w:val="2"/>
                      <w:sz w:val="21"/>
                      <w:szCs w:val="21"/>
                      <w:lang w:val="en-US" w:eastAsia="zh-CN" w:bidi="ar-SA"/>
                    </w:rPr>
                    <w:t>N</w:t>
                  </w:r>
                  <w:r>
                    <w:rPr>
                      <w:rFonts w:hint="eastAsia" w:ascii="Times New Roman" w:hAnsi="Times New Roman" w:cs="Times New Roman" w:eastAsiaTheme="minorEastAsia"/>
                      <w:color w:val="auto"/>
                      <w:kern w:val="2"/>
                      <w:sz w:val="21"/>
                      <w:szCs w:val="21"/>
                      <w:lang w:val="en-US" w:eastAsia="zh-CN" w:bidi="ar-SA"/>
                    </w:rPr>
                    <w:t>E</w:t>
                  </w:r>
                </w:p>
              </w:tc>
              <w:tc>
                <w:tcPr>
                  <w:tcW w:w="1343" w:type="dxa"/>
                  <w:shd w:val="clear" w:color="auto" w:fill="auto"/>
                  <w:vAlign w:val="center"/>
                </w:tcPr>
                <w:p w14:paraId="1A265660">
                  <w:pPr>
                    <w:snapToGrid w:val="0"/>
                    <w:jc w:val="center"/>
                    <w:rPr>
                      <w:rFonts w:hint="eastAsia" w:ascii="Times New Roman" w:hAnsi="Times New Roman" w:cs="Times New Roman" w:eastAsiaTheme="minorEastAsia"/>
                      <w:color w:val="auto"/>
                      <w:kern w:val="2"/>
                      <w:sz w:val="21"/>
                      <w:szCs w:val="21"/>
                      <w:lang w:val="en-US" w:eastAsia="zh-CN" w:bidi="ar-SA"/>
                    </w:rPr>
                  </w:pPr>
                  <w:r>
                    <w:rPr>
                      <w:rFonts w:hint="eastAsia" w:cs="Times New Roman"/>
                      <w:color w:val="auto"/>
                      <w:lang w:val="en-US" w:eastAsia="zh-CN"/>
                    </w:rPr>
                    <w:t>12.6</w:t>
                  </w:r>
                  <w:r>
                    <w:rPr>
                      <w:rFonts w:hint="eastAsia" w:ascii="Times New Roman" w:hAnsi="Times New Roman" w:eastAsia="宋体" w:cs="Times New Roman"/>
                      <w:color w:val="auto"/>
                      <w:lang w:val="en-US" w:eastAsia="zh-CN"/>
                    </w:rPr>
                    <w:t>km</w:t>
                  </w:r>
                </w:p>
              </w:tc>
              <w:tc>
                <w:tcPr>
                  <w:tcW w:w="585" w:type="pct"/>
                  <w:vMerge w:val="continue"/>
                  <w:shd w:val="clear" w:color="auto" w:fill="auto"/>
                  <w:vAlign w:val="center"/>
                </w:tcPr>
                <w:p w14:paraId="2F2E81DF">
                  <w:pPr>
                    <w:jc w:val="center"/>
                    <w:rPr>
                      <w:rFonts w:hint="eastAsia" w:ascii="Times New Roman" w:hAnsi="Times New Roman" w:cs="Times New Roman" w:eastAsiaTheme="minorEastAsia"/>
                      <w:color w:val="FF0000"/>
                      <w:kern w:val="2"/>
                      <w:sz w:val="21"/>
                      <w:szCs w:val="21"/>
                      <w:lang w:val="en-US" w:eastAsia="zh-CN" w:bidi="ar-SA"/>
                    </w:rPr>
                  </w:pPr>
                </w:p>
              </w:tc>
              <w:tc>
                <w:tcPr>
                  <w:tcW w:w="634" w:type="pct"/>
                  <w:vMerge w:val="continue"/>
                  <w:shd w:val="clear" w:color="auto" w:fill="auto"/>
                  <w:vAlign w:val="center"/>
                </w:tcPr>
                <w:p w14:paraId="06AC367C">
                  <w:pPr>
                    <w:jc w:val="center"/>
                    <w:rPr>
                      <w:rFonts w:hint="eastAsia" w:eastAsiaTheme="minorEastAsia"/>
                      <w:color w:val="FF0000"/>
                      <w:szCs w:val="21"/>
                      <w:lang w:eastAsia="zh-CN"/>
                    </w:rPr>
                  </w:pPr>
                </w:p>
              </w:tc>
            </w:tr>
            <w:tr w14:paraId="56580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25" w:type="pct"/>
                  <w:shd w:val="clear" w:color="auto" w:fill="auto"/>
                  <w:vAlign w:val="center"/>
                </w:tcPr>
                <w:p w14:paraId="0A19F663">
                  <w:pPr>
                    <w:pStyle w:val="58"/>
                    <w:snapToGrid w:val="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环境</w:t>
                  </w:r>
                </w:p>
                <w:p w14:paraId="2A76F40F">
                  <w:pPr>
                    <w:pStyle w:val="58"/>
                    <w:snapToGrid w:val="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要素</w:t>
                  </w:r>
                </w:p>
              </w:tc>
              <w:tc>
                <w:tcPr>
                  <w:tcW w:w="1344" w:type="pct"/>
                  <w:gridSpan w:val="5"/>
                  <w:shd w:val="clear" w:color="auto" w:fill="auto"/>
                  <w:vAlign w:val="center"/>
                </w:tcPr>
                <w:p w14:paraId="159FABA4">
                  <w:pPr>
                    <w:pStyle w:val="58"/>
                    <w:snapToGrid w:val="0"/>
                    <w:jc w:val="center"/>
                    <w:rPr>
                      <w:rFonts w:hint="eastAsia" w:ascii="Times New Roman" w:hAnsi="Times New Roman" w:eastAsiaTheme="minorEastAsia"/>
                      <w:b/>
                      <w:color w:val="auto"/>
                      <w:sz w:val="21"/>
                      <w:szCs w:val="21"/>
                    </w:rPr>
                  </w:pPr>
                  <w:r>
                    <w:rPr>
                      <w:rFonts w:ascii="Times New Roman" w:hAnsi="Times New Roman" w:eastAsiaTheme="minorEastAsia"/>
                      <w:b/>
                      <w:color w:val="auto"/>
                      <w:sz w:val="21"/>
                      <w:szCs w:val="21"/>
                    </w:rPr>
                    <w:t>保护对象名称</w:t>
                  </w:r>
                </w:p>
              </w:tc>
              <w:tc>
                <w:tcPr>
                  <w:tcW w:w="372" w:type="pct"/>
                  <w:shd w:val="clear" w:color="auto" w:fill="auto"/>
                  <w:vAlign w:val="center"/>
                </w:tcPr>
                <w:p w14:paraId="2B5A791B">
                  <w:pPr>
                    <w:pStyle w:val="58"/>
                    <w:snapToGrid w:val="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保护</w:t>
                  </w:r>
                </w:p>
                <w:p w14:paraId="1B863343">
                  <w:pPr>
                    <w:pStyle w:val="58"/>
                    <w:snapToGrid w:val="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对象</w:t>
                  </w:r>
                </w:p>
              </w:tc>
              <w:tc>
                <w:tcPr>
                  <w:tcW w:w="372" w:type="pct"/>
                  <w:gridSpan w:val="2"/>
                  <w:shd w:val="clear" w:color="auto" w:fill="auto"/>
                  <w:vAlign w:val="center"/>
                </w:tcPr>
                <w:p w14:paraId="231F85A1">
                  <w:pPr>
                    <w:pStyle w:val="58"/>
                    <w:snapToGrid w:val="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保护</w:t>
                  </w:r>
                </w:p>
                <w:p w14:paraId="5C50AC8E">
                  <w:pPr>
                    <w:pStyle w:val="58"/>
                    <w:snapToGrid w:val="0"/>
                    <w:jc w:val="center"/>
                    <w:rPr>
                      <w:rFonts w:hint="eastAsia" w:ascii="Times New Roman" w:hAnsi="Times New Roman" w:eastAsiaTheme="minorEastAsia"/>
                      <w:b/>
                      <w:color w:val="auto"/>
                      <w:sz w:val="21"/>
                      <w:szCs w:val="21"/>
                      <w:lang w:val="en-US" w:eastAsia="zh-CN"/>
                    </w:rPr>
                  </w:pPr>
                  <w:r>
                    <w:rPr>
                      <w:rFonts w:ascii="Times New Roman" w:hAnsi="Times New Roman" w:eastAsiaTheme="minorEastAsia"/>
                      <w:b/>
                      <w:color w:val="auto"/>
                      <w:sz w:val="21"/>
                      <w:szCs w:val="21"/>
                    </w:rPr>
                    <w:t>内容</w:t>
                  </w:r>
                </w:p>
              </w:tc>
              <w:tc>
                <w:tcPr>
                  <w:tcW w:w="484" w:type="pct"/>
                  <w:shd w:val="clear" w:color="auto" w:fill="auto"/>
                  <w:vAlign w:val="center"/>
                </w:tcPr>
                <w:p w14:paraId="3D751A8B">
                  <w:pPr>
                    <w:pStyle w:val="58"/>
                    <w:snapToGrid w:val="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规模</w:t>
                  </w:r>
                </w:p>
              </w:tc>
              <w:tc>
                <w:tcPr>
                  <w:tcW w:w="375" w:type="pct"/>
                  <w:shd w:val="clear" w:color="auto" w:fill="auto"/>
                  <w:vAlign w:val="center"/>
                </w:tcPr>
                <w:p w14:paraId="6EF7823B">
                  <w:pPr>
                    <w:pStyle w:val="58"/>
                    <w:snapToGrid w:val="0"/>
                    <w:jc w:val="center"/>
                    <w:rPr>
                      <w:rFonts w:hint="eastAsia" w:ascii="Times New Roman" w:hAnsi="Times New Roman" w:eastAsiaTheme="minorEastAsia"/>
                      <w:b/>
                      <w:color w:val="auto"/>
                      <w:sz w:val="21"/>
                      <w:szCs w:val="21"/>
                      <w:lang w:val="en-US" w:eastAsia="zh-CN"/>
                    </w:rPr>
                  </w:pPr>
                  <w:r>
                    <w:rPr>
                      <w:rFonts w:ascii="Times New Roman" w:hAnsi="Times New Roman" w:eastAsiaTheme="minorEastAsia"/>
                      <w:b/>
                      <w:color w:val="auto"/>
                      <w:sz w:val="21"/>
                      <w:szCs w:val="21"/>
                    </w:rPr>
                    <w:t>相对厂址方位</w:t>
                  </w:r>
                </w:p>
              </w:tc>
              <w:tc>
                <w:tcPr>
                  <w:tcW w:w="504" w:type="pct"/>
                  <w:shd w:val="clear" w:color="auto" w:fill="auto"/>
                  <w:vAlign w:val="center"/>
                </w:tcPr>
                <w:p w14:paraId="0C222953">
                  <w:pPr>
                    <w:pStyle w:val="58"/>
                    <w:snapToGrid w:val="0"/>
                    <w:jc w:val="center"/>
                    <w:rPr>
                      <w:rFonts w:hint="eastAsia" w:ascii="Times New Roman" w:hAnsi="Times New Roman" w:eastAsiaTheme="minorEastAsia"/>
                      <w:b/>
                      <w:color w:val="auto"/>
                      <w:sz w:val="21"/>
                      <w:szCs w:val="21"/>
                      <w:lang w:val="en-US" w:eastAsia="zh-CN"/>
                    </w:rPr>
                  </w:pPr>
                  <w:r>
                    <w:rPr>
                      <w:rFonts w:ascii="Times New Roman" w:hAnsi="Times New Roman" w:eastAsiaTheme="minorEastAsia"/>
                      <w:b/>
                      <w:color w:val="auto"/>
                      <w:sz w:val="21"/>
                      <w:szCs w:val="21"/>
                    </w:rPr>
                    <w:t>相对厂界距离</w:t>
                  </w:r>
                </w:p>
              </w:tc>
              <w:tc>
                <w:tcPr>
                  <w:tcW w:w="585" w:type="pct"/>
                  <w:shd w:val="clear" w:color="auto" w:fill="auto"/>
                  <w:vAlign w:val="center"/>
                </w:tcPr>
                <w:p w14:paraId="757B533F">
                  <w:pPr>
                    <w:pStyle w:val="58"/>
                    <w:snapToGrid w:val="0"/>
                    <w:jc w:val="center"/>
                    <w:rPr>
                      <w:rFonts w:ascii="Times New Roman" w:hAnsi="Times New Roman" w:eastAsiaTheme="minorEastAsia"/>
                      <w:b/>
                      <w:color w:val="auto"/>
                      <w:sz w:val="21"/>
                      <w:szCs w:val="21"/>
                    </w:rPr>
                  </w:pPr>
                  <w:r>
                    <w:rPr>
                      <w:rFonts w:ascii="Times New Roman" w:hAnsi="Times New Roman" w:eastAsiaTheme="minorEastAsia"/>
                      <w:b/>
                      <w:color w:val="auto"/>
                      <w:sz w:val="21"/>
                      <w:szCs w:val="21"/>
                    </w:rPr>
                    <w:t>环境功能区</w:t>
                  </w:r>
                </w:p>
              </w:tc>
              <w:tc>
                <w:tcPr>
                  <w:tcW w:w="634" w:type="pct"/>
                  <w:shd w:val="clear" w:color="auto" w:fill="auto"/>
                  <w:vAlign w:val="center"/>
                </w:tcPr>
                <w:p w14:paraId="46A420E2">
                  <w:pPr>
                    <w:pStyle w:val="58"/>
                    <w:snapToGrid w:val="0"/>
                    <w:jc w:val="center"/>
                    <w:rPr>
                      <w:rFonts w:hint="eastAsia" w:ascii="Times New Roman" w:hAnsi="Times New Roman" w:eastAsiaTheme="minorEastAsia"/>
                      <w:b/>
                      <w:color w:val="auto"/>
                      <w:sz w:val="21"/>
                      <w:szCs w:val="21"/>
                    </w:rPr>
                  </w:pPr>
                  <w:r>
                    <w:rPr>
                      <w:rFonts w:ascii="Times New Roman" w:hAnsi="Times New Roman" w:eastAsiaTheme="minorEastAsia"/>
                      <w:b/>
                      <w:color w:val="auto"/>
                      <w:sz w:val="21"/>
                      <w:szCs w:val="21"/>
                    </w:rPr>
                    <w:t>依据</w:t>
                  </w:r>
                </w:p>
              </w:tc>
            </w:tr>
            <w:tr w14:paraId="6525F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5" w:type="pct"/>
                  <w:shd w:val="clear" w:color="auto" w:fill="auto"/>
                  <w:vAlign w:val="center"/>
                </w:tcPr>
                <w:p w14:paraId="786302B3">
                  <w:pPr>
                    <w:snapToGrid w:val="0"/>
                    <w:jc w:val="center"/>
                    <w:rPr>
                      <w:rFonts w:eastAsiaTheme="minorEastAsia"/>
                      <w:color w:val="auto"/>
                      <w:szCs w:val="21"/>
                    </w:rPr>
                  </w:pPr>
                  <w:r>
                    <w:rPr>
                      <w:rFonts w:eastAsiaTheme="minorEastAsia"/>
                      <w:color w:val="auto"/>
                      <w:szCs w:val="21"/>
                    </w:rPr>
                    <w:t>声环境</w:t>
                  </w:r>
                </w:p>
              </w:tc>
              <w:tc>
                <w:tcPr>
                  <w:tcW w:w="1344" w:type="pct"/>
                  <w:gridSpan w:val="5"/>
                  <w:shd w:val="clear" w:color="auto" w:fill="auto"/>
                  <w:vAlign w:val="center"/>
                </w:tcPr>
                <w:p w14:paraId="43E80196">
                  <w:pPr>
                    <w:snapToGrid w:val="0"/>
                    <w:jc w:val="center"/>
                    <w:rPr>
                      <w:rFonts w:eastAsiaTheme="minorEastAsia"/>
                      <w:color w:val="auto"/>
                      <w:sz w:val="21"/>
                      <w:szCs w:val="21"/>
                    </w:rPr>
                  </w:pPr>
                  <w:r>
                    <w:rPr>
                      <w:rFonts w:ascii="Times New Roman" w:hAnsi="Times New Roman" w:eastAsiaTheme="minorEastAsia"/>
                      <w:color w:val="auto"/>
                      <w:sz w:val="21"/>
                      <w:szCs w:val="21"/>
                    </w:rPr>
                    <w:t>厂界外扩</w:t>
                  </w:r>
                  <w:r>
                    <w:rPr>
                      <w:rFonts w:hint="eastAsia" w:ascii="Times New Roman" w:hAnsi="Times New Roman" w:eastAsiaTheme="minorEastAsia"/>
                      <w:color w:val="auto"/>
                      <w:sz w:val="21"/>
                      <w:szCs w:val="21"/>
                      <w:lang w:val="en-US" w:eastAsia="zh-CN"/>
                    </w:rPr>
                    <w:t>5</w:t>
                  </w:r>
                  <w:r>
                    <w:rPr>
                      <w:rFonts w:ascii="Times New Roman" w:hAnsi="Times New Roman" w:eastAsiaTheme="minorEastAsia"/>
                      <w:color w:val="auto"/>
                      <w:sz w:val="21"/>
                      <w:szCs w:val="21"/>
                    </w:rPr>
                    <w:t>0米范围</w:t>
                  </w:r>
                </w:p>
              </w:tc>
              <w:tc>
                <w:tcPr>
                  <w:tcW w:w="372" w:type="pct"/>
                  <w:shd w:val="clear" w:color="auto" w:fill="auto"/>
                  <w:vAlign w:val="center"/>
                </w:tcPr>
                <w:p w14:paraId="12AEFF48">
                  <w:pPr>
                    <w:jc w:val="center"/>
                    <w:rPr>
                      <w:rFonts w:eastAsiaTheme="minorEastAsia"/>
                      <w:color w:val="auto"/>
                      <w:szCs w:val="21"/>
                    </w:rPr>
                  </w:pPr>
                  <w:r>
                    <w:rPr>
                      <w:rFonts w:ascii="Times New Roman" w:hAnsi="Times New Roman" w:eastAsia="宋体"/>
                      <w:color w:val="auto"/>
                      <w:sz w:val="21"/>
                      <w:szCs w:val="21"/>
                    </w:rPr>
                    <w:t>/</w:t>
                  </w:r>
                </w:p>
              </w:tc>
              <w:tc>
                <w:tcPr>
                  <w:tcW w:w="372" w:type="pct"/>
                  <w:gridSpan w:val="2"/>
                  <w:shd w:val="clear" w:color="auto" w:fill="auto"/>
                  <w:vAlign w:val="center"/>
                </w:tcPr>
                <w:p w14:paraId="2389CD82">
                  <w:pPr>
                    <w:jc w:val="center"/>
                    <w:rPr>
                      <w:rFonts w:hint="eastAsia" w:ascii="Times New Roman" w:hAnsi="Times New Roman" w:eastAsia="宋体"/>
                      <w:color w:val="auto"/>
                      <w:sz w:val="21"/>
                      <w:szCs w:val="21"/>
                      <w:lang w:val="en-US" w:eastAsia="zh-CN"/>
                    </w:rPr>
                  </w:pPr>
                  <w:r>
                    <w:rPr>
                      <w:rFonts w:hint="eastAsia"/>
                      <w:color w:val="auto"/>
                      <w:sz w:val="21"/>
                      <w:szCs w:val="21"/>
                      <w:lang w:val="en-US" w:eastAsia="zh-CN"/>
                    </w:rPr>
                    <w:t>/</w:t>
                  </w:r>
                </w:p>
              </w:tc>
              <w:tc>
                <w:tcPr>
                  <w:tcW w:w="484" w:type="pct"/>
                  <w:shd w:val="clear" w:color="auto" w:fill="auto"/>
                  <w:vAlign w:val="center"/>
                </w:tcPr>
                <w:p w14:paraId="01D93858">
                  <w:pPr>
                    <w:snapToGrid w:val="0"/>
                    <w:jc w:val="center"/>
                    <w:rPr>
                      <w:rFonts w:hint="default" w:eastAsia="宋体"/>
                      <w:color w:val="auto"/>
                      <w:szCs w:val="21"/>
                      <w:lang w:val="en-US" w:eastAsia="zh-CN"/>
                    </w:rPr>
                  </w:pPr>
                  <w:r>
                    <w:rPr>
                      <w:rFonts w:ascii="Times New Roman" w:hAnsi="Times New Roman" w:eastAsia="宋体"/>
                      <w:color w:val="auto"/>
                      <w:sz w:val="21"/>
                      <w:szCs w:val="21"/>
                    </w:rPr>
                    <w:t>/</w:t>
                  </w:r>
                </w:p>
              </w:tc>
              <w:tc>
                <w:tcPr>
                  <w:tcW w:w="375" w:type="pct"/>
                  <w:shd w:val="clear" w:color="auto" w:fill="auto"/>
                  <w:vAlign w:val="center"/>
                </w:tcPr>
                <w:p w14:paraId="04EB6F10">
                  <w:pPr>
                    <w:jc w:val="center"/>
                    <w:rPr>
                      <w:rFonts w:hint="default" w:eastAsia="宋体"/>
                      <w:color w:val="auto"/>
                      <w:szCs w:val="21"/>
                      <w:lang w:val="en-US" w:eastAsia="zh-CN"/>
                    </w:rPr>
                  </w:pPr>
                  <w:r>
                    <w:rPr>
                      <w:rFonts w:ascii="Times New Roman" w:hAnsi="Times New Roman" w:eastAsia="宋体"/>
                      <w:color w:val="auto"/>
                      <w:sz w:val="21"/>
                      <w:szCs w:val="21"/>
                    </w:rPr>
                    <w:t>/</w:t>
                  </w:r>
                </w:p>
              </w:tc>
              <w:tc>
                <w:tcPr>
                  <w:tcW w:w="504" w:type="pct"/>
                  <w:shd w:val="clear" w:color="auto" w:fill="auto"/>
                  <w:vAlign w:val="center"/>
                </w:tcPr>
                <w:p w14:paraId="1537B902">
                  <w:pPr>
                    <w:jc w:val="center"/>
                    <w:rPr>
                      <w:rFonts w:eastAsiaTheme="minorEastAsia"/>
                      <w:color w:val="auto"/>
                      <w:szCs w:val="21"/>
                    </w:rPr>
                  </w:pPr>
                  <w:r>
                    <w:rPr>
                      <w:rFonts w:ascii="Times New Roman" w:hAnsi="Times New Roman" w:eastAsia="宋体"/>
                      <w:color w:val="auto"/>
                      <w:sz w:val="21"/>
                      <w:szCs w:val="21"/>
                    </w:rPr>
                    <w:t>/</w:t>
                  </w:r>
                </w:p>
              </w:tc>
              <w:tc>
                <w:tcPr>
                  <w:tcW w:w="585" w:type="pct"/>
                  <w:shd w:val="clear" w:color="auto" w:fill="auto"/>
                  <w:vAlign w:val="center"/>
                </w:tcPr>
                <w:p w14:paraId="752510B9">
                  <w:pPr>
                    <w:snapToGrid w:val="0"/>
                    <w:jc w:val="center"/>
                    <w:rPr>
                      <w:rFonts w:eastAsiaTheme="minorEastAsia"/>
                      <w:color w:val="auto"/>
                      <w:szCs w:val="21"/>
                    </w:rPr>
                  </w:pPr>
                  <w:r>
                    <w:rPr>
                      <w:rFonts w:eastAsiaTheme="minorEastAsia"/>
                      <w:bCs/>
                      <w:color w:val="auto"/>
                      <w:szCs w:val="21"/>
                    </w:rPr>
                    <w:t>《声环境质量标准》（GB3096-2008）中</w:t>
                  </w:r>
                  <w:r>
                    <w:rPr>
                      <w:rFonts w:hint="eastAsia" w:eastAsiaTheme="minorEastAsia"/>
                      <w:bCs/>
                      <w:color w:val="auto"/>
                      <w:szCs w:val="21"/>
                    </w:rPr>
                    <w:t>3</w:t>
                  </w:r>
                  <w:r>
                    <w:rPr>
                      <w:rFonts w:eastAsiaTheme="minorEastAsia"/>
                      <w:color w:val="auto"/>
                      <w:szCs w:val="21"/>
                    </w:rPr>
                    <w:t>类</w:t>
                  </w:r>
                  <w:r>
                    <w:rPr>
                      <w:rFonts w:eastAsiaTheme="minorEastAsia"/>
                      <w:bCs/>
                      <w:color w:val="auto"/>
                      <w:szCs w:val="21"/>
                    </w:rPr>
                    <w:t>声环境功能区</w:t>
                  </w:r>
                </w:p>
              </w:tc>
              <w:tc>
                <w:tcPr>
                  <w:tcW w:w="634" w:type="pct"/>
                  <w:shd w:val="clear" w:color="auto" w:fill="auto"/>
                  <w:vAlign w:val="center"/>
                </w:tcPr>
                <w:p w14:paraId="6FAB572D">
                  <w:pPr>
                    <w:snapToGrid w:val="0"/>
                    <w:jc w:val="center"/>
                    <w:rPr>
                      <w:rFonts w:hint="eastAsia" w:eastAsiaTheme="minorEastAsia"/>
                      <w:color w:val="auto"/>
                      <w:szCs w:val="21"/>
                      <w:lang w:eastAsia="zh-CN"/>
                    </w:rPr>
                  </w:pPr>
                  <w:r>
                    <w:rPr>
                      <w:bCs/>
                      <w:color w:val="auto"/>
                      <w:szCs w:val="21"/>
                    </w:rPr>
                    <w:t>《常州市市区声环境功能区划（2017）》（常政发〔2017〕161号）</w:t>
                  </w:r>
                </w:p>
              </w:tc>
            </w:tr>
            <w:tr w14:paraId="75C0F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25" w:type="pct"/>
                  <w:shd w:val="clear" w:color="auto" w:fill="auto"/>
                  <w:vAlign w:val="center"/>
                </w:tcPr>
                <w:p w14:paraId="2FA83C54">
                  <w:pPr>
                    <w:snapToGrid w:val="0"/>
                    <w:jc w:val="center"/>
                    <w:rPr>
                      <w:rFonts w:eastAsiaTheme="minorEastAsia"/>
                      <w:color w:val="auto"/>
                      <w:szCs w:val="21"/>
                    </w:rPr>
                  </w:pPr>
                  <w:r>
                    <w:rPr>
                      <w:rFonts w:hint="eastAsia" w:eastAsiaTheme="minorEastAsia"/>
                      <w:color w:val="auto"/>
                      <w:szCs w:val="21"/>
                    </w:rPr>
                    <w:t>地下水环境</w:t>
                  </w:r>
                </w:p>
              </w:tc>
              <w:tc>
                <w:tcPr>
                  <w:tcW w:w="4674" w:type="pct"/>
                  <w:gridSpan w:val="13"/>
                  <w:shd w:val="clear" w:color="auto" w:fill="auto"/>
                  <w:vAlign w:val="center"/>
                </w:tcPr>
                <w:p w14:paraId="612AAF9E">
                  <w:pPr>
                    <w:snapToGrid w:val="0"/>
                    <w:jc w:val="center"/>
                    <w:rPr>
                      <w:bCs/>
                      <w:color w:val="auto"/>
                      <w:szCs w:val="21"/>
                    </w:rPr>
                  </w:pPr>
                  <w:r>
                    <w:rPr>
                      <w:rFonts w:eastAsiaTheme="minorEastAsia"/>
                      <w:bCs/>
                      <w:color w:val="auto"/>
                      <w:szCs w:val="21"/>
                    </w:rPr>
                    <w:t>本项目厂界外500米范围内无地下水集中式饮用水水源等特殊地下水资源</w:t>
                  </w:r>
                </w:p>
              </w:tc>
            </w:tr>
            <w:tr w14:paraId="7F2B9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25" w:type="pct"/>
                  <w:shd w:val="clear" w:color="auto" w:fill="auto"/>
                  <w:vAlign w:val="center"/>
                </w:tcPr>
                <w:p w14:paraId="6B55D619">
                  <w:pPr>
                    <w:snapToGrid w:val="0"/>
                    <w:jc w:val="center"/>
                    <w:rPr>
                      <w:rFonts w:eastAsiaTheme="minorEastAsia"/>
                      <w:color w:val="auto"/>
                      <w:szCs w:val="21"/>
                    </w:rPr>
                  </w:pPr>
                  <w:r>
                    <w:rPr>
                      <w:rFonts w:eastAsiaTheme="minorEastAsia"/>
                      <w:color w:val="auto"/>
                      <w:szCs w:val="21"/>
                    </w:rPr>
                    <w:t>生态环境</w:t>
                  </w:r>
                </w:p>
              </w:tc>
              <w:tc>
                <w:tcPr>
                  <w:tcW w:w="4674" w:type="pct"/>
                  <w:gridSpan w:val="13"/>
                  <w:shd w:val="clear" w:color="auto" w:fill="auto"/>
                  <w:vAlign w:val="center"/>
                </w:tcPr>
                <w:p w14:paraId="487B8DB3">
                  <w:pPr>
                    <w:snapToGrid w:val="0"/>
                    <w:jc w:val="center"/>
                    <w:rPr>
                      <w:rFonts w:eastAsiaTheme="minorEastAsia"/>
                      <w:color w:val="auto"/>
                      <w:szCs w:val="21"/>
                    </w:rPr>
                  </w:pPr>
                  <w:r>
                    <w:rPr>
                      <w:rFonts w:eastAsiaTheme="minorEastAsia"/>
                      <w:bCs/>
                      <w:color w:val="auto"/>
                      <w:szCs w:val="21"/>
                    </w:rPr>
                    <w:t>本项目用地范围内不涉及生态环境保护目标</w:t>
                  </w:r>
                </w:p>
              </w:tc>
            </w:tr>
          </w:tbl>
          <w:p w14:paraId="47A13B38">
            <w:pPr>
              <w:pStyle w:val="43"/>
              <w:ind w:firstLine="360" w:firstLineChars="200"/>
              <w:jc w:val="both"/>
              <w:rPr>
                <w:rFonts w:ascii="Times New Roman" w:hAnsi="Times New Roman" w:cs="Times New Roman" w:eastAsiaTheme="minorEastAsia"/>
                <w:color w:val="FF0000"/>
                <w:sz w:val="21"/>
                <w:szCs w:val="21"/>
              </w:rPr>
            </w:pPr>
            <w:r>
              <w:rPr>
                <w:rStyle w:val="42"/>
                <w:rFonts w:hint="eastAsia" w:ascii="Times New Roman" w:hAnsi="Times New Roman" w:cs="Times New Roman"/>
                <w:color w:val="auto"/>
                <w:kern w:val="2"/>
                <w:sz w:val="18"/>
                <w:szCs w:val="18"/>
              </w:rPr>
              <w:t>注：相对坐标以</w:t>
            </w:r>
            <w:r>
              <w:rPr>
                <w:rStyle w:val="42"/>
                <w:rFonts w:hint="eastAsia" w:ascii="Times New Roman" w:hAnsi="Times New Roman" w:cs="Times New Roman"/>
                <w:color w:val="auto"/>
                <w:kern w:val="2"/>
                <w:sz w:val="18"/>
                <w:szCs w:val="18"/>
                <w:lang w:val="en-US" w:eastAsia="zh-CN"/>
              </w:rPr>
              <w:t>生产厂房</w:t>
            </w:r>
            <w:r>
              <w:rPr>
                <w:rFonts w:hint="eastAsia"/>
                <w:color w:val="auto"/>
                <w:sz w:val="18"/>
                <w:szCs w:val="18"/>
              </w:rPr>
              <w:t>西南角为原点（</w:t>
            </w:r>
            <w:r>
              <w:rPr>
                <w:rFonts w:hint="eastAsia" w:ascii="Times New Roman" w:hAnsi="Times New Roman" w:cs="Times New Roman" w:eastAsiaTheme="minorEastAsia"/>
                <w:color w:val="auto"/>
                <w:kern w:val="2"/>
                <w:sz w:val="18"/>
                <w:szCs w:val="18"/>
              </w:rPr>
              <w:t>0</w:t>
            </w:r>
            <w:r>
              <w:rPr>
                <w:rFonts w:hint="eastAsia" w:ascii="Times New Roman" w:hAnsi="Times New Roman" w:cs="Times New Roman" w:eastAsiaTheme="minorEastAsia"/>
                <w:color w:val="auto"/>
                <w:kern w:val="2"/>
                <w:sz w:val="18"/>
                <w:szCs w:val="18"/>
                <w:lang w:eastAsia="zh-CN"/>
              </w:rPr>
              <w:t>，</w:t>
            </w:r>
            <w:r>
              <w:rPr>
                <w:rFonts w:hint="eastAsia" w:ascii="Times New Roman" w:hAnsi="Times New Roman" w:cs="Times New Roman" w:eastAsiaTheme="minorEastAsia"/>
                <w:color w:val="auto"/>
                <w:kern w:val="2"/>
                <w:sz w:val="18"/>
                <w:szCs w:val="18"/>
                <w:lang w:val="en-US" w:eastAsia="zh-CN"/>
              </w:rPr>
              <w:t>0</w:t>
            </w:r>
            <w:r>
              <w:rPr>
                <w:rFonts w:hint="eastAsia"/>
                <w:color w:val="auto"/>
                <w:sz w:val="18"/>
                <w:szCs w:val="18"/>
              </w:rPr>
              <w:t>）。</w:t>
            </w:r>
          </w:p>
        </w:tc>
      </w:tr>
    </w:tbl>
    <w:p w14:paraId="6FDAD7FF">
      <w:pPr>
        <w:adjustRightInd w:val="0"/>
        <w:snapToGrid w:val="0"/>
        <w:rPr>
          <w:rFonts w:ascii="宋体" w:hAnsi="宋体" w:cs="宋体"/>
          <w:b/>
          <w:bCs/>
          <w:color w:val="FF0000"/>
          <w:kern w:val="0"/>
          <w:sz w:val="24"/>
          <w:szCs w:val="24"/>
        </w:rPr>
        <w:sectPr>
          <w:pgSz w:w="16838" w:h="11906" w:orient="landscape"/>
          <w:pgMar w:top="1803" w:right="1276" w:bottom="1803" w:left="1713" w:header="851" w:footer="992" w:gutter="0"/>
          <w:pgBorders>
            <w:top w:val="none" w:sz="0" w:space="0"/>
            <w:left w:val="none" w:sz="0" w:space="0"/>
            <w:bottom w:val="none" w:sz="0" w:space="0"/>
            <w:right w:val="none" w:sz="0" w:space="0"/>
          </w:pgBorders>
          <w:pgNumType w:fmt="decimal"/>
          <w:cols w:space="0" w:num="1"/>
          <w:docGrid w:type="lines" w:linePitch="319" w:charSpace="0"/>
        </w:sectPr>
      </w:pPr>
    </w:p>
    <w:tbl>
      <w:tblPr>
        <w:tblStyle w:val="35"/>
        <w:tblW w:w="90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7"/>
        <w:gridCol w:w="8612"/>
      </w:tblGrid>
      <w:tr w14:paraId="46B15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457" w:type="dxa"/>
            <w:tcMar>
              <w:left w:w="28" w:type="dxa"/>
              <w:right w:w="28" w:type="dxa"/>
            </w:tcMar>
            <w:vAlign w:val="center"/>
          </w:tcPr>
          <w:p w14:paraId="4C35C745">
            <w:pPr>
              <w:adjustRightInd w:val="0"/>
              <w:snapToGrid w:val="0"/>
              <w:jc w:val="center"/>
              <w:rPr>
                <w:rFonts w:ascii="宋体" w:hAnsi="宋体" w:cs="宋体"/>
                <w:b/>
                <w:bCs/>
                <w:color w:val="FF0000"/>
                <w:kern w:val="0"/>
                <w:szCs w:val="21"/>
              </w:rPr>
            </w:pPr>
            <w:r>
              <w:rPr>
                <w:rFonts w:hint="eastAsia" w:ascii="宋体" w:hAnsi="宋体" w:cs="宋体"/>
                <w:b/>
                <w:bCs/>
                <w:color w:val="auto"/>
                <w:kern w:val="0"/>
                <w:sz w:val="24"/>
                <w:szCs w:val="24"/>
              </w:rPr>
              <w:t>环境质量标准</w:t>
            </w:r>
          </w:p>
        </w:tc>
        <w:tc>
          <w:tcPr>
            <w:tcW w:w="8612" w:type="dxa"/>
            <w:vAlign w:val="center"/>
          </w:tcPr>
          <w:p w14:paraId="0D621CA9">
            <w:pPr>
              <w:tabs>
                <w:tab w:val="left" w:pos="5142"/>
              </w:tabs>
              <w:snapToGrid w:val="0"/>
              <w:spacing w:line="360" w:lineRule="auto"/>
              <w:ind w:firstLine="480" w:firstLineChars="200"/>
              <w:rPr>
                <w:rFonts w:eastAsiaTheme="minorEastAsia"/>
                <w:color w:val="auto"/>
                <w:sz w:val="24"/>
              </w:rPr>
            </w:pPr>
            <w:r>
              <w:rPr>
                <w:rFonts w:eastAsiaTheme="minorEastAsia"/>
                <w:color w:val="auto"/>
                <w:sz w:val="24"/>
              </w:rPr>
              <w:t>1、大气</w:t>
            </w:r>
            <w:r>
              <w:rPr>
                <w:rFonts w:eastAsiaTheme="minorEastAsia"/>
                <w:color w:val="auto"/>
                <w:sz w:val="24"/>
                <w:szCs w:val="24"/>
              </w:rPr>
              <w:t>环</w:t>
            </w:r>
            <w:r>
              <w:rPr>
                <w:rFonts w:eastAsiaTheme="minorEastAsia"/>
                <w:color w:val="auto"/>
                <w:sz w:val="24"/>
              </w:rPr>
              <w:t>境质量标准</w:t>
            </w:r>
          </w:p>
          <w:p w14:paraId="08420633">
            <w:pPr>
              <w:tabs>
                <w:tab w:val="left" w:pos="5142"/>
              </w:tabs>
              <w:snapToGrid w:val="0"/>
              <w:spacing w:line="360" w:lineRule="auto"/>
              <w:ind w:firstLine="480" w:firstLineChars="200"/>
              <w:rPr>
                <w:rFonts w:eastAsiaTheme="minorEastAsia"/>
                <w:color w:val="auto"/>
                <w:sz w:val="24"/>
              </w:rPr>
            </w:pPr>
            <w:r>
              <w:rPr>
                <w:rFonts w:eastAsiaTheme="minorEastAsia"/>
                <w:color w:val="auto"/>
                <w:sz w:val="24"/>
                <w:szCs w:val="24"/>
              </w:rPr>
              <w:t>根据《常州市环境空气质量功能区划分规定（2017）》（常政办发〔2017〕160号），项目所在地空气质量功能区为二类区。基本大气污染物执行《环境空气质量标准》（GB3095-20</w:t>
            </w:r>
            <w:r>
              <w:rPr>
                <w:rFonts w:hint="eastAsia" w:eastAsiaTheme="minorEastAsia"/>
                <w:color w:val="auto"/>
                <w:sz w:val="24"/>
                <w:szCs w:val="24"/>
                <w:lang w:val="en-US" w:eastAsia="zh-CN"/>
              </w:rPr>
              <w:t>26</w:t>
            </w:r>
            <w:r>
              <w:rPr>
                <w:rFonts w:eastAsiaTheme="minorEastAsia"/>
                <w:color w:val="auto"/>
                <w:sz w:val="24"/>
                <w:szCs w:val="24"/>
              </w:rPr>
              <w:t>）中</w:t>
            </w:r>
            <w:r>
              <w:rPr>
                <w:rFonts w:hint="eastAsia" w:eastAsiaTheme="minorEastAsia"/>
                <w:color w:val="auto"/>
                <w:sz w:val="24"/>
                <w:szCs w:val="24"/>
                <w:lang w:val="en-US" w:eastAsia="zh-CN"/>
              </w:rPr>
              <w:t>过渡阶段浓度限值</w:t>
            </w:r>
            <w:r>
              <w:rPr>
                <w:rFonts w:eastAsiaTheme="minorEastAsia"/>
                <w:color w:val="auto"/>
                <w:sz w:val="24"/>
                <w:szCs w:val="24"/>
              </w:rPr>
              <w:t>二级标准；非甲烷总烃执行《大气污染物综合排放标准详解》中有关规定标准。</w:t>
            </w:r>
          </w:p>
          <w:p w14:paraId="587FD253">
            <w:pPr>
              <w:snapToGrid w:val="0"/>
              <w:spacing w:line="324" w:lineRule="auto"/>
              <w:jc w:val="center"/>
              <w:rPr>
                <w:rFonts w:eastAsiaTheme="minorEastAsia"/>
                <w:b/>
                <w:color w:val="auto"/>
                <w:kern w:val="0"/>
                <w:szCs w:val="21"/>
                <w:vertAlign w:val="superscript"/>
              </w:rPr>
            </w:pPr>
            <w:r>
              <w:rPr>
                <w:rFonts w:eastAsiaTheme="minorEastAsia"/>
                <w:b/>
                <w:color w:val="auto"/>
                <w:kern w:val="0"/>
                <w:sz w:val="24"/>
                <w:szCs w:val="28"/>
              </w:rPr>
              <w:t>表</w:t>
            </w:r>
            <w:r>
              <w:rPr>
                <w:rFonts w:hint="eastAsia" w:eastAsiaTheme="minorEastAsia"/>
                <w:b/>
                <w:color w:val="auto"/>
                <w:kern w:val="0"/>
                <w:sz w:val="24"/>
                <w:szCs w:val="28"/>
              </w:rPr>
              <w:t>3</w:t>
            </w:r>
            <w:r>
              <w:rPr>
                <w:rFonts w:eastAsiaTheme="minorEastAsia"/>
                <w:b/>
                <w:color w:val="auto"/>
                <w:kern w:val="0"/>
                <w:sz w:val="24"/>
                <w:szCs w:val="28"/>
              </w:rPr>
              <w:t>-</w:t>
            </w:r>
            <w:r>
              <w:rPr>
                <w:rFonts w:hint="eastAsia" w:eastAsiaTheme="minorEastAsia"/>
                <w:b/>
                <w:color w:val="auto"/>
                <w:kern w:val="0"/>
                <w:sz w:val="24"/>
                <w:szCs w:val="28"/>
                <w:lang w:val="en-US" w:eastAsia="zh-CN"/>
              </w:rPr>
              <w:t>3</w:t>
            </w:r>
            <w:r>
              <w:rPr>
                <w:rFonts w:eastAsiaTheme="minorEastAsia"/>
                <w:b/>
                <w:color w:val="auto"/>
                <w:sz w:val="24"/>
              </w:rPr>
              <w:t>环境空气质量标准</w:t>
            </w:r>
            <w:r>
              <w:rPr>
                <w:rFonts w:eastAsiaTheme="minorEastAsia"/>
                <w:b/>
                <w:color w:val="auto"/>
                <w:kern w:val="0"/>
                <w:sz w:val="24"/>
                <w:szCs w:val="28"/>
              </w:rPr>
              <w:t>限值</w:t>
            </w:r>
          </w:p>
          <w:tbl>
            <w:tblPr>
              <w:tblStyle w:val="35"/>
              <w:tblW w:w="50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573"/>
              <w:gridCol w:w="1349"/>
              <w:gridCol w:w="869"/>
              <w:gridCol w:w="3340"/>
            </w:tblGrid>
            <w:tr w14:paraId="3908A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773" w:type="pct"/>
                  <w:vAlign w:val="center"/>
                </w:tcPr>
                <w:p w14:paraId="19812BAF">
                  <w:pPr>
                    <w:jc w:val="center"/>
                    <w:rPr>
                      <w:rFonts w:eastAsiaTheme="minorEastAsia"/>
                      <w:b/>
                      <w:color w:val="auto"/>
                      <w:szCs w:val="21"/>
                    </w:rPr>
                  </w:pPr>
                  <w:r>
                    <w:rPr>
                      <w:rFonts w:eastAsiaTheme="minorEastAsia"/>
                      <w:b/>
                      <w:color w:val="auto"/>
                      <w:szCs w:val="21"/>
                    </w:rPr>
                    <w:t>评价因子</w:t>
                  </w:r>
                </w:p>
              </w:tc>
              <w:tc>
                <w:tcPr>
                  <w:tcW w:w="932" w:type="pct"/>
                  <w:vAlign w:val="center"/>
                </w:tcPr>
                <w:p w14:paraId="5E5B3C5A">
                  <w:pPr>
                    <w:jc w:val="center"/>
                    <w:rPr>
                      <w:rFonts w:eastAsiaTheme="minorEastAsia"/>
                      <w:b/>
                      <w:color w:val="auto"/>
                      <w:szCs w:val="21"/>
                    </w:rPr>
                  </w:pPr>
                  <w:r>
                    <w:rPr>
                      <w:rFonts w:eastAsiaTheme="minorEastAsia"/>
                      <w:b/>
                      <w:color w:val="auto"/>
                      <w:szCs w:val="21"/>
                    </w:rPr>
                    <w:t>评价时段</w:t>
                  </w:r>
                </w:p>
              </w:tc>
              <w:tc>
                <w:tcPr>
                  <w:tcW w:w="799" w:type="pct"/>
                  <w:vAlign w:val="center"/>
                </w:tcPr>
                <w:p w14:paraId="1287A3A3">
                  <w:pPr>
                    <w:jc w:val="center"/>
                    <w:rPr>
                      <w:rFonts w:eastAsiaTheme="minorEastAsia"/>
                      <w:b/>
                      <w:color w:val="auto"/>
                      <w:szCs w:val="21"/>
                    </w:rPr>
                  </w:pPr>
                  <w:r>
                    <w:rPr>
                      <w:rFonts w:eastAsiaTheme="minorEastAsia"/>
                      <w:b/>
                      <w:color w:val="auto"/>
                      <w:szCs w:val="21"/>
                    </w:rPr>
                    <w:t>标准值</w:t>
                  </w:r>
                </w:p>
              </w:tc>
              <w:tc>
                <w:tcPr>
                  <w:tcW w:w="514" w:type="pct"/>
                  <w:vAlign w:val="center"/>
                </w:tcPr>
                <w:p w14:paraId="4463B5C4">
                  <w:pPr>
                    <w:jc w:val="center"/>
                    <w:rPr>
                      <w:rFonts w:eastAsiaTheme="minorEastAsia"/>
                      <w:b/>
                      <w:color w:val="auto"/>
                      <w:szCs w:val="21"/>
                    </w:rPr>
                  </w:pPr>
                  <w:r>
                    <w:rPr>
                      <w:rFonts w:eastAsiaTheme="minorEastAsia"/>
                      <w:b/>
                      <w:color w:val="auto"/>
                      <w:szCs w:val="21"/>
                    </w:rPr>
                    <w:t>单位</w:t>
                  </w:r>
                </w:p>
              </w:tc>
              <w:tc>
                <w:tcPr>
                  <w:tcW w:w="1979" w:type="pct"/>
                  <w:vAlign w:val="center"/>
                </w:tcPr>
                <w:p w14:paraId="0FDBC5D0">
                  <w:pPr>
                    <w:jc w:val="center"/>
                    <w:rPr>
                      <w:rFonts w:eastAsiaTheme="minorEastAsia"/>
                      <w:b/>
                      <w:color w:val="auto"/>
                      <w:szCs w:val="21"/>
                    </w:rPr>
                  </w:pPr>
                  <w:r>
                    <w:rPr>
                      <w:rFonts w:eastAsiaTheme="minorEastAsia"/>
                      <w:b/>
                      <w:color w:val="auto"/>
                      <w:szCs w:val="21"/>
                    </w:rPr>
                    <w:t>标准来源</w:t>
                  </w:r>
                </w:p>
              </w:tc>
            </w:tr>
            <w:tr w14:paraId="56361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773" w:type="pct"/>
                  <w:vMerge w:val="restart"/>
                  <w:vAlign w:val="center"/>
                </w:tcPr>
                <w:p w14:paraId="0A02B535">
                  <w:pPr>
                    <w:pStyle w:val="56"/>
                    <w:spacing w:before="156" w:after="156"/>
                    <w:rPr>
                      <w:rFonts w:ascii="Times New Roman" w:hAnsi="Times New Roman" w:eastAsiaTheme="minorEastAsia"/>
                      <w:color w:val="auto"/>
                    </w:rPr>
                  </w:pPr>
                  <w:r>
                    <w:rPr>
                      <w:rFonts w:ascii="Times New Roman" w:hAnsi="Times New Roman" w:eastAsiaTheme="minorEastAsia"/>
                      <w:color w:val="auto"/>
                    </w:rPr>
                    <w:t>SO</w:t>
                  </w:r>
                  <w:r>
                    <w:rPr>
                      <w:rFonts w:ascii="Times New Roman" w:hAnsi="Times New Roman" w:eastAsiaTheme="minorEastAsia"/>
                      <w:color w:val="auto"/>
                      <w:vertAlign w:val="subscript"/>
                    </w:rPr>
                    <w:t>2</w:t>
                  </w:r>
                </w:p>
              </w:tc>
              <w:tc>
                <w:tcPr>
                  <w:tcW w:w="932" w:type="pct"/>
                  <w:vAlign w:val="center"/>
                </w:tcPr>
                <w:p w14:paraId="25318556">
                  <w:pPr>
                    <w:jc w:val="center"/>
                    <w:rPr>
                      <w:rFonts w:eastAsiaTheme="minorEastAsia"/>
                      <w:color w:val="auto"/>
                      <w:szCs w:val="21"/>
                    </w:rPr>
                  </w:pPr>
                  <w:r>
                    <w:rPr>
                      <w:rFonts w:eastAsiaTheme="minorEastAsia"/>
                      <w:color w:val="auto"/>
                      <w:szCs w:val="21"/>
                    </w:rPr>
                    <w:t>年平均</w:t>
                  </w:r>
                </w:p>
              </w:tc>
              <w:tc>
                <w:tcPr>
                  <w:tcW w:w="799" w:type="pct"/>
                  <w:vAlign w:val="center"/>
                </w:tcPr>
                <w:p w14:paraId="094F0697">
                  <w:pPr>
                    <w:jc w:val="center"/>
                    <w:rPr>
                      <w:rFonts w:eastAsiaTheme="minorEastAsia"/>
                      <w:color w:val="auto"/>
                      <w:szCs w:val="21"/>
                    </w:rPr>
                  </w:pPr>
                  <w:r>
                    <w:rPr>
                      <w:rFonts w:eastAsiaTheme="minorEastAsia"/>
                      <w:color w:val="auto"/>
                      <w:szCs w:val="21"/>
                    </w:rPr>
                    <w:t>60</w:t>
                  </w:r>
                </w:p>
              </w:tc>
              <w:tc>
                <w:tcPr>
                  <w:tcW w:w="514" w:type="pct"/>
                  <w:vMerge w:val="restart"/>
                  <w:vAlign w:val="center"/>
                </w:tcPr>
                <w:p w14:paraId="48825158">
                  <w:pPr>
                    <w:pStyle w:val="53"/>
                    <w:ind w:left="46" w:leftChars="22"/>
                    <w:rPr>
                      <w:rFonts w:eastAsiaTheme="minorEastAsia"/>
                      <w:color w:val="auto"/>
                      <w:kern w:val="0"/>
                      <w:sz w:val="21"/>
                      <w:szCs w:val="21"/>
                    </w:rPr>
                  </w:pPr>
                  <w:r>
                    <w:rPr>
                      <w:rFonts w:eastAsiaTheme="minorEastAsia"/>
                      <w:color w:val="auto"/>
                      <w:kern w:val="0"/>
                      <w:sz w:val="21"/>
                      <w:szCs w:val="21"/>
                    </w:rPr>
                    <w:t>μg/m</w:t>
                  </w:r>
                  <w:r>
                    <w:rPr>
                      <w:rFonts w:eastAsiaTheme="minorEastAsia"/>
                      <w:color w:val="auto"/>
                      <w:kern w:val="0"/>
                      <w:sz w:val="21"/>
                      <w:szCs w:val="21"/>
                      <w:vertAlign w:val="superscript"/>
                    </w:rPr>
                    <w:t>3</w:t>
                  </w:r>
                </w:p>
              </w:tc>
              <w:tc>
                <w:tcPr>
                  <w:tcW w:w="1979" w:type="pct"/>
                  <w:vMerge w:val="restart"/>
                  <w:vAlign w:val="center"/>
                </w:tcPr>
                <w:p w14:paraId="35D9D45C">
                  <w:pPr>
                    <w:jc w:val="center"/>
                    <w:rPr>
                      <w:rFonts w:eastAsiaTheme="minorEastAsia"/>
                      <w:color w:val="auto"/>
                      <w:szCs w:val="21"/>
                    </w:rPr>
                  </w:pPr>
                  <w:r>
                    <w:rPr>
                      <w:rFonts w:eastAsiaTheme="minorEastAsia"/>
                      <w:color w:val="auto"/>
                      <w:szCs w:val="21"/>
                    </w:rPr>
                    <w:t>《环境空气质量标准》（GB3095-20</w:t>
                  </w:r>
                  <w:r>
                    <w:rPr>
                      <w:rFonts w:hint="eastAsia" w:eastAsiaTheme="minorEastAsia"/>
                      <w:color w:val="auto"/>
                      <w:szCs w:val="21"/>
                      <w:lang w:val="en-US" w:eastAsia="zh-CN"/>
                    </w:rPr>
                    <w:t>26</w:t>
                  </w:r>
                  <w:r>
                    <w:rPr>
                      <w:rFonts w:eastAsiaTheme="minorEastAsia"/>
                      <w:color w:val="auto"/>
                      <w:szCs w:val="21"/>
                    </w:rPr>
                    <w:t>）中</w:t>
                  </w:r>
                  <w:r>
                    <w:rPr>
                      <w:rFonts w:hint="eastAsia" w:eastAsiaTheme="minorEastAsia"/>
                      <w:color w:val="auto"/>
                      <w:szCs w:val="21"/>
                      <w:lang w:val="en-US" w:eastAsia="zh-CN"/>
                    </w:rPr>
                    <w:t>过渡阶段浓度限值</w:t>
                  </w:r>
                  <w:r>
                    <w:rPr>
                      <w:rFonts w:eastAsiaTheme="minorEastAsia"/>
                      <w:color w:val="auto"/>
                      <w:szCs w:val="21"/>
                    </w:rPr>
                    <w:t>二级标准</w:t>
                  </w:r>
                </w:p>
              </w:tc>
            </w:tr>
            <w:tr w14:paraId="70084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773" w:type="pct"/>
                  <w:vMerge w:val="continue"/>
                  <w:vAlign w:val="center"/>
                </w:tcPr>
                <w:p w14:paraId="1F23388A">
                  <w:pPr>
                    <w:pStyle w:val="53"/>
                    <w:rPr>
                      <w:rFonts w:eastAsiaTheme="minorEastAsia"/>
                      <w:color w:val="auto"/>
                      <w:kern w:val="0"/>
                      <w:sz w:val="21"/>
                      <w:szCs w:val="21"/>
                    </w:rPr>
                  </w:pPr>
                </w:p>
              </w:tc>
              <w:tc>
                <w:tcPr>
                  <w:tcW w:w="932" w:type="pct"/>
                  <w:vAlign w:val="center"/>
                </w:tcPr>
                <w:p w14:paraId="6CA2585F">
                  <w:pPr>
                    <w:jc w:val="center"/>
                    <w:rPr>
                      <w:rFonts w:eastAsiaTheme="minorEastAsia"/>
                      <w:color w:val="auto"/>
                      <w:szCs w:val="21"/>
                    </w:rPr>
                  </w:pPr>
                  <w:r>
                    <w:rPr>
                      <w:rFonts w:eastAsiaTheme="minorEastAsia"/>
                      <w:color w:val="auto"/>
                      <w:szCs w:val="21"/>
                    </w:rPr>
                    <w:t>24小时平均</w:t>
                  </w:r>
                </w:p>
              </w:tc>
              <w:tc>
                <w:tcPr>
                  <w:tcW w:w="799" w:type="pct"/>
                  <w:vAlign w:val="center"/>
                </w:tcPr>
                <w:p w14:paraId="166E8E17">
                  <w:pPr>
                    <w:jc w:val="center"/>
                    <w:rPr>
                      <w:rFonts w:eastAsiaTheme="minorEastAsia"/>
                      <w:color w:val="auto"/>
                      <w:szCs w:val="21"/>
                    </w:rPr>
                  </w:pPr>
                  <w:r>
                    <w:rPr>
                      <w:rFonts w:eastAsiaTheme="minorEastAsia"/>
                      <w:color w:val="auto"/>
                      <w:szCs w:val="21"/>
                    </w:rPr>
                    <w:t>150</w:t>
                  </w:r>
                </w:p>
              </w:tc>
              <w:tc>
                <w:tcPr>
                  <w:tcW w:w="514" w:type="pct"/>
                  <w:vMerge w:val="continue"/>
                  <w:vAlign w:val="center"/>
                </w:tcPr>
                <w:p w14:paraId="03D0C8B4">
                  <w:pPr>
                    <w:pStyle w:val="53"/>
                    <w:rPr>
                      <w:rFonts w:eastAsiaTheme="minorEastAsia"/>
                      <w:color w:val="auto"/>
                      <w:kern w:val="0"/>
                      <w:sz w:val="21"/>
                      <w:szCs w:val="21"/>
                    </w:rPr>
                  </w:pPr>
                </w:p>
              </w:tc>
              <w:tc>
                <w:tcPr>
                  <w:tcW w:w="1979" w:type="pct"/>
                  <w:vMerge w:val="continue"/>
                  <w:vAlign w:val="center"/>
                </w:tcPr>
                <w:p w14:paraId="7C6987DE">
                  <w:pPr>
                    <w:jc w:val="center"/>
                    <w:rPr>
                      <w:rFonts w:eastAsiaTheme="minorEastAsia"/>
                      <w:color w:val="auto"/>
                      <w:szCs w:val="21"/>
                    </w:rPr>
                  </w:pPr>
                </w:p>
              </w:tc>
            </w:tr>
            <w:tr w14:paraId="7F9ACF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773" w:type="pct"/>
                  <w:vMerge w:val="continue"/>
                  <w:vAlign w:val="center"/>
                </w:tcPr>
                <w:p w14:paraId="6A8E7017">
                  <w:pPr>
                    <w:pStyle w:val="53"/>
                    <w:rPr>
                      <w:rFonts w:eastAsiaTheme="minorEastAsia"/>
                      <w:color w:val="auto"/>
                      <w:kern w:val="0"/>
                      <w:sz w:val="21"/>
                      <w:szCs w:val="21"/>
                    </w:rPr>
                  </w:pPr>
                </w:p>
              </w:tc>
              <w:tc>
                <w:tcPr>
                  <w:tcW w:w="932" w:type="pct"/>
                  <w:vAlign w:val="center"/>
                </w:tcPr>
                <w:p w14:paraId="763FAB87">
                  <w:pPr>
                    <w:jc w:val="center"/>
                    <w:rPr>
                      <w:rFonts w:eastAsiaTheme="minorEastAsia"/>
                      <w:color w:val="auto"/>
                      <w:szCs w:val="21"/>
                    </w:rPr>
                  </w:pPr>
                  <w:r>
                    <w:rPr>
                      <w:rFonts w:eastAsiaTheme="minorEastAsia"/>
                      <w:color w:val="auto"/>
                      <w:szCs w:val="21"/>
                    </w:rPr>
                    <w:t>1小时平均</w:t>
                  </w:r>
                </w:p>
              </w:tc>
              <w:tc>
                <w:tcPr>
                  <w:tcW w:w="799" w:type="pct"/>
                  <w:vAlign w:val="center"/>
                </w:tcPr>
                <w:p w14:paraId="13183E84">
                  <w:pPr>
                    <w:jc w:val="center"/>
                    <w:rPr>
                      <w:rFonts w:eastAsiaTheme="minorEastAsia"/>
                      <w:color w:val="auto"/>
                      <w:szCs w:val="21"/>
                    </w:rPr>
                  </w:pPr>
                  <w:r>
                    <w:rPr>
                      <w:rFonts w:eastAsiaTheme="minorEastAsia"/>
                      <w:color w:val="auto"/>
                      <w:szCs w:val="21"/>
                    </w:rPr>
                    <w:t>500</w:t>
                  </w:r>
                </w:p>
              </w:tc>
              <w:tc>
                <w:tcPr>
                  <w:tcW w:w="514" w:type="pct"/>
                  <w:vMerge w:val="continue"/>
                  <w:vAlign w:val="center"/>
                </w:tcPr>
                <w:p w14:paraId="2E1CB96B">
                  <w:pPr>
                    <w:pStyle w:val="53"/>
                    <w:rPr>
                      <w:rFonts w:eastAsiaTheme="minorEastAsia"/>
                      <w:color w:val="auto"/>
                      <w:kern w:val="0"/>
                      <w:sz w:val="21"/>
                      <w:szCs w:val="21"/>
                    </w:rPr>
                  </w:pPr>
                </w:p>
              </w:tc>
              <w:tc>
                <w:tcPr>
                  <w:tcW w:w="1979" w:type="pct"/>
                  <w:vMerge w:val="continue"/>
                  <w:vAlign w:val="center"/>
                </w:tcPr>
                <w:p w14:paraId="58C4D4A7">
                  <w:pPr>
                    <w:jc w:val="center"/>
                    <w:rPr>
                      <w:rFonts w:eastAsiaTheme="minorEastAsia"/>
                      <w:color w:val="auto"/>
                      <w:szCs w:val="21"/>
                    </w:rPr>
                  </w:pPr>
                </w:p>
              </w:tc>
            </w:tr>
            <w:tr w14:paraId="29E67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773" w:type="pct"/>
                  <w:vMerge w:val="restart"/>
                  <w:vAlign w:val="center"/>
                </w:tcPr>
                <w:p w14:paraId="6E403509">
                  <w:pPr>
                    <w:pStyle w:val="53"/>
                    <w:rPr>
                      <w:rFonts w:eastAsiaTheme="minorEastAsia"/>
                      <w:color w:val="auto"/>
                      <w:kern w:val="0"/>
                      <w:sz w:val="21"/>
                      <w:szCs w:val="21"/>
                    </w:rPr>
                  </w:pPr>
                  <w:r>
                    <w:rPr>
                      <w:rFonts w:eastAsiaTheme="minorEastAsia"/>
                      <w:color w:val="auto"/>
                      <w:kern w:val="0"/>
                      <w:sz w:val="21"/>
                      <w:szCs w:val="21"/>
                    </w:rPr>
                    <w:t>NO</w:t>
                  </w:r>
                  <w:r>
                    <w:rPr>
                      <w:rFonts w:eastAsiaTheme="minorEastAsia"/>
                      <w:color w:val="auto"/>
                      <w:kern w:val="0"/>
                      <w:sz w:val="21"/>
                      <w:szCs w:val="21"/>
                      <w:vertAlign w:val="subscript"/>
                    </w:rPr>
                    <w:t>2</w:t>
                  </w:r>
                </w:p>
              </w:tc>
              <w:tc>
                <w:tcPr>
                  <w:tcW w:w="932" w:type="pct"/>
                  <w:vAlign w:val="center"/>
                </w:tcPr>
                <w:p w14:paraId="2C8524B6">
                  <w:pPr>
                    <w:jc w:val="center"/>
                    <w:rPr>
                      <w:rFonts w:eastAsiaTheme="minorEastAsia"/>
                      <w:color w:val="auto"/>
                      <w:szCs w:val="21"/>
                    </w:rPr>
                  </w:pPr>
                  <w:r>
                    <w:rPr>
                      <w:rFonts w:eastAsiaTheme="minorEastAsia"/>
                      <w:color w:val="auto"/>
                      <w:szCs w:val="21"/>
                    </w:rPr>
                    <w:t>年平均</w:t>
                  </w:r>
                </w:p>
              </w:tc>
              <w:tc>
                <w:tcPr>
                  <w:tcW w:w="799" w:type="pct"/>
                  <w:vAlign w:val="center"/>
                </w:tcPr>
                <w:p w14:paraId="68125531">
                  <w:pPr>
                    <w:jc w:val="center"/>
                    <w:rPr>
                      <w:rFonts w:eastAsiaTheme="minorEastAsia"/>
                      <w:color w:val="auto"/>
                      <w:szCs w:val="21"/>
                    </w:rPr>
                  </w:pPr>
                  <w:r>
                    <w:rPr>
                      <w:rFonts w:eastAsiaTheme="minorEastAsia"/>
                      <w:color w:val="auto"/>
                      <w:szCs w:val="21"/>
                    </w:rPr>
                    <w:t>40</w:t>
                  </w:r>
                </w:p>
              </w:tc>
              <w:tc>
                <w:tcPr>
                  <w:tcW w:w="514" w:type="pct"/>
                  <w:vMerge w:val="continue"/>
                  <w:vAlign w:val="center"/>
                </w:tcPr>
                <w:p w14:paraId="7C7A46EE">
                  <w:pPr>
                    <w:pStyle w:val="53"/>
                    <w:rPr>
                      <w:rFonts w:eastAsiaTheme="minorEastAsia"/>
                      <w:color w:val="auto"/>
                      <w:kern w:val="0"/>
                      <w:sz w:val="21"/>
                      <w:szCs w:val="21"/>
                    </w:rPr>
                  </w:pPr>
                </w:p>
              </w:tc>
              <w:tc>
                <w:tcPr>
                  <w:tcW w:w="1979" w:type="pct"/>
                  <w:vMerge w:val="continue"/>
                  <w:vAlign w:val="center"/>
                </w:tcPr>
                <w:p w14:paraId="5DA61A22">
                  <w:pPr>
                    <w:jc w:val="center"/>
                    <w:rPr>
                      <w:rFonts w:eastAsiaTheme="minorEastAsia"/>
                      <w:color w:val="auto"/>
                      <w:szCs w:val="21"/>
                    </w:rPr>
                  </w:pPr>
                </w:p>
              </w:tc>
            </w:tr>
            <w:tr w14:paraId="0ACA4A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773" w:type="pct"/>
                  <w:vMerge w:val="continue"/>
                  <w:vAlign w:val="center"/>
                </w:tcPr>
                <w:p w14:paraId="26F6FA00">
                  <w:pPr>
                    <w:pStyle w:val="53"/>
                    <w:rPr>
                      <w:rFonts w:eastAsiaTheme="minorEastAsia"/>
                      <w:color w:val="auto"/>
                      <w:kern w:val="0"/>
                      <w:sz w:val="21"/>
                      <w:szCs w:val="21"/>
                    </w:rPr>
                  </w:pPr>
                </w:p>
              </w:tc>
              <w:tc>
                <w:tcPr>
                  <w:tcW w:w="932" w:type="pct"/>
                  <w:vAlign w:val="center"/>
                </w:tcPr>
                <w:p w14:paraId="1C4F8DB7">
                  <w:pPr>
                    <w:jc w:val="center"/>
                    <w:rPr>
                      <w:rFonts w:eastAsiaTheme="minorEastAsia"/>
                      <w:color w:val="auto"/>
                      <w:szCs w:val="21"/>
                    </w:rPr>
                  </w:pPr>
                  <w:r>
                    <w:rPr>
                      <w:rFonts w:eastAsiaTheme="minorEastAsia"/>
                      <w:color w:val="auto"/>
                      <w:szCs w:val="21"/>
                    </w:rPr>
                    <w:t>24小时平均</w:t>
                  </w:r>
                </w:p>
              </w:tc>
              <w:tc>
                <w:tcPr>
                  <w:tcW w:w="799" w:type="pct"/>
                  <w:vAlign w:val="center"/>
                </w:tcPr>
                <w:p w14:paraId="5F0F6AED">
                  <w:pPr>
                    <w:jc w:val="center"/>
                    <w:rPr>
                      <w:rFonts w:eastAsiaTheme="minorEastAsia"/>
                      <w:color w:val="auto"/>
                      <w:szCs w:val="21"/>
                    </w:rPr>
                  </w:pPr>
                  <w:r>
                    <w:rPr>
                      <w:rFonts w:eastAsiaTheme="minorEastAsia"/>
                      <w:color w:val="auto"/>
                      <w:szCs w:val="21"/>
                    </w:rPr>
                    <w:t>80</w:t>
                  </w:r>
                </w:p>
              </w:tc>
              <w:tc>
                <w:tcPr>
                  <w:tcW w:w="514" w:type="pct"/>
                  <w:vMerge w:val="continue"/>
                  <w:vAlign w:val="center"/>
                </w:tcPr>
                <w:p w14:paraId="3F47165E">
                  <w:pPr>
                    <w:pStyle w:val="53"/>
                    <w:rPr>
                      <w:rFonts w:eastAsiaTheme="minorEastAsia"/>
                      <w:color w:val="auto"/>
                      <w:kern w:val="0"/>
                      <w:sz w:val="21"/>
                      <w:szCs w:val="21"/>
                    </w:rPr>
                  </w:pPr>
                </w:p>
              </w:tc>
              <w:tc>
                <w:tcPr>
                  <w:tcW w:w="1979" w:type="pct"/>
                  <w:vMerge w:val="continue"/>
                  <w:vAlign w:val="center"/>
                </w:tcPr>
                <w:p w14:paraId="0B300714">
                  <w:pPr>
                    <w:jc w:val="center"/>
                    <w:rPr>
                      <w:rFonts w:eastAsiaTheme="minorEastAsia"/>
                      <w:color w:val="auto"/>
                      <w:szCs w:val="21"/>
                    </w:rPr>
                  </w:pPr>
                </w:p>
              </w:tc>
            </w:tr>
            <w:tr w14:paraId="45A05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206" w:hRule="atLeast"/>
                <w:jc w:val="center"/>
              </w:trPr>
              <w:tc>
                <w:tcPr>
                  <w:tcW w:w="773" w:type="pct"/>
                  <w:vMerge w:val="continue"/>
                  <w:vAlign w:val="center"/>
                </w:tcPr>
                <w:p w14:paraId="39E87CB1">
                  <w:pPr>
                    <w:pStyle w:val="53"/>
                    <w:rPr>
                      <w:rFonts w:eastAsiaTheme="minorEastAsia"/>
                      <w:color w:val="auto"/>
                      <w:kern w:val="0"/>
                      <w:sz w:val="21"/>
                      <w:szCs w:val="21"/>
                    </w:rPr>
                  </w:pPr>
                </w:p>
              </w:tc>
              <w:tc>
                <w:tcPr>
                  <w:tcW w:w="932" w:type="pct"/>
                  <w:vAlign w:val="center"/>
                </w:tcPr>
                <w:p w14:paraId="0E255410">
                  <w:pPr>
                    <w:jc w:val="center"/>
                    <w:rPr>
                      <w:rFonts w:eastAsiaTheme="minorEastAsia"/>
                      <w:color w:val="auto"/>
                      <w:szCs w:val="21"/>
                    </w:rPr>
                  </w:pPr>
                  <w:r>
                    <w:rPr>
                      <w:rFonts w:eastAsiaTheme="minorEastAsia"/>
                      <w:color w:val="auto"/>
                      <w:szCs w:val="21"/>
                    </w:rPr>
                    <w:t>1小时平均</w:t>
                  </w:r>
                </w:p>
              </w:tc>
              <w:tc>
                <w:tcPr>
                  <w:tcW w:w="799" w:type="pct"/>
                  <w:vAlign w:val="center"/>
                </w:tcPr>
                <w:p w14:paraId="70B599FE">
                  <w:pPr>
                    <w:jc w:val="center"/>
                    <w:rPr>
                      <w:rFonts w:eastAsiaTheme="minorEastAsia"/>
                      <w:color w:val="auto"/>
                      <w:szCs w:val="21"/>
                    </w:rPr>
                  </w:pPr>
                  <w:r>
                    <w:rPr>
                      <w:rFonts w:eastAsiaTheme="minorEastAsia"/>
                      <w:color w:val="auto"/>
                      <w:szCs w:val="21"/>
                    </w:rPr>
                    <w:t>200</w:t>
                  </w:r>
                </w:p>
              </w:tc>
              <w:tc>
                <w:tcPr>
                  <w:tcW w:w="514" w:type="pct"/>
                  <w:vMerge w:val="continue"/>
                  <w:vAlign w:val="center"/>
                </w:tcPr>
                <w:p w14:paraId="209BE6D5">
                  <w:pPr>
                    <w:pStyle w:val="53"/>
                    <w:rPr>
                      <w:rFonts w:eastAsiaTheme="minorEastAsia"/>
                      <w:color w:val="auto"/>
                      <w:kern w:val="0"/>
                      <w:sz w:val="21"/>
                      <w:szCs w:val="21"/>
                    </w:rPr>
                  </w:pPr>
                </w:p>
              </w:tc>
              <w:tc>
                <w:tcPr>
                  <w:tcW w:w="1979" w:type="pct"/>
                  <w:vMerge w:val="continue"/>
                  <w:vAlign w:val="center"/>
                </w:tcPr>
                <w:p w14:paraId="69FBAA7A">
                  <w:pPr>
                    <w:jc w:val="center"/>
                    <w:rPr>
                      <w:rFonts w:eastAsiaTheme="minorEastAsia"/>
                      <w:color w:val="auto"/>
                      <w:szCs w:val="21"/>
                    </w:rPr>
                  </w:pPr>
                </w:p>
              </w:tc>
            </w:tr>
            <w:tr w14:paraId="10D3F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773" w:type="pct"/>
                  <w:vMerge w:val="restart"/>
                  <w:vAlign w:val="center"/>
                </w:tcPr>
                <w:p w14:paraId="3343D63A">
                  <w:pPr>
                    <w:pStyle w:val="53"/>
                    <w:rPr>
                      <w:rFonts w:eastAsiaTheme="minorEastAsia"/>
                      <w:color w:val="auto"/>
                      <w:kern w:val="0"/>
                      <w:sz w:val="21"/>
                      <w:szCs w:val="21"/>
                    </w:rPr>
                  </w:pPr>
                  <w:r>
                    <w:rPr>
                      <w:rFonts w:eastAsiaTheme="minorEastAsia"/>
                      <w:color w:val="auto"/>
                      <w:kern w:val="0"/>
                      <w:sz w:val="21"/>
                      <w:szCs w:val="21"/>
                    </w:rPr>
                    <w:t>PM</w:t>
                  </w:r>
                  <w:r>
                    <w:rPr>
                      <w:rFonts w:eastAsiaTheme="minorEastAsia"/>
                      <w:color w:val="auto"/>
                      <w:kern w:val="0"/>
                      <w:sz w:val="21"/>
                      <w:szCs w:val="21"/>
                      <w:vertAlign w:val="subscript"/>
                    </w:rPr>
                    <w:t>10</w:t>
                  </w:r>
                </w:p>
              </w:tc>
              <w:tc>
                <w:tcPr>
                  <w:tcW w:w="932" w:type="pct"/>
                  <w:vAlign w:val="center"/>
                </w:tcPr>
                <w:p w14:paraId="678761C7">
                  <w:pPr>
                    <w:jc w:val="center"/>
                    <w:rPr>
                      <w:rFonts w:eastAsiaTheme="minorEastAsia"/>
                      <w:color w:val="auto"/>
                      <w:szCs w:val="21"/>
                    </w:rPr>
                  </w:pPr>
                  <w:r>
                    <w:rPr>
                      <w:rFonts w:eastAsiaTheme="minorEastAsia"/>
                      <w:color w:val="auto"/>
                      <w:szCs w:val="21"/>
                    </w:rPr>
                    <w:t>年平均</w:t>
                  </w:r>
                </w:p>
              </w:tc>
              <w:tc>
                <w:tcPr>
                  <w:tcW w:w="799" w:type="pct"/>
                  <w:vAlign w:val="center"/>
                </w:tcPr>
                <w:p w14:paraId="1B8BF870">
                  <w:pPr>
                    <w:jc w:val="center"/>
                    <w:rPr>
                      <w:rFonts w:hint="default" w:eastAsiaTheme="minorEastAsia"/>
                      <w:color w:val="auto"/>
                      <w:szCs w:val="21"/>
                      <w:lang w:val="en-US" w:eastAsia="zh-CN"/>
                    </w:rPr>
                  </w:pPr>
                  <w:r>
                    <w:rPr>
                      <w:rFonts w:hint="eastAsia" w:eastAsiaTheme="minorEastAsia"/>
                      <w:color w:val="auto"/>
                      <w:szCs w:val="21"/>
                      <w:lang w:val="en-US" w:eastAsia="zh-CN"/>
                    </w:rPr>
                    <w:t>60</w:t>
                  </w:r>
                </w:p>
              </w:tc>
              <w:tc>
                <w:tcPr>
                  <w:tcW w:w="514" w:type="pct"/>
                  <w:vMerge w:val="continue"/>
                  <w:vAlign w:val="center"/>
                </w:tcPr>
                <w:p w14:paraId="36B91719">
                  <w:pPr>
                    <w:pStyle w:val="56"/>
                    <w:spacing w:before="156" w:after="156"/>
                    <w:rPr>
                      <w:rFonts w:ascii="Times New Roman" w:hAnsi="Times New Roman" w:eastAsiaTheme="minorEastAsia"/>
                      <w:color w:val="auto"/>
                    </w:rPr>
                  </w:pPr>
                </w:p>
              </w:tc>
              <w:tc>
                <w:tcPr>
                  <w:tcW w:w="1979" w:type="pct"/>
                  <w:vMerge w:val="continue"/>
                  <w:vAlign w:val="center"/>
                </w:tcPr>
                <w:p w14:paraId="5A45BE42">
                  <w:pPr>
                    <w:jc w:val="center"/>
                    <w:rPr>
                      <w:rFonts w:eastAsiaTheme="minorEastAsia"/>
                      <w:color w:val="auto"/>
                      <w:szCs w:val="21"/>
                    </w:rPr>
                  </w:pPr>
                </w:p>
              </w:tc>
            </w:tr>
            <w:tr w14:paraId="75BD8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773" w:type="pct"/>
                  <w:vMerge w:val="continue"/>
                  <w:vAlign w:val="center"/>
                </w:tcPr>
                <w:p w14:paraId="7837861F">
                  <w:pPr>
                    <w:pStyle w:val="56"/>
                    <w:spacing w:before="156" w:after="156"/>
                    <w:rPr>
                      <w:rFonts w:ascii="Times New Roman" w:hAnsi="Times New Roman" w:eastAsiaTheme="minorEastAsia"/>
                      <w:color w:val="auto"/>
                    </w:rPr>
                  </w:pPr>
                </w:p>
              </w:tc>
              <w:tc>
                <w:tcPr>
                  <w:tcW w:w="932" w:type="pct"/>
                  <w:vAlign w:val="center"/>
                </w:tcPr>
                <w:p w14:paraId="18AFE0DF">
                  <w:pPr>
                    <w:jc w:val="center"/>
                    <w:rPr>
                      <w:rFonts w:eastAsiaTheme="minorEastAsia"/>
                      <w:color w:val="auto"/>
                      <w:szCs w:val="21"/>
                    </w:rPr>
                  </w:pPr>
                  <w:r>
                    <w:rPr>
                      <w:rFonts w:eastAsiaTheme="minorEastAsia"/>
                      <w:color w:val="auto"/>
                      <w:szCs w:val="21"/>
                    </w:rPr>
                    <w:t>24小时平均</w:t>
                  </w:r>
                </w:p>
              </w:tc>
              <w:tc>
                <w:tcPr>
                  <w:tcW w:w="799" w:type="pct"/>
                  <w:vAlign w:val="center"/>
                </w:tcPr>
                <w:p w14:paraId="2B2CCD26">
                  <w:pPr>
                    <w:jc w:val="center"/>
                    <w:rPr>
                      <w:rFonts w:hint="default" w:eastAsiaTheme="minorEastAsia"/>
                      <w:color w:val="auto"/>
                      <w:szCs w:val="21"/>
                      <w:lang w:val="en-US" w:eastAsia="zh-CN"/>
                    </w:rPr>
                  </w:pPr>
                  <w:r>
                    <w:rPr>
                      <w:rFonts w:hint="eastAsia" w:eastAsiaTheme="minorEastAsia"/>
                      <w:color w:val="auto"/>
                      <w:szCs w:val="21"/>
                      <w:lang w:val="en-US" w:eastAsia="zh-CN"/>
                    </w:rPr>
                    <w:t>120</w:t>
                  </w:r>
                </w:p>
              </w:tc>
              <w:tc>
                <w:tcPr>
                  <w:tcW w:w="514" w:type="pct"/>
                  <w:vMerge w:val="continue"/>
                  <w:vAlign w:val="center"/>
                </w:tcPr>
                <w:p w14:paraId="60DC0DC6">
                  <w:pPr>
                    <w:pStyle w:val="56"/>
                    <w:spacing w:before="156" w:after="156"/>
                    <w:rPr>
                      <w:rFonts w:ascii="Times New Roman" w:hAnsi="Times New Roman" w:eastAsiaTheme="minorEastAsia"/>
                      <w:color w:val="auto"/>
                    </w:rPr>
                  </w:pPr>
                </w:p>
              </w:tc>
              <w:tc>
                <w:tcPr>
                  <w:tcW w:w="1979" w:type="pct"/>
                  <w:vMerge w:val="continue"/>
                  <w:vAlign w:val="center"/>
                </w:tcPr>
                <w:p w14:paraId="34874D4A">
                  <w:pPr>
                    <w:jc w:val="center"/>
                    <w:rPr>
                      <w:rFonts w:eastAsiaTheme="minorEastAsia"/>
                      <w:color w:val="auto"/>
                      <w:szCs w:val="21"/>
                    </w:rPr>
                  </w:pPr>
                </w:p>
              </w:tc>
            </w:tr>
            <w:tr w14:paraId="0D445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773" w:type="pct"/>
                  <w:vAlign w:val="center"/>
                </w:tcPr>
                <w:p w14:paraId="4941B12F">
                  <w:pPr>
                    <w:pStyle w:val="84"/>
                    <w:kinsoku w:val="0"/>
                    <w:overflowPunct w:val="0"/>
                    <w:jc w:val="center"/>
                    <w:rPr>
                      <w:rFonts w:eastAsiaTheme="minorEastAsia"/>
                      <w:color w:val="auto"/>
                      <w:position w:val="2"/>
                      <w:sz w:val="21"/>
                      <w:szCs w:val="21"/>
                    </w:rPr>
                  </w:pPr>
                  <w:r>
                    <w:rPr>
                      <w:rFonts w:eastAsiaTheme="minorEastAsia"/>
                      <w:color w:val="auto"/>
                      <w:position w:val="2"/>
                      <w:sz w:val="21"/>
                      <w:szCs w:val="21"/>
                    </w:rPr>
                    <w:t>P</w:t>
                  </w:r>
                  <w:r>
                    <w:rPr>
                      <w:rFonts w:eastAsiaTheme="minorEastAsia"/>
                      <w:color w:val="auto"/>
                      <w:spacing w:val="-1"/>
                      <w:position w:val="2"/>
                      <w:sz w:val="21"/>
                      <w:szCs w:val="21"/>
                    </w:rPr>
                    <w:t>M</w:t>
                  </w:r>
                  <w:r>
                    <w:rPr>
                      <w:rFonts w:eastAsiaTheme="minorEastAsia"/>
                      <w:color w:val="auto"/>
                      <w:w w:val="99"/>
                      <w:sz w:val="21"/>
                      <w:szCs w:val="21"/>
                      <w:vertAlign w:val="subscript"/>
                    </w:rPr>
                    <w:t>2.5</w:t>
                  </w:r>
                </w:p>
              </w:tc>
              <w:tc>
                <w:tcPr>
                  <w:tcW w:w="932" w:type="pct"/>
                  <w:vAlign w:val="center"/>
                </w:tcPr>
                <w:p w14:paraId="37C48FCB">
                  <w:pPr>
                    <w:jc w:val="center"/>
                    <w:rPr>
                      <w:rFonts w:eastAsiaTheme="minorEastAsia"/>
                      <w:color w:val="auto"/>
                      <w:szCs w:val="21"/>
                    </w:rPr>
                  </w:pPr>
                  <w:r>
                    <w:rPr>
                      <w:rFonts w:eastAsiaTheme="minorEastAsia"/>
                      <w:color w:val="auto"/>
                      <w:szCs w:val="21"/>
                    </w:rPr>
                    <w:t>24小时平均</w:t>
                  </w:r>
                </w:p>
              </w:tc>
              <w:tc>
                <w:tcPr>
                  <w:tcW w:w="799" w:type="pct"/>
                  <w:vAlign w:val="center"/>
                </w:tcPr>
                <w:p w14:paraId="2BE110C2">
                  <w:pPr>
                    <w:jc w:val="center"/>
                    <w:rPr>
                      <w:rFonts w:hint="default" w:eastAsiaTheme="minorEastAsia"/>
                      <w:color w:val="auto"/>
                      <w:szCs w:val="21"/>
                      <w:lang w:val="en-US" w:eastAsia="zh-CN"/>
                    </w:rPr>
                  </w:pPr>
                  <w:r>
                    <w:rPr>
                      <w:rFonts w:hint="eastAsia" w:eastAsiaTheme="minorEastAsia"/>
                      <w:color w:val="auto"/>
                      <w:szCs w:val="21"/>
                      <w:lang w:val="en-US" w:eastAsia="zh-CN"/>
                    </w:rPr>
                    <w:t>60</w:t>
                  </w:r>
                </w:p>
              </w:tc>
              <w:tc>
                <w:tcPr>
                  <w:tcW w:w="514" w:type="pct"/>
                  <w:vMerge w:val="continue"/>
                  <w:vAlign w:val="center"/>
                </w:tcPr>
                <w:p w14:paraId="05A2264C">
                  <w:pPr>
                    <w:pStyle w:val="56"/>
                    <w:spacing w:before="156" w:after="156"/>
                    <w:rPr>
                      <w:rFonts w:ascii="Times New Roman" w:hAnsi="Times New Roman" w:eastAsiaTheme="minorEastAsia"/>
                      <w:color w:val="auto"/>
                    </w:rPr>
                  </w:pPr>
                </w:p>
              </w:tc>
              <w:tc>
                <w:tcPr>
                  <w:tcW w:w="1979" w:type="pct"/>
                  <w:vMerge w:val="continue"/>
                  <w:vAlign w:val="center"/>
                </w:tcPr>
                <w:p w14:paraId="2E2F9D67">
                  <w:pPr>
                    <w:jc w:val="center"/>
                    <w:rPr>
                      <w:rFonts w:eastAsiaTheme="minorEastAsia"/>
                      <w:color w:val="auto"/>
                      <w:szCs w:val="21"/>
                    </w:rPr>
                  </w:pPr>
                </w:p>
              </w:tc>
            </w:tr>
            <w:tr w14:paraId="5D06D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773" w:type="pct"/>
                  <w:vMerge w:val="restart"/>
                  <w:vAlign w:val="center"/>
                </w:tcPr>
                <w:p w14:paraId="2F66FEC8">
                  <w:pPr>
                    <w:pStyle w:val="84"/>
                    <w:kinsoku w:val="0"/>
                    <w:overflowPunct w:val="0"/>
                    <w:jc w:val="center"/>
                    <w:rPr>
                      <w:rFonts w:eastAsiaTheme="minorEastAsia"/>
                      <w:color w:val="auto"/>
                      <w:position w:val="2"/>
                      <w:sz w:val="21"/>
                      <w:szCs w:val="21"/>
                    </w:rPr>
                  </w:pPr>
                  <w:r>
                    <w:rPr>
                      <w:rFonts w:eastAsiaTheme="minorEastAsia"/>
                      <w:color w:val="auto"/>
                      <w:position w:val="2"/>
                      <w:sz w:val="21"/>
                      <w:szCs w:val="21"/>
                    </w:rPr>
                    <w:t>O</w:t>
                  </w:r>
                  <w:r>
                    <w:rPr>
                      <w:rFonts w:eastAsiaTheme="minorEastAsia"/>
                      <w:color w:val="auto"/>
                      <w:position w:val="2"/>
                      <w:sz w:val="21"/>
                      <w:szCs w:val="21"/>
                      <w:vertAlign w:val="subscript"/>
                    </w:rPr>
                    <w:t>3</w:t>
                  </w:r>
                </w:p>
              </w:tc>
              <w:tc>
                <w:tcPr>
                  <w:tcW w:w="932" w:type="pct"/>
                  <w:vAlign w:val="center"/>
                </w:tcPr>
                <w:p w14:paraId="11C3098A">
                  <w:pPr>
                    <w:jc w:val="center"/>
                    <w:rPr>
                      <w:rFonts w:eastAsiaTheme="minorEastAsia"/>
                      <w:color w:val="auto"/>
                      <w:szCs w:val="21"/>
                    </w:rPr>
                  </w:pPr>
                  <w:r>
                    <w:rPr>
                      <w:rFonts w:eastAsiaTheme="minorEastAsia"/>
                      <w:color w:val="auto"/>
                      <w:szCs w:val="21"/>
                    </w:rPr>
                    <w:t>24小时平均</w:t>
                  </w:r>
                </w:p>
              </w:tc>
              <w:tc>
                <w:tcPr>
                  <w:tcW w:w="799" w:type="pct"/>
                  <w:vAlign w:val="center"/>
                </w:tcPr>
                <w:p w14:paraId="5597069E">
                  <w:pPr>
                    <w:jc w:val="center"/>
                    <w:rPr>
                      <w:rFonts w:eastAsiaTheme="minorEastAsia"/>
                      <w:color w:val="auto"/>
                      <w:szCs w:val="21"/>
                    </w:rPr>
                  </w:pPr>
                  <w:r>
                    <w:rPr>
                      <w:rFonts w:eastAsiaTheme="minorEastAsia"/>
                      <w:color w:val="auto"/>
                      <w:szCs w:val="21"/>
                    </w:rPr>
                    <w:t>160（8h）</w:t>
                  </w:r>
                </w:p>
              </w:tc>
              <w:tc>
                <w:tcPr>
                  <w:tcW w:w="514" w:type="pct"/>
                  <w:vMerge w:val="continue"/>
                  <w:vAlign w:val="center"/>
                </w:tcPr>
                <w:p w14:paraId="44194A0F">
                  <w:pPr>
                    <w:pStyle w:val="56"/>
                    <w:spacing w:before="156" w:after="156"/>
                    <w:rPr>
                      <w:rFonts w:ascii="Times New Roman" w:hAnsi="Times New Roman" w:eastAsiaTheme="minorEastAsia"/>
                      <w:color w:val="auto"/>
                    </w:rPr>
                  </w:pPr>
                </w:p>
              </w:tc>
              <w:tc>
                <w:tcPr>
                  <w:tcW w:w="1979" w:type="pct"/>
                  <w:vMerge w:val="continue"/>
                  <w:vAlign w:val="center"/>
                </w:tcPr>
                <w:p w14:paraId="6EA1B08D">
                  <w:pPr>
                    <w:jc w:val="center"/>
                    <w:rPr>
                      <w:rFonts w:eastAsiaTheme="minorEastAsia"/>
                      <w:color w:val="auto"/>
                      <w:szCs w:val="21"/>
                    </w:rPr>
                  </w:pPr>
                </w:p>
              </w:tc>
            </w:tr>
            <w:tr w14:paraId="1B888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773" w:type="pct"/>
                  <w:vMerge w:val="continue"/>
                  <w:vAlign w:val="center"/>
                </w:tcPr>
                <w:p w14:paraId="5BEA97A2">
                  <w:pPr>
                    <w:pStyle w:val="84"/>
                    <w:kinsoku w:val="0"/>
                    <w:overflowPunct w:val="0"/>
                    <w:jc w:val="center"/>
                    <w:rPr>
                      <w:rFonts w:eastAsiaTheme="minorEastAsia"/>
                      <w:color w:val="auto"/>
                      <w:position w:val="2"/>
                      <w:sz w:val="21"/>
                      <w:szCs w:val="21"/>
                    </w:rPr>
                  </w:pPr>
                </w:p>
              </w:tc>
              <w:tc>
                <w:tcPr>
                  <w:tcW w:w="932" w:type="pct"/>
                  <w:vAlign w:val="center"/>
                </w:tcPr>
                <w:p w14:paraId="72641E22">
                  <w:pPr>
                    <w:jc w:val="center"/>
                    <w:rPr>
                      <w:rFonts w:eastAsiaTheme="minorEastAsia"/>
                      <w:color w:val="auto"/>
                      <w:szCs w:val="21"/>
                    </w:rPr>
                  </w:pPr>
                  <w:r>
                    <w:rPr>
                      <w:rFonts w:eastAsiaTheme="minorEastAsia"/>
                      <w:color w:val="auto"/>
                      <w:szCs w:val="21"/>
                    </w:rPr>
                    <w:t>1小时平均</w:t>
                  </w:r>
                </w:p>
              </w:tc>
              <w:tc>
                <w:tcPr>
                  <w:tcW w:w="799" w:type="pct"/>
                  <w:vAlign w:val="center"/>
                </w:tcPr>
                <w:p w14:paraId="666663E4">
                  <w:pPr>
                    <w:jc w:val="center"/>
                    <w:rPr>
                      <w:rFonts w:eastAsiaTheme="minorEastAsia"/>
                      <w:color w:val="auto"/>
                      <w:szCs w:val="21"/>
                    </w:rPr>
                  </w:pPr>
                  <w:r>
                    <w:rPr>
                      <w:rFonts w:eastAsiaTheme="minorEastAsia"/>
                      <w:color w:val="auto"/>
                      <w:szCs w:val="21"/>
                    </w:rPr>
                    <w:t>200</w:t>
                  </w:r>
                </w:p>
              </w:tc>
              <w:tc>
                <w:tcPr>
                  <w:tcW w:w="514" w:type="pct"/>
                  <w:vMerge w:val="continue"/>
                  <w:vAlign w:val="center"/>
                </w:tcPr>
                <w:p w14:paraId="630635E2">
                  <w:pPr>
                    <w:pStyle w:val="56"/>
                    <w:spacing w:before="156" w:after="156"/>
                    <w:rPr>
                      <w:rFonts w:ascii="Times New Roman" w:hAnsi="Times New Roman" w:eastAsiaTheme="minorEastAsia"/>
                      <w:color w:val="auto"/>
                    </w:rPr>
                  </w:pPr>
                </w:p>
              </w:tc>
              <w:tc>
                <w:tcPr>
                  <w:tcW w:w="1979" w:type="pct"/>
                  <w:vMerge w:val="continue"/>
                  <w:vAlign w:val="center"/>
                </w:tcPr>
                <w:p w14:paraId="375D3F5D">
                  <w:pPr>
                    <w:jc w:val="center"/>
                    <w:rPr>
                      <w:rFonts w:eastAsiaTheme="minorEastAsia"/>
                      <w:color w:val="auto"/>
                      <w:szCs w:val="21"/>
                    </w:rPr>
                  </w:pPr>
                </w:p>
              </w:tc>
            </w:tr>
            <w:tr w14:paraId="2F56F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773" w:type="pct"/>
                  <w:vMerge w:val="restart"/>
                  <w:vAlign w:val="center"/>
                </w:tcPr>
                <w:p w14:paraId="66B21AF0">
                  <w:pPr>
                    <w:jc w:val="center"/>
                    <w:rPr>
                      <w:rFonts w:eastAsiaTheme="minorEastAsia"/>
                      <w:color w:val="auto"/>
                      <w:szCs w:val="21"/>
                    </w:rPr>
                  </w:pPr>
                  <w:r>
                    <w:rPr>
                      <w:rFonts w:eastAsiaTheme="minorEastAsia"/>
                      <w:color w:val="auto"/>
                      <w:szCs w:val="21"/>
                    </w:rPr>
                    <w:t>CO</w:t>
                  </w:r>
                </w:p>
              </w:tc>
              <w:tc>
                <w:tcPr>
                  <w:tcW w:w="932" w:type="pct"/>
                  <w:vAlign w:val="center"/>
                </w:tcPr>
                <w:p w14:paraId="108FB50B">
                  <w:pPr>
                    <w:jc w:val="center"/>
                    <w:rPr>
                      <w:rFonts w:eastAsiaTheme="minorEastAsia"/>
                      <w:color w:val="auto"/>
                      <w:szCs w:val="21"/>
                    </w:rPr>
                  </w:pPr>
                  <w:r>
                    <w:rPr>
                      <w:rFonts w:eastAsiaTheme="minorEastAsia"/>
                      <w:color w:val="auto"/>
                      <w:szCs w:val="21"/>
                    </w:rPr>
                    <w:t>24小时平均</w:t>
                  </w:r>
                </w:p>
              </w:tc>
              <w:tc>
                <w:tcPr>
                  <w:tcW w:w="799" w:type="pct"/>
                  <w:vAlign w:val="center"/>
                </w:tcPr>
                <w:p w14:paraId="17A2B138">
                  <w:pPr>
                    <w:jc w:val="center"/>
                    <w:rPr>
                      <w:rFonts w:eastAsiaTheme="minorEastAsia"/>
                      <w:color w:val="auto"/>
                      <w:szCs w:val="21"/>
                    </w:rPr>
                  </w:pPr>
                  <w:r>
                    <w:rPr>
                      <w:rFonts w:eastAsiaTheme="minorEastAsia"/>
                      <w:color w:val="auto"/>
                      <w:szCs w:val="21"/>
                    </w:rPr>
                    <w:t>4</w:t>
                  </w:r>
                </w:p>
              </w:tc>
              <w:tc>
                <w:tcPr>
                  <w:tcW w:w="514" w:type="pct"/>
                  <w:vMerge w:val="restart"/>
                  <w:vAlign w:val="center"/>
                </w:tcPr>
                <w:p w14:paraId="2EADFE39">
                  <w:pPr>
                    <w:jc w:val="center"/>
                    <w:rPr>
                      <w:rFonts w:eastAsiaTheme="minorEastAsia"/>
                      <w:color w:val="auto"/>
                      <w:szCs w:val="21"/>
                    </w:rPr>
                  </w:pPr>
                  <w:r>
                    <w:rPr>
                      <w:rFonts w:eastAsiaTheme="minorEastAsia"/>
                      <w:color w:val="auto"/>
                      <w:szCs w:val="21"/>
                    </w:rPr>
                    <w:t>mg/m</w:t>
                  </w:r>
                  <w:r>
                    <w:rPr>
                      <w:rFonts w:eastAsiaTheme="minorEastAsia"/>
                      <w:color w:val="auto"/>
                      <w:szCs w:val="21"/>
                      <w:vertAlign w:val="superscript"/>
                    </w:rPr>
                    <w:t>3</w:t>
                  </w:r>
                </w:p>
              </w:tc>
              <w:tc>
                <w:tcPr>
                  <w:tcW w:w="1979" w:type="pct"/>
                  <w:vMerge w:val="continue"/>
                  <w:vAlign w:val="center"/>
                </w:tcPr>
                <w:p w14:paraId="0956FFB6">
                  <w:pPr>
                    <w:jc w:val="center"/>
                    <w:rPr>
                      <w:rFonts w:eastAsiaTheme="minorEastAsia"/>
                      <w:color w:val="auto"/>
                      <w:szCs w:val="21"/>
                    </w:rPr>
                  </w:pPr>
                </w:p>
              </w:tc>
            </w:tr>
            <w:tr w14:paraId="76DDB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773" w:type="pct"/>
                  <w:vMerge w:val="continue"/>
                  <w:vAlign w:val="center"/>
                </w:tcPr>
                <w:p w14:paraId="73E81505">
                  <w:pPr>
                    <w:jc w:val="center"/>
                    <w:rPr>
                      <w:rFonts w:eastAsiaTheme="minorEastAsia"/>
                      <w:color w:val="auto"/>
                      <w:szCs w:val="21"/>
                    </w:rPr>
                  </w:pPr>
                </w:p>
              </w:tc>
              <w:tc>
                <w:tcPr>
                  <w:tcW w:w="932" w:type="pct"/>
                  <w:vAlign w:val="center"/>
                </w:tcPr>
                <w:p w14:paraId="21994D73">
                  <w:pPr>
                    <w:jc w:val="center"/>
                    <w:rPr>
                      <w:rFonts w:eastAsiaTheme="minorEastAsia"/>
                      <w:color w:val="auto"/>
                      <w:szCs w:val="21"/>
                    </w:rPr>
                  </w:pPr>
                  <w:r>
                    <w:rPr>
                      <w:rFonts w:eastAsiaTheme="minorEastAsia"/>
                      <w:color w:val="auto"/>
                      <w:szCs w:val="21"/>
                    </w:rPr>
                    <w:t>1小时平均</w:t>
                  </w:r>
                </w:p>
              </w:tc>
              <w:tc>
                <w:tcPr>
                  <w:tcW w:w="799" w:type="pct"/>
                  <w:vAlign w:val="center"/>
                </w:tcPr>
                <w:p w14:paraId="4C8880B1">
                  <w:pPr>
                    <w:jc w:val="center"/>
                    <w:rPr>
                      <w:rFonts w:eastAsiaTheme="minorEastAsia"/>
                      <w:color w:val="auto"/>
                      <w:szCs w:val="21"/>
                    </w:rPr>
                  </w:pPr>
                  <w:r>
                    <w:rPr>
                      <w:rFonts w:eastAsiaTheme="minorEastAsia"/>
                      <w:color w:val="auto"/>
                      <w:szCs w:val="21"/>
                    </w:rPr>
                    <w:t>10</w:t>
                  </w:r>
                </w:p>
              </w:tc>
              <w:tc>
                <w:tcPr>
                  <w:tcW w:w="514" w:type="pct"/>
                  <w:vMerge w:val="continue"/>
                  <w:vAlign w:val="center"/>
                </w:tcPr>
                <w:p w14:paraId="3DEF9F24">
                  <w:pPr>
                    <w:jc w:val="center"/>
                    <w:rPr>
                      <w:rFonts w:eastAsiaTheme="minorEastAsia"/>
                      <w:color w:val="auto"/>
                      <w:szCs w:val="21"/>
                    </w:rPr>
                  </w:pPr>
                </w:p>
              </w:tc>
              <w:tc>
                <w:tcPr>
                  <w:tcW w:w="1979" w:type="pct"/>
                  <w:vMerge w:val="continue"/>
                  <w:vAlign w:val="center"/>
                </w:tcPr>
                <w:p w14:paraId="331425A7">
                  <w:pPr>
                    <w:jc w:val="center"/>
                    <w:rPr>
                      <w:rFonts w:eastAsiaTheme="minorEastAsia"/>
                      <w:color w:val="auto"/>
                      <w:szCs w:val="21"/>
                    </w:rPr>
                  </w:pPr>
                </w:p>
              </w:tc>
            </w:tr>
            <w:tr w14:paraId="0F122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773" w:type="pct"/>
                  <w:shd w:val="clear" w:color="auto" w:fill="auto"/>
                  <w:vAlign w:val="center"/>
                </w:tcPr>
                <w:p w14:paraId="1EFD004D">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Cs w:val="21"/>
                      <w:lang w:val="en-US" w:eastAsia="zh-CN"/>
                    </w:rPr>
                    <w:t>非甲烷总烃</w:t>
                  </w:r>
                </w:p>
              </w:tc>
              <w:tc>
                <w:tcPr>
                  <w:tcW w:w="932" w:type="pct"/>
                  <w:shd w:val="clear" w:color="auto" w:fill="auto"/>
                  <w:vAlign w:val="center"/>
                </w:tcPr>
                <w:p w14:paraId="6657ABAF">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Cs w:val="21"/>
                      <w:lang w:val="en-US" w:eastAsia="zh-CN"/>
                    </w:rPr>
                    <w:t>30min平均</w:t>
                  </w:r>
                </w:p>
              </w:tc>
              <w:tc>
                <w:tcPr>
                  <w:tcW w:w="799" w:type="pct"/>
                  <w:shd w:val="clear" w:color="auto" w:fill="auto"/>
                  <w:vAlign w:val="center"/>
                </w:tcPr>
                <w:p w14:paraId="6F7E879E">
                  <w:pPr>
                    <w:jc w:val="center"/>
                    <w:rPr>
                      <w:rFonts w:ascii="Times New Roman" w:hAnsi="Times New Roman" w:cs="Times New Roman" w:eastAsiaTheme="minorEastAsia"/>
                      <w:color w:val="auto"/>
                      <w:kern w:val="2"/>
                      <w:sz w:val="21"/>
                      <w:szCs w:val="21"/>
                      <w:lang w:val="en-US" w:eastAsia="zh-CN" w:bidi="ar-SA"/>
                    </w:rPr>
                  </w:pPr>
                  <w:r>
                    <w:rPr>
                      <w:rFonts w:eastAsiaTheme="minorEastAsia"/>
                      <w:color w:val="auto"/>
                      <w:szCs w:val="21"/>
                      <w:lang w:val="en-US" w:eastAsia="zh-CN"/>
                    </w:rPr>
                    <w:t>2.0</w:t>
                  </w:r>
                </w:p>
              </w:tc>
              <w:tc>
                <w:tcPr>
                  <w:tcW w:w="514" w:type="pct"/>
                  <w:vAlign w:val="center"/>
                </w:tcPr>
                <w:p w14:paraId="22730E4E">
                  <w:pPr>
                    <w:jc w:val="center"/>
                    <w:rPr>
                      <w:rFonts w:eastAsiaTheme="minorEastAsia"/>
                      <w:color w:val="auto"/>
                      <w:szCs w:val="21"/>
                    </w:rPr>
                  </w:pPr>
                  <w:r>
                    <w:rPr>
                      <w:rFonts w:eastAsiaTheme="minorEastAsia"/>
                      <w:color w:val="auto"/>
                      <w:szCs w:val="21"/>
                    </w:rPr>
                    <w:t>mg/m</w:t>
                  </w:r>
                  <w:r>
                    <w:rPr>
                      <w:rFonts w:eastAsiaTheme="minorEastAsia"/>
                      <w:color w:val="auto"/>
                      <w:szCs w:val="21"/>
                      <w:vertAlign w:val="superscript"/>
                    </w:rPr>
                    <w:t>3</w:t>
                  </w:r>
                </w:p>
              </w:tc>
              <w:tc>
                <w:tcPr>
                  <w:tcW w:w="1979" w:type="pct"/>
                  <w:vAlign w:val="center"/>
                </w:tcPr>
                <w:p w14:paraId="188D2806">
                  <w:pPr>
                    <w:jc w:val="center"/>
                    <w:rPr>
                      <w:rFonts w:eastAsiaTheme="minorEastAsia"/>
                      <w:color w:val="auto"/>
                      <w:szCs w:val="21"/>
                    </w:rPr>
                  </w:pPr>
                  <w:r>
                    <w:rPr>
                      <w:rFonts w:eastAsiaTheme="minorEastAsia"/>
                      <w:color w:val="auto"/>
                      <w:szCs w:val="21"/>
                    </w:rPr>
                    <w:t>《大气污染物综合排放标准详解》</w:t>
                  </w:r>
                </w:p>
              </w:tc>
            </w:tr>
          </w:tbl>
          <w:p w14:paraId="3DEB0ACB">
            <w:pPr>
              <w:tabs>
                <w:tab w:val="left" w:pos="5142"/>
              </w:tabs>
              <w:snapToGrid w:val="0"/>
              <w:ind w:firstLine="200" w:firstLineChars="200"/>
              <w:rPr>
                <w:rFonts w:eastAsiaTheme="minorEastAsia"/>
                <w:color w:val="FF0000"/>
                <w:sz w:val="10"/>
                <w:szCs w:val="10"/>
              </w:rPr>
            </w:pPr>
          </w:p>
          <w:p w14:paraId="642BFA2C">
            <w:pPr>
              <w:tabs>
                <w:tab w:val="left" w:pos="5142"/>
              </w:tabs>
              <w:snapToGrid w:val="0"/>
              <w:spacing w:line="360" w:lineRule="auto"/>
              <w:ind w:firstLine="480" w:firstLineChars="200"/>
              <w:rPr>
                <w:color w:val="auto"/>
                <w:sz w:val="24"/>
                <w:szCs w:val="24"/>
              </w:rPr>
            </w:pPr>
            <w:r>
              <w:rPr>
                <w:color w:val="auto"/>
                <w:sz w:val="24"/>
                <w:szCs w:val="24"/>
              </w:rPr>
              <w:t>2、地表水环境质量标准</w:t>
            </w:r>
          </w:p>
          <w:p w14:paraId="382062D9">
            <w:pPr>
              <w:tabs>
                <w:tab w:val="left" w:pos="5142"/>
              </w:tabs>
              <w:snapToGrid w:val="0"/>
              <w:spacing w:line="360" w:lineRule="auto"/>
              <w:ind w:firstLine="480" w:firstLineChars="200"/>
              <w:rPr>
                <w:color w:val="auto"/>
                <w:sz w:val="24"/>
                <w:szCs w:val="24"/>
              </w:rPr>
            </w:pPr>
            <w:r>
              <w:rPr>
                <w:color w:val="auto"/>
                <w:sz w:val="24"/>
                <w:szCs w:val="24"/>
              </w:rPr>
              <w:t>根据</w:t>
            </w:r>
            <w:r>
              <w:rPr>
                <w:rFonts w:hint="eastAsia"/>
                <w:color w:val="auto"/>
                <w:sz w:val="24"/>
                <w:szCs w:val="24"/>
              </w:rPr>
              <w:t>《江苏省地表水（环境）功能区划（2021-2030）》（苏环办〔2022〕82号）</w:t>
            </w:r>
            <w:r>
              <w:rPr>
                <w:color w:val="auto"/>
                <w:sz w:val="24"/>
                <w:szCs w:val="24"/>
              </w:rPr>
              <w:t>，长江（常州段）水质执行《地表水环境质量标准》（GB3838-2002）中Ⅱ类水质标准。具体标准限值见表</w:t>
            </w:r>
            <w:r>
              <w:rPr>
                <w:rFonts w:hint="eastAsia"/>
                <w:color w:val="auto"/>
                <w:sz w:val="24"/>
                <w:szCs w:val="24"/>
              </w:rPr>
              <w:t>3</w:t>
            </w:r>
            <w:r>
              <w:rPr>
                <w:color w:val="auto"/>
                <w:sz w:val="24"/>
                <w:szCs w:val="24"/>
              </w:rPr>
              <w:t>-</w:t>
            </w:r>
            <w:r>
              <w:rPr>
                <w:rFonts w:hint="eastAsia"/>
                <w:color w:val="auto"/>
                <w:sz w:val="24"/>
                <w:szCs w:val="24"/>
                <w:lang w:val="en-US" w:eastAsia="zh-CN"/>
              </w:rPr>
              <w:t>4</w:t>
            </w:r>
            <w:r>
              <w:rPr>
                <w:color w:val="auto"/>
                <w:sz w:val="24"/>
                <w:szCs w:val="24"/>
              </w:rPr>
              <w:t>。</w:t>
            </w:r>
          </w:p>
          <w:p w14:paraId="0C2CF6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eastAsiaTheme="minorEastAsia"/>
                <w:b/>
                <w:color w:val="auto"/>
                <w:kern w:val="0"/>
                <w:sz w:val="24"/>
                <w:szCs w:val="28"/>
              </w:rPr>
            </w:pPr>
            <w:r>
              <w:rPr>
                <w:rFonts w:ascii="Times New Roman" w:hAnsi="Times New Roman" w:cs="Times New Roman" w:eastAsiaTheme="minorEastAsia"/>
                <w:b/>
                <w:color w:val="auto"/>
                <w:kern w:val="0"/>
                <w:sz w:val="24"/>
                <w:szCs w:val="28"/>
              </w:rPr>
              <w:t>表</w:t>
            </w:r>
            <w:r>
              <w:rPr>
                <w:rFonts w:hint="eastAsia" w:ascii="Times New Roman" w:hAnsi="Times New Roman" w:cs="Times New Roman" w:eastAsiaTheme="minorEastAsia"/>
                <w:b/>
                <w:color w:val="auto"/>
                <w:kern w:val="0"/>
                <w:sz w:val="24"/>
                <w:szCs w:val="28"/>
              </w:rPr>
              <w:t>3-</w:t>
            </w:r>
            <w:r>
              <w:rPr>
                <w:rFonts w:hint="eastAsia" w:cs="Times New Roman" w:eastAsiaTheme="minorEastAsia"/>
                <w:b/>
                <w:color w:val="auto"/>
                <w:kern w:val="0"/>
                <w:sz w:val="24"/>
                <w:szCs w:val="28"/>
                <w:lang w:val="en-US" w:eastAsia="zh-CN"/>
              </w:rPr>
              <w:t>4</w:t>
            </w:r>
            <w:r>
              <w:rPr>
                <w:rFonts w:ascii="Times New Roman" w:hAnsi="Times New Roman" w:cs="Times New Roman" w:eastAsiaTheme="minorEastAsia"/>
                <w:b/>
                <w:color w:val="auto"/>
                <w:kern w:val="0"/>
                <w:sz w:val="24"/>
                <w:szCs w:val="28"/>
              </w:rPr>
              <w:t>地表水环境质量标准限值  单位：mg/L，除pH外</w:t>
            </w:r>
          </w:p>
          <w:tbl>
            <w:tblPr>
              <w:tblStyle w:val="35"/>
              <w:tblW w:w="845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84"/>
              <w:gridCol w:w="2215"/>
              <w:gridCol w:w="1350"/>
              <w:gridCol w:w="3709"/>
            </w:tblGrid>
            <w:tr w14:paraId="0EE45A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7" w:hRule="atLeast"/>
                <w:jc w:val="center"/>
              </w:trPr>
              <w:tc>
                <w:tcPr>
                  <w:tcW w:w="699" w:type="pct"/>
                  <w:vAlign w:val="center"/>
                </w:tcPr>
                <w:p w14:paraId="36859054">
                  <w:pPr>
                    <w:jc w:val="center"/>
                    <w:rPr>
                      <w:b/>
                      <w:bCs/>
                      <w:color w:val="auto"/>
                    </w:rPr>
                  </w:pPr>
                  <w:r>
                    <w:rPr>
                      <w:b/>
                      <w:bCs/>
                      <w:color w:val="auto"/>
                    </w:rPr>
                    <w:t>地表水系</w:t>
                  </w:r>
                </w:p>
              </w:tc>
              <w:tc>
                <w:tcPr>
                  <w:tcW w:w="1309" w:type="pct"/>
                  <w:vAlign w:val="center"/>
                </w:tcPr>
                <w:p w14:paraId="04FEC5AA">
                  <w:pPr>
                    <w:jc w:val="center"/>
                    <w:rPr>
                      <w:b/>
                      <w:bCs/>
                      <w:color w:val="auto"/>
                    </w:rPr>
                  </w:pPr>
                  <w:r>
                    <w:rPr>
                      <w:b/>
                      <w:bCs/>
                      <w:color w:val="auto"/>
                    </w:rPr>
                    <w:t>分类项</w:t>
                  </w:r>
                </w:p>
              </w:tc>
              <w:tc>
                <w:tcPr>
                  <w:tcW w:w="798" w:type="pct"/>
                  <w:vAlign w:val="center"/>
                </w:tcPr>
                <w:p w14:paraId="0B56978F">
                  <w:pPr>
                    <w:jc w:val="center"/>
                    <w:rPr>
                      <w:b/>
                      <w:bCs/>
                      <w:color w:val="auto"/>
                    </w:rPr>
                  </w:pPr>
                  <w:r>
                    <w:rPr>
                      <w:b/>
                      <w:bCs/>
                      <w:color w:val="auto"/>
                    </w:rPr>
                    <w:t>Ⅱ类标准值</w:t>
                  </w:r>
                </w:p>
              </w:tc>
              <w:tc>
                <w:tcPr>
                  <w:tcW w:w="2192" w:type="pct"/>
                  <w:vAlign w:val="center"/>
                </w:tcPr>
                <w:p w14:paraId="5C25E3B3">
                  <w:pPr>
                    <w:jc w:val="center"/>
                    <w:rPr>
                      <w:b/>
                      <w:bCs/>
                      <w:color w:val="auto"/>
                    </w:rPr>
                  </w:pPr>
                  <w:r>
                    <w:rPr>
                      <w:b/>
                      <w:bCs/>
                      <w:color w:val="auto"/>
                    </w:rPr>
                    <w:t>标准来源</w:t>
                  </w:r>
                </w:p>
              </w:tc>
            </w:tr>
            <w:tr w14:paraId="39FBA4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6" w:hRule="atLeast"/>
                <w:jc w:val="center"/>
              </w:trPr>
              <w:tc>
                <w:tcPr>
                  <w:tcW w:w="699" w:type="pct"/>
                  <w:vMerge w:val="restart"/>
                  <w:vAlign w:val="center"/>
                </w:tcPr>
                <w:p w14:paraId="0B5658D1">
                  <w:pPr>
                    <w:jc w:val="center"/>
                    <w:rPr>
                      <w:color w:val="auto"/>
                    </w:rPr>
                  </w:pPr>
                  <w:r>
                    <w:rPr>
                      <w:color w:val="auto"/>
                    </w:rPr>
                    <w:t>长江</w:t>
                  </w:r>
                </w:p>
                <w:p w14:paraId="3F5C73B0">
                  <w:pPr>
                    <w:jc w:val="center"/>
                    <w:rPr>
                      <w:color w:val="auto"/>
                    </w:rPr>
                  </w:pPr>
                  <w:r>
                    <w:rPr>
                      <w:color w:val="auto"/>
                    </w:rPr>
                    <w:t>（常州段）</w:t>
                  </w:r>
                </w:p>
              </w:tc>
              <w:tc>
                <w:tcPr>
                  <w:tcW w:w="1309" w:type="pct"/>
                  <w:vAlign w:val="center"/>
                </w:tcPr>
                <w:p w14:paraId="6F652B3F">
                  <w:pPr>
                    <w:jc w:val="center"/>
                    <w:rPr>
                      <w:color w:val="auto"/>
                    </w:rPr>
                  </w:pPr>
                  <w:r>
                    <w:rPr>
                      <w:color w:val="auto"/>
                    </w:rPr>
                    <w:t>pH（无量纲）</w:t>
                  </w:r>
                </w:p>
              </w:tc>
              <w:tc>
                <w:tcPr>
                  <w:tcW w:w="798" w:type="pct"/>
                  <w:vAlign w:val="center"/>
                </w:tcPr>
                <w:p w14:paraId="20501B8A">
                  <w:pPr>
                    <w:jc w:val="center"/>
                    <w:rPr>
                      <w:color w:val="auto"/>
                    </w:rPr>
                  </w:pPr>
                  <w:r>
                    <w:rPr>
                      <w:color w:val="auto"/>
                    </w:rPr>
                    <w:t>6～9</w:t>
                  </w:r>
                </w:p>
              </w:tc>
              <w:tc>
                <w:tcPr>
                  <w:tcW w:w="2192" w:type="pct"/>
                  <w:vMerge w:val="restart"/>
                  <w:vAlign w:val="center"/>
                </w:tcPr>
                <w:p w14:paraId="215937B2">
                  <w:pPr>
                    <w:jc w:val="center"/>
                    <w:rPr>
                      <w:color w:val="auto"/>
                    </w:rPr>
                  </w:pPr>
                  <w:r>
                    <w:rPr>
                      <w:color w:val="auto"/>
                    </w:rPr>
                    <w:t>《地表水环境质量标准》（GB3838-2002）</w:t>
                  </w:r>
                </w:p>
              </w:tc>
            </w:tr>
            <w:tr w14:paraId="3DC17F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6" w:hRule="atLeast"/>
                <w:jc w:val="center"/>
              </w:trPr>
              <w:tc>
                <w:tcPr>
                  <w:tcW w:w="699" w:type="pct"/>
                  <w:vMerge w:val="continue"/>
                  <w:vAlign w:val="center"/>
                </w:tcPr>
                <w:p w14:paraId="7BC6A24A">
                  <w:pPr>
                    <w:jc w:val="center"/>
                    <w:rPr>
                      <w:color w:val="auto"/>
                    </w:rPr>
                  </w:pPr>
                </w:p>
              </w:tc>
              <w:tc>
                <w:tcPr>
                  <w:tcW w:w="1309" w:type="pct"/>
                  <w:vAlign w:val="center"/>
                </w:tcPr>
                <w:p w14:paraId="3A44DFA6">
                  <w:pPr>
                    <w:jc w:val="center"/>
                    <w:rPr>
                      <w:color w:val="auto"/>
                    </w:rPr>
                  </w:pPr>
                  <w:r>
                    <w:rPr>
                      <w:color w:val="auto"/>
                    </w:rPr>
                    <w:t>化学需氧量（COD）</w:t>
                  </w:r>
                </w:p>
              </w:tc>
              <w:tc>
                <w:tcPr>
                  <w:tcW w:w="798" w:type="pct"/>
                  <w:vAlign w:val="center"/>
                </w:tcPr>
                <w:p w14:paraId="2F227AD0">
                  <w:pPr>
                    <w:jc w:val="center"/>
                    <w:rPr>
                      <w:color w:val="auto"/>
                    </w:rPr>
                  </w:pPr>
                  <w:r>
                    <w:rPr>
                      <w:color w:val="auto"/>
                    </w:rPr>
                    <w:t>≤15</w:t>
                  </w:r>
                </w:p>
              </w:tc>
              <w:tc>
                <w:tcPr>
                  <w:tcW w:w="2192" w:type="pct"/>
                  <w:vMerge w:val="continue"/>
                  <w:vAlign w:val="center"/>
                </w:tcPr>
                <w:p w14:paraId="6189EDD2">
                  <w:pPr>
                    <w:jc w:val="center"/>
                    <w:rPr>
                      <w:color w:val="auto"/>
                    </w:rPr>
                  </w:pPr>
                </w:p>
              </w:tc>
            </w:tr>
            <w:tr w14:paraId="414394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6" w:hRule="atLeast"/>
                <w:jc w:val="center"/>
              </w:trPr>
              <w:tc>
                <w:tcPr>
                  <w:tcW w:w="699" w:type="pct"/>
                  <w:vMerge w:val="continue"/>
                  <w:vAlign w:val="center"/>
                </w:tcPr>
                <w:p w14:paraId="24A03BE6">
                  <w:pPr>
                    <w:jc w:val="center"/>
                    <w:rPr>
                      <w:color w:val="auto"/>
                    </w:rPr>
                  </w:pPr>
                </w:p>
              </w:tc>
              <w:tc>
                <w:tcPr>
                  <w:tcW w:w="1309" w:type="pct"/>
                  <w:vAlign w:val="center"/>
                </w:tcPr>
                <w:p w14:paraId="2C78A889">
                  <w:pPr>
                    <w:jc w:val="center"/>
                    <w:rPr>
                      <w:color w:val="auto"/>
                    </w:rPr>
                  </w:pPr>
                  <w:r>
                    <w:rPr>
                      <w:color w:val="auto"/>
                    </w:rPr>
                    <w:t>氨氮（NH</w:t>
                  </w:r>
                  <w:r>
                    <w:rPr>
                      <w:color w:val="auto"/>
                      <w:vertAlign w:val="subscript"/>
                    </w:rPr>
                    <w:t>3</w:t>
                  </w:r>
                  <w:r>
                    <w:rPr>
                      <w:color w:val="auto"/>
                    </w:rPr>
                    <w:t>-N）</w:t>
                  </w:r>
                </w:p>
              </w:tc>
              <w:tc>
                <w:tcPr>
                  <w:tcW w:w="798" w:type="pct"/>
                  <w:vAlign w:val="center"/>
                </w:tcPr>
                <w:p w14:paraId="69C1B03F">
                  <w:pPr>
                    <w:jc w:val="center"/>
                    <w:rPr>
                      <w:color w:val="auto"/>
                    </w:rPr>
                  </w:pPr>
                  <w:r>
                    <w:rPr>
                      <w:color w:val="auto"/>
                    </w:rPr>
                    <w:t>≤0.5</w:t>
                  </w:r>
                </w:p>
              </w:tc>
              <w:tc>
                <w:tcPr>
                  <w:tcW w:w="2192" w:type="pct"/>
                  <w:vMerge w:val="continue"/>
                  <w:vAlign w:val="center"/>
                </w:tcPr>
                <w:p w14:paraId="308CFB7C">
                  <w:pPr>
                    <w:jc w:val="center"/>
                    <w:rPr>
                      <w:color w:val="auto"/>
                    </w:rPr>
                  </w:pPr>
                </w:p>
              </w:tc>
            </w:tr>
            <w:tr w14:paraId="54FF72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jc w:val="center"/>
              </w:trPr>
              <w:tc>
                <w:tcPr>
                  <w:tcW w:w="699" w:type="pct"/>
                  <w:vMerge w:val="continue"/>
                  <w:vAlign w:val="center"/>
                </w:tcPr>
                <w:p w14:paraId="708CCF86">
                  <w:pPr>
                    <w:jc w:val="center"/>
                    <w:rPr>
                      <w:color w:val="auto"/>
                    </w:rPr>
                  </w:pPr>
                </w:p>
              </w:tc>
              <w:tc>
                <w:tcPr>
                  <w:tcW w:w="1309" w:type="pct"/>
                  <w:shd w:val="clear" w:color="auto" w:fill="auto"/>
                  <w:vAlign w:val="center"/>
                </w:tcPr>
                <w:p w14:paraId="4A74655F">
                  <w:pPr>
                    <w:jc w:val="center"/>
                    <w:rPr>
                      <w:rFonts w:ascii="Times New Roman" w:hAnsi="Times New Roman" w:eastAsia="宋体" w:cs="Times New Roman"/>
                      <w:color w:val="auto"/>
                      <w:kern w:val="2"/>
                      <w:sz w:val="21"/>
                      <w:lang w:val="en-US" w:eastAsia="zh-CN" w:bidi="ar-SA"/>
                    </w:rPr>
                  </w:pPr>
                  <w:r>
                    <w:rPr>
                      <w:color w:val="auto"/>
                    </w:rPr>
                    <w:t>总磷（以P计）</w:t>
                  </w:r>
                </w:p>
              </w:tc>
              <w:tc>
                <w:tcPr>
                  <w:tcW w:w="798" w:type="pct"/>
                  <w:shd w:val="clear" w:color="auto" w:fill="auto"/>
                  <w:vAlign w:val="center"/>
                </w:tcPr>
                <w:p w14:paraId="6A346492">
                  <w:pPr>
                    <w:jc w:val="center"/>
                    <w:rPr>
                      <w:rFonts w:ascii="Times New Roman" w:hAnsi="Times New Roman" w:eastAsia="宋体" w:cs="Times New Roman"/>
                      <w:color w:val="auto"/>
                      <w:kern w:val="2"/>
                      <w:sz w:val="21"/>
                      <w:lang w:val="en-US" w:eastAsia="zh-CN" w:bidi="ar-SA"/>
                    </w:rPr>
                  </w:pPr>
                  <w:r>
                    <w:rPr>
                      <w:color w:val="auto"/>
                    </w:rPr>
                    <w:t>≤0.1</w:t>
                  </w:r>
                </w:p>
              </w:tc>
              <w:tc>
                <w:tcPr>
                  <w:tcW w:w="2192" w:type="pct"/>
                  <w:vMerge w:val="continue"/>
                  <w:vAlign w:val="center"/>
                </w:tcPr>
                <w:p w14:paraId="40D5E67B">
                  <w:pPr>
                    <w:jc w:val="center"/>
                    <w:rPr>
                      <w:color w:val="auto"/>
                    </w:rPr>
                  </w:pPr>
                </w:p>
              </w:tc>
            </w:tr>
          </w:tbl>
          <w:p w14:paraId="1AE7FD19">
            <w:pPr>
              <w:tabs>
                <w:tab w:val="left" w:pos="5142"/>
              </w:tabs>
              <w:snapToGrid w:val="0"/>
              <w:spacing w:line="360" w:lineRule="auto"/>
              <w:rPr>
                <w:rFonts w:eastAsiaTheme="minorEastAsia"/>
                <w:b/>
                <w:bCs/>
                <w:color w:val="auto"/>
                <w:sz w:val="10"/>
                <w:szCs w:val="10"/>
              </w:rPr>
            </w:pPr>
          </w:p>
          <w:p w14:paraId="65CB9D07">
            <w:pPr>
              <w:tabs>
                <w:tab w:val="left" w:pos="5142"/>
              </w:tabs>
              <w:snapToGrid w:val="0"/>
              <w:spacing w:line="360" w:lineRule="auto"/>
              <w:ind w:firstLine="480" w:firstLineChars="200"/>
              <w:rPr>
                <w:color w:val="auto"/>
                <w:sz w:val="24"/>
                <w:szCs w:val="24"/>
              </w:rPr>
            </w:pPr>
            <w:r>
              <w:rPr>
                <w:rFonts w:hint="eastAsia"/>
                <w:color w:val="auto"/>
                <w:sz w:val="24"/>
                <w:szCs w:val="24"/>
                <w:lang w:val="en-US" w:eastAsia="zh-CN"/>
              </w:rPr>
              <w:t>3</w:t>
            </w:r>
            <w:r>
              <w:rPr>
                <w:color w:val="auto"/>
                <w:sz w:val="24"/>
                <w:szCs w:val="24"/>
              </w:rPr>
              <w:t>、声环境质量标准</w:t>
            </w:r>
          </w:p>
          <w:p w14:paraId="54B030C2">
            <w:pPr>
              <w:spacing w:line="360" w:lineRule="auto"/>
              <w:ind w:firstLine="480" w:firstLineChars="200"/>
              <w:rPr>
                <w:color w:val="auto"/>
                <w:sz w:val="24"/>
                <w:szCs w:val="24"/>
              </w:rPr>
            </w:pPr>
            <w:r>
              <w:rPr>
                <w:color w:val="auto"/>
                <w:sz w:val="24"/>
                <w:szCs w:val="24"/>
              </w:rPr>
              <w:t>根据《常州市市区声环境功能区划（2017）》（常政发〔2017〕161号），本项目所在区域声环境功能为</w:t>
            </w:r>
            <w:r>
              <w:rPr>
                <w:rFonts w:hint="eastAsia"/>
                <w:color w:val="auto"/>
                <w:sz w:val="24"/>
                <w:szCs w:val="24"/>
              </w:rPr>
              <w:t>3</w:t>
            </w:r>
            <w:r>
              <w:rPr>
                <w:color w:val="auto"/>
                <w:sz w:val="24"/>
                <w:szCs w:val="24"/>
              </w:rPr>
              <w:t>类，区域环境噪声执行《声环境质量标准》（GB3096-2008）中</w:t>
            </w:r>
            <w:r>
              <w:rPr>
                <w:rFonts w:hint="eastAsia"/>
                <w:color w:val="auto"/>
                <w:sz w:val="24"/>
                <w:szCs w:val="24"/>
              </w:rPr>
              <w:t>3</w:t>
            </w:r>
            <w:r>
              <w:rPr>
                <w:color w:val="auto"/>
                <w:sz w:val="24"/>
                <w:szCs w:val="24"/>
              </w:rPr>
              <w:t>类声环境功能区环境噪声限值。具体见表</w:t>
            </w:r>
            <w:r>
              <w:rPr>
                <w:rFonts w:hint="eastAsia"/>
                <w:color w:val="auto"/>
                <w:sz w:val="24"/>
                <w:szCs w:val="24"/>
              </w:rPr>
              <w:t>3</w:t>
            </w:r>
            <w:r>
              <w:rPr>
                <w:color w:val="auto"/>
                <w:sz w:val="24"/>
                <w:szCs w:val="24"/>
              </w:rPr>
              <w:t>-</w:t>
            </w:r>
            <w:r>
              <w:rPr>
                <w:rFonts w:hint="eastAsia"/>
                <w:color w:val="auto"/>
                <w:sz w:val="24"/>
                <w:szCs w:val="24"/>
                <w:lang w:val="en-US" w:eastAsia="zh-CN"/>
              </w:rPr>
              <w:t>5</w:t>
            </w:r>
            <w:r>
              <w:rPr>
                <w:color w:val="auto"/>
                <w:sz w:val="24"/>
                <w:szCs w:val="24"/>
              </w:rPr>
              <w:t>。</w:t>
            </w:r>
          </w:p>
          <w:p w14:paraId="25EEDF84">
            <w:pPr>
              <w:snapToGrid w:val="0"/>
              <w:spacing w:line="324" w:lineRule="auto"/>
              <w:jc w:val="center"/>
              <w:rPr>
                <w:b/>
                <w:bCs/>
                <w:color w:val="auto"/>
                <w:sz w:val="24"/>
                <w:szCs w:val="24"/>
              </w:rPr>
            </w:pPr>
          </w:p>
          <w:p w14:paraId="5DB693EA">
            <w:pPr>
              <w:snapToGrid w:val="0"/>
              <w:spacing w:line="324" w:lineRule="auto"/>
              <w:jc w:val="center"/>
              <w:rPr>
                <w:b/>
                <w:bCs/>
                <w:color w:val="auto"/>
                <w:sz w:val="24"/>
                <w:szCs w:val="24"/>
              </w:rPr>
            </w:pPr>
          </w:p>
          <w:p w14:paraId="53A15A76">
            <w:pPr>
              <w:snapToGrid w:val="0"/>
              <w:spacing w:line="324" w:lineRule="auto"/>
              <w:jc w:val="center"/>
              <w:rPr>
                <w:color w:val="auto"/>
                <w:sz w:val="24"/>
                <w:szCs w:val="24"/>
              </w:rPr>
            </w:pPr>
            <w:r>
              <w:rPr>
                <w:b/>
                <w:bCs/>
                <w:color w:val="auto"/>
                <w:sz w:val="24"/>
                <w:szCs w:val="24"/>
              </w:rPr>
              <w:t>表</w:t>
            </w:r>
            <w:r>
              <w:rPr>
                <w:rFonts w:hint="eastAsia"/>
                <w:b/>
                <w:bCs/>
                <w:color w:val="auto"/>
                <w:sz w:val="24"/>
                <w:szCs w:val="24"/>
              </w:rPr>
              <w:t>3</w:t>
            </w:r>
            <w:r>
              <w:rPr>
                <w:b/>
                <w:bCs/>
                <w:color w:val="auto"/>
                <w:sz w:val="24"/>
                <w:szCs w:val="24"/>
              </w:rPr>
              <w:t>-</w:t>
            </w:r>
            <w:r>
              <w:rPr>
                <w:rFonts w:hint="eastAsia"/>
                <w:b/>
                <w:bCs/>
                <w:color w:val="auto"/>
                <w:sz w:val="24"/>
                <w:szCs w:val="24"/>
                <w:lang w:val="en-US" w:eastAsia="zh-CN"/>
              </w:rPr>
              <w:t>5</w:t>
            </w:r>
            <w:r>
              <w:rPr>
                <w:b/>
                <w:bCs/>
                <w:color w:val="auto"/>
                <w:sz w:val="24"/>
                <w:szCs w:val="24"/>
              </w:rPr>
              <w:t>环境噪声标准限值</w:t>
            </w:r>
          </w:p>
          <w:tbl>
            <w:tblPr>
              <w:tblStyle w:val="35"/>
              <w:tblW w:w="843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3427"/>
              <w:gridCol w:w="2293"/>
              <w:gridCol w:w="2718"/>
            </w:tblGrid>
            <w:tr w14:paraId="0619AE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709" w:hRule="atLeast"/>
                <w:jc w:val="center"/>
              </w:trPr>
              <w:tc>
                <w:tcPr>
                  <w:tcW w:w="2030" w:type="pct"/>
                  <w:tcBorders>
                    <w:tl2br w:val="single" w:color="auto" w:sz="4" w:space="0"/>
                  </w:tcBorders>
                  <w:vAlign w:val="center"/>
                </w:tcPr>
                <w:p w14:paraId="51900A28">
                  <w:pPr>
                    <w:ind w:right="315"/>
                    <w:jc w:val="right"/>
                    <w:rPr>
                      <w:b/>
                      <w:bCs/>
                      <w:color w:val="auto"/>
                    </w:rPr>
                  </w:pPr>
                  <w:r>
                    <w:rPr>
                      <w:b/>
                      <w:bCs/>
                      <w:color w:val="auto"/>
                    </w:rPr>
                    <w:t>时段</w:t>
                  </w:r>
                </w:p>
                <w:p w14:paraId="6B748309">
                  <w:pPr>
                    <w:rPr>
                      <w:b/>
                      <w:bCs/>
                      <w:color w:val="auto"/>
                    </w:rPr>
                  </w:pPr>
                  <w:r>
                    <w:rPr>
                      <w:b/>
                      <w:bCs/>
                      <w:color w:val="auto"/>
                    </w:rPr>
                    <w:t>声环境功能区类别</w:t>
                  </w:r>
                </w:p>
              </w:tc>
              <w:tc>
                <w:tcPr>
                  <w:tcW w:w="1358" w:type="pct"/>
                  <w:vAlign w:val="center"/>
                </w:tcPr>
                <w:p w14:paraId="4CACDAA5">
                  <w:pPr>
                    <w:jc w:val="center"/>
                    <w:rPr>
                      <w:b/>
                      <w:bCs/>
                      <w:color w:val="auto"/>
                    </w:rPr>
                  </w:pPr>
                  <w:r>
                    <w:rPr>
                      <w:b/>
                      <w:bCs/>
                      <w:color w:val="auto"/>
                    </w:rPr>
                    <w:t>昼间（dB（A））</w:t>
                  </w:r>
                </w:p>
              </w:tc>
              <w:tc>
                <w:tcPr>
                  <w:tcW w:w="1610" w:type="pct"/>
                  <w:vAlign w:val="center"/>
                </w:tcPr>
                <w:p w14:paraId="7B7C4282">
                  <w:pPr>
                    <w:jc w:val="center"/>
                    <w:rPr>
                      <w:b/>
                      <w:bCs/>
                      <w:color w:val="auto"/>
                    </w:rPr>
                  </w:pPr>
                  <w:r>
                    <w:rPr>
                      <w:b/>
                      <w:bCs/>
                      <w:color w:val="auto"/>
                    </w:rPr>
                    <w:t>夜间（dB（A））</w:t>
                  </w:r>
                </w:p>
              </w:tc>
            </w:tr>
            <w:tr w14:paraId="2F84DA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4" w:hRule="atLeast"/>
                <w:jc w:val="center"/>
              </w:trPr>
              <w:tc>
                <w:tcPr>
                  <w:tcW w:w="2030" w:type="pct"/>
                  <w:vAlign w:val="center"/>
                </w:tcPr>
                <w:p w14:paraId="40648EF4">
                  <w:pPr>
                    <w:jc w:val="center"/>
                    <w:rPr>
                      <w:color w:val="auto"/>
                    </w:rPr>
                  </w:pPr>
                  <w:r>
                    <w:rPr>
                      <w:rFonts w:hint="eastAsia"/>
                      <w:color w:val="auto"/>
                    </w:rPr>
                    <w:t>3</w:t>
                  </w:r>
                  <w:r>
                    <w:rPr>
                      <w:color w:val="auto"/>
                    </w:rPr>
                    <w:t>类</w:t>
                  </w:r>
                </w:p>
              </w:tc>
              <w:tc>
                <w:tcPr>
                  <w:tcW w:w="1358" w:type="pct"/>
                  <w:vAlign w:val="center"/>
                </w:tcPr>
                <w:p w14:paraId="0CFF91E3">
                  <w:pPr>
                    <w:jc w:val="center"/>
                    <w:rPr>
                      <w:color w:val="auto"/>
                    </w:rPr>
                  </w:pPr>
                  <w:r>
                    <w:rPr>
                      <w:color w:val="auto"/>
                    </w:rPr>
                    <w:t>6</w:t>
                  </w:r>
                  <w:r>
                    <w:rPr>
                      <w:rFonts w:hint="eastAsia"/>
                      <w:color w:val="auto"/>
                    </w:rPr>
                    <w:t>5</w:t>
                  </w:r>
                </w:p>
              </w:tc>
              <w:tc>
                <w:tcPr>
                  <w:tcW w:w="1610" w:type="pct"/>
                  <w:vAlign w:val="center"/>
                </w:tcPr>
                <w:p w14:paraId="4E20FABA">
                  <w:pPr>
                    <w:jc w:val="center"/>
                    <w:rPr>
                      <w:color w:val="auto"/>
                    </w:rPr>
                  </w:pPr>
                  <w:r>
                    <w:rPr>
                      <w:color w:val="auto"/>
                    </w:rPr>
                    <w:t>5</w:t>
                  </w:r>
                  <w:r>
                    <w:rPr>
                      <w:rFonts w:hint="eastAsia"/>
                      <w:color w:val="auto"/>
                    </w:rPr>
                    <w:t>5</w:t>
                  </w:r>
                </w:p>
              </w:tc>
            </w:tr>
          </w:tbl>
          <w:p w14:paraId="7231CD9F">
            <w:pPr>
              <w:pStyle w:val="3"/>
              <w:rPr>
                <w:color w:val="FF0000"/>
              </w:rPr>
            </w:pPr>
          </w:p>
          <w:p w14:paraId="3555CCEC">
            <w:pPr>
              <w:rPr>
                <w:color w:val="FF0000"/>
              </w:rPr>
            </w:pPr>
          </w:p>
        </w:tc>
      </w:tr>
      <w:tr w14:paraId="36A09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7" w:type="dxa"/>
            <w:tcMar>
              <w:left w:w="28" w:type="dxa"/>
              <w:right w:w="28" w:type="dxa"/>
            </w:tcMar>
            <w:vAlign w:val="center"/>
          </w:tcPr>
          <w:p w14:paraId="4A30C481">
            <w:pPr>
              <w:adjustRightInd w:val="0"/>
              <w:snapToGrid w:val="0"/>
              <w:jc w:val="center"/>
              <w:rPr>
                <w:rFonts w:ascii="宋体" w:hAnsi="宋体" w:cs="宋体"/>
                <w:b/>
                <w:bCs/>
                <w:color w:val="auto"/>
                <w:kern w:val="0"/>
                <w:sz w:val="24"/>
                <w:szCs w:val="24"/>
              </w:rPr>
            </w:pPr>
            <w:r>
              <w:rPr>
                <w:rFonts w:hint="eastAsia" w:ascii="宋体" w:hAnsi="宋体" w:cs="宋体"/>
                <w:b/>
                <w:bCs/>
                <w:color w:val="auto"/>
                <w:kern w:val="0"/>
                <w:sz w:val="24"/>
                <w:szCs w:val="24"/>
              </w:rPr>
              <w:t>污染</w:t>
            </w:r>
          </w:p>
          <w:p w14:paraId="66A22865">
            <w:pPr>
              <w:adjustRightInd w:val="0"/>
              <w:snapToGrid w:val="0"/>
              <w:jc w:val="center"/>
              <w:rPr>
                <w:rFonts w:ascii="宋体" w:hAnsi="宋体" w:cs="宋体"/>
                <w:b/>
                <w:bCs/>
                <w:color w:val="auto"/>
                <w:kern w:val="0"/>
                <w:sz w:val="24"/>
                <w:szCs w:val="24"/>
              </w:rPr>
            </w:pPr>
            <w:r>
              <w:rPr>
                <w:rFonts w:hint="eastAsia" w:ascii="宋体" w:hAnsi="宋体" w:cs="宋体"/>
                <w:b/>
                <w:bCs/>
                <w:color w:val="auto"/>
                <w:kern w:val="0"/>
                <w:sz w:val="24"/>
                <w:szCs w:val="24"/>
              </w:rPr>
              <w:t>物排</w:t>
            </w:r>
          </w:p>
          <w:p w14:paraId="411F9323">
            <w:pPr>
              <w:adjustRightInd w:val="0"/>
              <w:snapToGrid w:val="0"/>
              <w:jc w:val="center"/>
              <w:rPr>
                <w:rFonts w:ascii="宋体" w:hAnsi="宋体" w:cs="宋体"/>
                <w:b/>
                <w:bCs/>
                <w:color w:val="auto"/>
                <w:kern w:val="0"/>
                <w:sz w:val="24"/>
                <w:szCs w:val="24"/>
              </w:rPr>
            </w:pPr>
            <w:r>
              <w:rPr>
                <w:rFonts w:hint="eastAsia" w:ascii="宋体" w:hAnsi="宋体" w:cs="宋体"/>
                <w:b/>
                <w:bCs/>
                <w:color w:val="auto"/>
                <w:kern w:val="0"/>
                <w:sz w:val="24"/>
                <w:szCs w:val="24"/>
              </w:rPr>
              <w:t>放控</w:t>
            </w:r>
          </w:p>
          <w:p w14:paraId="0C2A0D96">
            <w:pPr>
              <w:adjustRightInd w:val="0"/>
              <w:snapToGrid w:val="0"/>
              <w:jc w:val="center"/>
              <w:rPr>
                <w:rFonts w:ascii="宋体" w:hAnsi="宋体" w:cs="宋体"/>
                <w:b/>
                <w:bCs/>
                <w:color w:val="auto"/>
                <w:kern w:val="0"/>
                <w:sz w:val="24"/>
                <w:szCs w:val="24"/>
              </w:rPr>
            </w:pPr>
            <w:r>
              <w:rPr>
                <w:rFonts w:hint="eastAsia" w:ascii="宋体" w:hAnsi="宋体" w:cs="宋体"/>
                <w:b/>
                <w:bCs/>
                <w:color w:val="auto"/>
                <w:kern w:val="0"/>
                <w:sz w:val="24"/>
                <w:szCs w:val="24"/>
              </w:rPr>
              <w:t>制标</w:t>
            </w:r>
          </w:p>
          <w:p w14:paraId="4F76D421">
            <w:pPr>
              <w:adjustRightInd w:val="0"/>
              <w:snapToGrid w:val="0"/>
              <w:jc w:val="center"/>
              <w:rPr>
                <w:rFonts w:ascii="宋体" w:hAnsi="宋体" w:cs="宋体"/>
                <w:b/>
                <w:bCs/>
                <w:color w:val="FF0000"/>
                <w:kern w:val="0"/>
                <w:sz w:val="24"/>
                <w:szCs w:val="24"/>
              </w:rPr>
            </w:pPr>
            <w:r>
              <w:rPr>
                <w:rFonts w:hint="eastAsia" w:ascii="宋体" w:hAnsi="宋体" w:cs="宋体"/>
                <w:b/>
                <w:bCs/>
                <w:color w:val="auto"/>
                <w:kern w:val="0"/>
                <w:sz w:val="24"/>
                <w:szCs w:val="24"/>
              </w:rPr>
              <w:t>准</w:t>
            </w:r>
          </w:p>
        </w:tc>
        <w:tc>
          <w:tcPr>
            <w:tcW w:w="8612" w:type="dxa"/>
            <w:vAlign w:val="center"/>
          </w:tcPr>
          <w:p w14:paraId="7DE2D3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color w:val="auto"/>
                <w:sz w:val="24"/>
                <w:szCs w:val="24"/>
              </w:rPr>
            </w:pPr>
            <w:r>
              <w:rPr>
                <w:rFonts w:hint="eastAsia"/>
                <w:color w:val="auto"/>
                <w:sz w:val="24"/>
                <w:szCs w:val="24"/>
                <w:lang w:val="en-US" w:eastAsia="zh-CN"/>
              </w:rPr>
              <w:t>1</w:t>
            </w:r>
            <w:r>
              <w:rPr>
                <w:color w:val="auto"/>
                <w:sz w:val="24"/>
                <w:szCs w:val="24"/>
              </w:rPr>
              <w:t>、大气污染物排放标准</w:t>
            </w:r>
          </w:p>
          <w:p w14:paraId="408FAAA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Theme="minorEastAsia"/>
                <w:color w:val="auto"/>
                <w:sz w:val="24"/>
                <w:szCs w:val="24"/>
              </w:rPr>
            </w:pPr>
            <w:r>
              <w:rPr>
                <w:rFonts w:hint="eastAsia" w:eastAsiaTheme="minorEastAsia"/>
                <w:color w:val="auto"/>
                <w:sz w:val="24"/>
                <w:szCs w:val="24"/>
              </w:rPr>
              <w:t>（</w:t>
            </w:r>
            <w:r>
              <w:rPr>
                <w:rFonts w:eastAsiaTheme="minorEastAsia"/>
                <w:color w:val="auto"/>
                <w:sz w:val="24"/>
                <w:szCs w:val="24"/>
              </w:rPr>
              <w:t>1</w:t>
            </w:r>
            <w:r>
              <w:rPr>
                <w:rFonts w:hint="eastAsia" w:eastAsiaTheme="minorEastAsia"/>
                <w:color w:val="auto"/>
                <w:sz w:val="24"/>
                <w:szCs w:val="24"/>
              </w:rPr>
              <w:t>）有组织废气</w:t>
            </w:r>
          </w:p>
          <w:p w14:paraId="2C62213E">
            <w:pPr>
              <w:keepNext w:val="0"/>
              <w:keepLines w:val="0"/>
              <w:pageBreakBefore w:val="0"/>
              <w:widowControl w:val="0"/>
              <w:tabs>
                <w:tab w:val="left" w:pos="5142"/>
              </w:tabs>
              <w:kinsoku/>
              <w:wordWrap/>
              <w:overflowPunct/>
              <w:topLinePunct w:val="0"/>
              <w:autoSpaceDE/>
              <w:autoSpaceDN/>
              <w:bidi w:val="0"/>
              <w:adjustRightInd/>
              <w:snapToGrid w:val="0"/>
              <w:spacing w:line="360" w:lineRule="auto"/>
              <w:ind w:firstLine="480" w:firstLineChars="200"/>
              <w:textAlignment w:val="auto"/>
              <w:rPr>
                <w:b/>
                <w:bCs/>
                <w:color w:val="auto"/>
                <w:sz w:val="24"/>
              </w:rPr>
            </w:pPr>
            <w:r>
              <w:rPr>
                <w:rFonts w:hint="eastAsia" w:ascii="Times New Roman" w:hAnsi="Times New Roman" w:eastAsia="宋体" w:cs="Times New Roman"/>
                <w:color w:val="auto"/>
                <w:sz w:val="24"/>
                <w:lang w:eastAsia="zh-CN"/>
              </w:rPr>
              <w:t>本项</w:t>
            </w:r>
            <w:r>
              <w:rPr>
                <w:rFonts w:hint="eastAsia" w:ascii="Times New Roman" w:hAnsi="Times New Roman" w:cs="Times New Roman"/>
                <w:bCs/>
                <w:color w:val="auto"/>
                <w:sz w:val="24"/>
                <w:lang w:eastAsia="zh-CN"/>
              </w:rPr>
              <w:t>目有组织排放的</w:t>
            </w:r>
            <w:r>
              <w:rPr>
                <w:rFonts w:hint="eastAsia" w:ascii="Times New Roman" w:hAnsi="Times New Roman" w:cs="Times New Roman"/>
                <w:bCs/>
                <w:color w:val="auto"/>
                <w:sz w:val="24"/>
                <w:lang w:val="en-US" w:eastAsia="zh-CN"/>
              </w:rPr>
              <w:t>非甲烷总烃、</w:t>
            </w:r>
            <w:r>
              <w:rPr>
                <w:rFonts w:hint="eastAsia" w:ascii="Times New Roman" w:hAnsi="Times New Roman" w:cs="Times New Roman"/>
                <w:bCs/>
                <w:color w:val="auto"/>
                <w:sz w:val="24"/>
                <w:lang w:eastAsia="zh-CN"/>
              </w:rPr>
              <w:t>二</w:t>
            </w:r>
            <w:r>
              <w:rPr>
                <w:rFonts w:hint="eastAsia" w:ascii="Times New Roman" w:hAnsi="Times New Roman" w:eastAsia="宋体" w:cs="Times New Roman"/>
                <w:bCs/>
                <w:color w:val="auto"/>
                <w:sz w:val="24"/>
                <w:lang w:val="en-US" w:eastAsia="zh-CN"/>
              </w:rPr>
              <w:t>苯基甲烷二异氰酸酯、多亚甲基多苯基异氰酸酯执行《合成树脂工业污染物排放标准》（GB31572-2015）及修改单（生态环境部公告2024年第17号）表5标准，臭气浓度执行《恶臭</w:t>
            </w:r>
            <w:r>
              <w:rPr>
                <w:rFonts w:hint="eastAsia" w:ascii="Times New Roman" w:hAnsi="Times New Roman" w:cs="Times New Roman"/>
                <w:bCs/>
                <w:color w:val="auto"/>
                <w:sz w:val="24"/>
                <w:lang w:val="en-US" w:eastAsia="zh-CN"/>
              </w:rPr>
              <w:t>污染物排放标准》（GB14554-93）表2标准，</w:t>
            </w:r>
            <w:r>
              <w:rPr>
                <w:rFonts w:hint="eastAsia" w:ascii="Times New Roman" w:hAnsi="Times New Roman" w:cs="Times New Roman"/>
                <w:bCs/>
                <w:color w:val="auto"/>
                <w:sz w:val="24"/>
              </w:rPr>
              <w:t>具</w:t>
            </w:r>
            <w:r>
              <w:rPr>
                <w:rFonts w:hint="eastAsia"/>
                <w:bCs/>
                <w:color w:val="auto"/>
                <w:sz w:val="24"/>
              </w:rPr>
              <w:t>体排放标准见表3-</w:t>
            </w:r>
            <w:r>
              <w:rPr>
                <w:rFonts w:hint="eastAsia"/>
                <w:bCs/>
                <w:color w:val="auto"/>
                <w:sz w:val="24"/>
                <w:lang w:val="en-US" w:eastAsia="zh-CN"/>
              </w:rPr>
              <w:t>6</w:t>
            </w:r>
            <w:r>
              <w:rPr>
                <w:rFonts w:hint="eastAsia"/>
                <w:bCs/>
                <w:color w:val="auto"/>
                <w:sz w:val="24"/>
              </w:rPr>
              <w:t>。</w:t>
            </w:r>
          </w:p>
          <w:p w14:paraId="282BE4D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eastAsia="宋体" w:cs="Times New Roman"/>
                <w:b/>
                <w:color w:val="auto"/>
                <w:kern w:val="0"/>
                <w:sz w:val="24"/>
                <w:szCs w:val="28"/>
              </w:rPr>
            </w:pPr>
            <w:r>
              <w:rPr>
                <w:rFonts w:ascii="Times New Roman" w:hAnsi="Times New Roman" w:eastAsia="宋体" w:cs="Times New Roman"/>
                <w:b/>
                <w:color w:val="auto"/>
                <w:kern w:val="0"/>
                <w:sz w:val="24"/>
                <w:szCs w:val="28"/>
              </w:rPr>
              <w:t>表</w:t>
            </w:r>
            <w:r>
              <w:rPr>
                <w:rFonts w:hint="eastAsia" w:ascii="Times New Roman" w:hAnsi="Times New Roman" w:eastAsia="宋体" w:cs="Times New Roman"/>
                <w:b/>
                <w:color w:val="auto"/>
                <w:kern w:val="0"/>
                <w:sz w:val="24"/>
                <w:szCs w:val="28"/>
              </w:rPr>
              <w:t>3-</w:t>
            </w:r>
            <w:r>
              <w:rPr>
                <w:rFonts w:hint="eastAsia" w:cs="Times New Roman"/>
                <w:b/>
                <w:color w:val="auto"/>
                <w:kern w:val="0"/>
                <w:sz w:val="24"/>
                <w:szCs w:val="28"/>
                <w:lang w:val="en-US" w:eastAsia="zh-CN"/>
              </w:rPr>
              <w:t>6</w:t>
            </w:r>
            <w:r>
              <w:rPr>
                <w:rFonts w:ascii="Times New Roman" w:hAnsi="Times New Roman" w:eastAsia="宋体" w:cs="Times New Roman"/>
                <w:b/>
                <w:color w:val="auto"/>
                <w:kern w:val="0"/>
                <w:sz w:val="24"/>
                <w:szCs w:val="28"/>
              </w:rPr>
              <w:t>有组织废气排放标准限值</w:t>
            </w:r>
          </w:p>
          <w:tbl>
            <w:tblPr>
              <w:tblStyle w:val="35"/>
              <w:tblW w:w="84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46"/>
              <w:gridCol w:w="1069"/>
              <w:gridCol w:w="915"/>
              <w:gridCol w:w="1016"/>
              <w:gridCol w:w="1480"/>
              <w:gridCol w:w="2690"/>
            </w:tblGrid>
            <w:tr w14:paraId="615BA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64" w:hRule="atLeast"/>
                <w:jc w:val="center"/>
              </w:trPr>
              <w:tc>
                <w:tcPr>
                  <w:tcW w:w="740" w:type="pct"/>
                  <w:noWrap w:val="0"/>
                  <w:vAlign w:val="center"/>
                </w:tcPr>
                <w:p w14:paraId="7FC8AB2F">
                  <w:pPr>
                    <w:pStyle w:val="2"/>
                    <w:spacing w:after="0"/>
                    <w:ind w:right="0" w:rightChars="0" w:firstLine="0" w:firstLineChars="0"/>
                    <w:jc w:val="center"/>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szCs w:val="21"/>
                      <w:lang w:eastAsia="zh-CN"/>
                    </w:rPr>
                    <w:t>污染物名称</w:t>
                  </w:r>
                </w:p>
              </w:tc>
              <w:tc>
                <w:tcPr>
                  <w:tcW w:w="635" w:type="pct"/>
                  <w:noWrap w:val="0"/>
                  <w:vAlign w:val="center"/>
                </w:tcPr>
                <w:p w14:paraId="3D94895A">
                  <w:pPr>
                    <w:pStyle w:val="2"/>
                    <w:spacing w:after="0"/>
                    <w:ind w:right="0" w:rightChars="0" w:firstLine="0" w:firstLineChars="0"/>
                    <w:jc w:val="center"/>
                    <w:rPr>
                      <w:rFonts w:hint="default" w:ascii="Times New Roman" w:hAnsi="Times New Roman" w:eastAsia="宋体"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污染源</w:t>
                  </w:r>
                </w:p>
              </w:tc>
              <w:tc>
                <w:tcPr>
                  <w:tcW w:w="543" w:type="pct"/>
                  <w:noWrap w:val="0"/>
                  <w:vAlign w:val="center"/>
                </w:tcPr>
                <w:p w14:paraId="6BDA7A16">
                  <w:pPr>
                    <w:pStyle w:val="2"/>
                    <w:spacing w:after="0"/>
                    <w:ind w:right="0" w:rightChars="0" w:firstLine="0" w:firstLineChars="0"/>
                    <w:jc w:val="center"/>
                    <w:rPr>
                      <w:rFonts w:hint="default" w:ascii="Times New Roman" w:hAnsi="Times New Roman" w:eastAsia="宋体" w:cs="Times New Roman"/>
                      <w:b/>
                      <w:bCs/>
                      <w:color w:val="auto"/>
                      <w:kern w:val="2"/>
                      <w:sz w:val="21"/>
                      <w:szCs w:val="21"/>
                      <w:lang w:val="en-US" w:eastAsia="zh-CN" w:bidi="ar-SA"/>
                    </w:rPr>
                  </w:pPr>
                  <w:r>
                    <w:rPr>
                      <w:rFonts w:hint="eastAsia" w:cs="Times New Roman"/>
                      <w:b/>
                      <w:bCs/>
                      <w:color w:val="auto"/>
                      <w:szCs w:val="21"/>
                      <w:lang w:eastAsia="zh-CN"/>
                    </w:rPr>
                    <w:t>排气筒</w:t>
                  </w:r>
                </w:p>
              </w:tc>
              <w:tc>
                <w:tcPr>
                  <w:tcW w:w="603" w:type="pct"/>
                  <w:noWrap w:val="0"/>
                  <w:vAlign w:val="center"/>
                </w:tcPr>
                <w:p w14:paraId="472EA371">
                  <w:pPr>
                    <w:pStyle w:val="2"/>
                    <w:spacing w:after="0"/>
                    <w:ind w:right="0" w:rightChars="0" w:firstLine="0" w:firstLineChars="0"/>
                    <w:jc w:val="center"/>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szCs w:val="21"/>
                      <w:lang w:eastAsia="zh-CN"/>
                    </w:rPr>
                    <w:t>最高允许排放浓度</w:t>
                  </w:r>
                  <w:r>
                    <w:rPr>
                      <w:rFonts w:hint="eastAsia" w:cs="Times New Roman"/>
                      <w:b/>
                      <w:bCs/>
                      <w:color w:val="auto"/>
                      <w:szCs w:val="21"/>
                      <w:lang w:eastAsia="zh-CN"/>
                    </w:rPr>
                    <w:t>（</w:t>
                  </w:r>
                  <w:r>
                    <w:rPr>
                      <w:rFonts w:hint="eastAsia" w:cs="Times New Roman"/>
                      <w:b/>
                      <w:bCs/>
                      <w:color w:val="auto"/>
                      <w:szCs w:val="21"/>
                      <w:lang w:val="en-US" w:eastAsia="zh-CN"/>
                    </w:rPr>
                    <w:t>mg/m</w:t>
                  </w:r>
                  <w:r>
                    <w:rPr>
                      <w:rFonts w:hint="eastAsia" w:cs="Times New Roman"/>
                      <w:b/>
                      <w:bCs/>
                      <w:color w:val="auto"/>
                      <w:szCs w:val="21"/>
                      <w:vertAlign w:val="superscript"/>
                      <w:lang w:val="en-US" w:eastAsia="zh-CN"/>
                    </w:rPr>
                    <w:t>3</w:t>
                  </w:r>
                  <w:r>
                    <w:rPr>
                      <w:rFonts w:hint="eastAsia" w:cs="Times New Roman"/>
                      <w:b/>
                      <w:bCs/>
                      <w:color w:val="auto"/>
                      <w:szCs w:val="21"/>
                      <w:lang w:eastAsia="zh-CN"/>
                    </w:rPr>
                    <w:t>）</w:t>
                  </w:r>
                </w:p>
              </w:tc>
              <w:tc>
                <w:tcPr>
                  <w:tcW w:w="879" w:type="pct"/>
                  <w:noWrap w:val="0"/>
                  <w:vAlign w:val="center"/>
                </w:tcPr>
                <w:p w14:paraId="68CDADAE">
                  <w:pPr>
                    <w:pStyle w:val="2"/>
                    <w:spacing w:after="0"/>
                    <w:ind w:right="0" w:rightChars="0" w:firstLine="0" w:firstLineChars="0"/>
                    <w:jc w:val="center"/>
                    <w:rPr>
                      <w:rFonts w:hint="default" w:ascii="Times New Roman" w:hAnsi="Times New Roman" w:eastAsia="宋体" w:cs="Times New Roman"/>
                      <w:b/>
                      <w:color w:val="auto"/>
                      <w:kern w:val="2"/>
                      <w:sz w:val="21"/>
                      <w:szCs w:val="21"/>
                      <w:lang w:val="en-US" w:eastAsia="zh-CN" w:bidi="ar-SA"/>
                    </w:rPr>
                  </w:pPr>
                  <w:r>
                    <w:rPr>
                      <w:rFonts w:hint="eastAsia" w:hAnsi="Times New Roman" w:cs="Times New Roman"/>
                      <w:b/>
                      <w:bCs/>
                      <w:color w:val="auto"/>
                      <w:szCs w:val="21"/>
                      <w:lang w:eastAsia="zh-CN"/>
                    </w:rPr>
                    <w:t>监控位置</w:t>
                  </w:r>
                </w:p>
              </w:tc>
              <w:tc>
                <w:tcPr>
                  <w:tcW w:w="1598" w:type="pct"/>
                  <w:noWrap w:val="0"/>
                  <w:vAlign w:val="center"/>
                </w:tcPr>
                <w:p w14:paraId="4F5FF935">
                  <w:pPr>
                    <w:pStyle w:val="2"/>
                    <w:spacing w:after="0"/>
                    <w:ind w:right="0" w:rightChars="0" w:firstLine="0" w:firstLineChars="0"/>
                    <w:jc w:val="center"/>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bCs/>
                      <w:color w:val="auto"/>
                      <w:szCs w:val="21"/>
                      <w:lang w:eastAsia="zh-CN"/>
                    </w:rPr>
                    <w:t>标准来源</w:t>
                  </w:r>
                </w:p>
              </w:tc>
            </w:tr>
            <w:tr w14:paraId="4BBF2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0" w:hRule="atLeast"/>
                <w:jc w:val="center"/>
              </w:trPr>
              <w:tc>
                <w:tcPr>
                  <w:tcW w:w="740" w:type="pct"/>
                  <w:noWrap w:val="0"/>
                  <w:vAlign w:val="center"/>
                </w:tcPr>
                <w:p w14:paraId="38ACE567">
                  <w:pPr>
                    <w:pStyle w:val="2"/>
                    <w:spacing w:after="0"/>
                    <w:ind w:right="0" w:righ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二苯基甲烷二异氰酸酯</w:t>
                  </w:r>
                  <w:r>
                    <w:rPr>
                      <w:rFonts w:hint="eastAsia" w:cs="Times New Roman"/>
                      <w:color w:val="auto"/>
                      <w:szCs w:val="21"/>
                      <w:lang w:val="en-US" w:eastAsia="zh-CN"/>
                    </w:rPr>
                    <w:t>（PAPI）</w:t>
                  </w:r>
                  <w:r>
                    <w:rPr>
                      <w:rFonts w:hint="eastAsia" w:cs="Times New Roman"/>
                      <w:color w:val="auto"/>
                      <w:szCs w:val="21"/>
                      <w:vertAlign w:val="superscript"/>
                      <w:lang w:val="en-US" w:eastAsia="zh-CN"/>
                    </w:rPr>
                    <w:t>[1]</w:t>
                  </w:r>
                </w:p>
              </w:tc>
              <w:tc>
                <w:tcPr>
                  <w:tcW w:w="635" w:type="pct"/>
                  <w:vMerge w:val="restart"/>
                  <w:noWrap w:val="0"/>
                  <w:vAlign w:val="center"/>
                </w:tcPr>
                <w:p w14:paraId="6587B75E">
                  <w:pPr>
                    <w:pStyle w:val="2"/>
                    <w:spacing w:after="0"/>
                    <w:ind w:right="0" w:righ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发泡废气</w:t>
                  </w:r>
                </w:p>
              </w:tc>
              <w:tc>
                <w:tcPr>
                  <w:tcW w:w="543" w:type="pct"/>
                  <w:vMerge w:val="restart"/>
                  <w:noWrap w:val="0"/>
                  <w:vAlign w:val="center"/>
                </w:tcPr>
                <w:p w14:paraId="67EA8E8C">
                  <w:pPr>
                    <w:pStyle w:val="2"/>
                    <w:spacing w:after="0"/>
                    <w:ind w:right="0" w:rightChars="0" w:firstLine="0" w:firstLineChars="0"/>
                    <w:jc w:val="center"/>
                    <w:rPr>
                      <w:rFonts w:hint="eastAsia"/>
                      <w:color w:val="auto"/>
                      <w:lang w:val="en-US" w:eastAsia="zh-CN"/>
                    </w:rPr>
                  </w:pPr>
                  <w:r>
                    <w:rPr>
                      <w:rFonts w:hint="eastAsia"/>
                      <w:color w:val="auto"/>
                      <w:lang w:val="en-US" w:eastAsia="zh-CN"/>
                    </w:rPr>
                    <w:t>DA001</w:t>
                  </w:r>
                </w:p>
              </w:tc>
              <w:tc>
                <w:tcPr>
                  <w:tcW w:w="603" w:type="pct"/>
                  <w:noWrap w:val="0"/>
                  <w:vAlign w:val="center"/>
                </w:tcPr>
                <w:p w14:paraId="3AD5025C">
                  <w:pPr>
                    <w:pStyle w:val="2"/>
                    <w:spacing w:after="0"/>
                    <w:ind w:right="0" w:rightChars="0" w:firstLine="0" w:firstLineChars="0"/>
                    <w:jc w:val="center"/>
                    <w:rPr>
                      <w:rFonts w:hint="default"/>
                      <w:color w:val="auto"/>
                      <w:lang w:val="en-US" w:eastAsia="zh-CN"/>
                    </w:rPr>
                  </w:pPr>
                  <w:r>
                    <w:rPr>
                      <w:rFonts w:hint="eastAsia"/>
                      <w:color w:val="auto"/>
                      <w:lang w:val="en-US" w:eastAsia="zh-CN"/>
                    </w:rPr>
                    <w:t>1</w:t>
                  </w:r>
                </w:p>
              </w:tc>
              <w:tc>
                <w:tcPr>
                  <w:tcW w:w="879" w:type="pct"/>
                  <w:vMerge w:val="restart"/>
                  <w:noWrap w:val="0"/>
                  <w:vAlign w:val="center"/>
                </w:tcPr>
                <w:p w14:paraId="79383260">
                  <w:pPr>
                    <w:pStyle w:val="2"/>
                    <w:spacing w:after="0"/>
                    <w:ind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hAnsi="Times New Roman" w:eastAsia="宋体" w:cs="Times New Roman"/>
                      <w:color w:val="auto"/>
                      <w:szCs w:val="21"/>
                      <w:lang w:val="en-US" w:eastAsia="zh-CN"/>
                    </w:rPr>
                    <w:t>车间或生产设施排气筒</w:t>
                  </w:r>
                </w:p>
              </w:tc>
              <w:tc>
                <w:tcPr>
                  <w:tcW w:w="1598" w:type="pct"/>
                  <w:vMerge w:val="restart"/>
                  <w:noWrap w:val="0"/>
                  <w:vAlign w:val="center"/>
                </w:tcPr>
                <w:p w14:paraId="1BDC1EF1">
                  <w:pPr>
                    <w:pStyle w:val="2"/>
                    <w:spacing w:after="0"/>
                    <w:ind w:right="0" w:rightChars="0" w:firstLine="0" w:firstLineChars="0"/>
                    <w:jc w:val="center"/>
                    <w:rPr>
                      <w:rFonts w:hint="eastAsia" w:ascii="Times New Roman" w:hAnsi="Times New Roman" w:eastAsia="宋体" w:cs="Times New Roman"/>
                      <w:color w:val="auto"/>
                      <w:sz w:val="21"/>
                      <w:szCs w:val="21"/>
                      <w:lang w:eastAsia="zh-CN"/>
                    </w:rPr>
                  </w:pPr>
                  <w:r>
                    <w:rPr>
                      <w:color w:val="auto"/>
                      <w:szCs w:val="21"/>
                    </w:rPr>
                    <w:t>《合成树</w:t>
                  </w:r>
                  <w:r>
                    <w:rPr>
                      <w:rFonts w:ascii="Times New Roman" w:hAnsi="Times New Roman" w:eastAsia="宋体" w:cs="Times New Roman"/>
                      <w:color w:val="auto"/>
                      <w:szCs w:val="21"/>
                    </w:rPr>
                    <w:t>脂工业污染物排放标准》（GB31572-2015）</w:t>
                  </w:r>
                  <w:r>
                    <w:rPr>
                      <w:rFonts w:hint="eastAsia" w:ascii="Times New Roman" w:hAnsi="Times New Roman" w:eastAsia="宋体" w:cs="Times New Roman"/>
                      <w:color w:val="auto"/>
                      <w:szCs w:val="21"/>
                      <w:lang w:val="en-US" w:eastAsia="zh-CN"/>
                    </w:rPr>
                    <w:t>及修改单（生态环境部公告2024年第17号）表5标准</w:t>
                  </w:r>
                </w:p>
              </w:tc>
            </w:tr>
            <w:tr w14:paraId="2D5DCD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40" w:type="pct"/>
                  <w:shd w:val="clear" w:color="auto" w:fill="auto"/>
                  <w:noWrap w:val="0"/>
                  <w:vAlign w:val="center"/>
                </w:tcPr>
                <w:p w14:paraId="15EE8B4C">
                  <w:pPr>
                    <w:pStyle w:val="2"/>
                    <w:spacing w:after="0"/>
                    <w:ind w:right="0" w:rightChars="0" w:firstLine="0" w:firstLineChars="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多亚甲基多苯基异氰酸酯</w:t>
                  </w:r>
                  <w:r>
                    <w:rPr>
                      <w:rFonts w:hint="eastAsia" w:cs="Times New Roman"/>
                      <w:color w:val="auto"/>
                      <w:szCs w:val="21"/>
                      <w:lang w:val="en-US" w:eastAsia="zh-CN"/>
                    </w:rPr>
                    <w:t>（MDI）</w:t>
                  </w:r>
                  <w:r>
                    <w:rPr>
                      <w:rFonts w:hint="eastAsia" w:cs="Times New Roman"/>
                      <w:color w:val="auto"/>
                      <w:szCs w:val="21"/>
                      <w:vertAlign w:val="superscript"/>
                      <w:lang w:val="en-US" w:eastAsia="zh-CN"/>
                    </w:rPr>
                    <w:t>[1]</w:t>
                  </w:r>
                </w:p>
              </w:tc>
              <w:tc>
                <w:tcPr>
                  <w:tcW w:w="635" w:type="pct"/>
                  <w:vMerge w:val="continue"/>
                  <w:noWrap w:val="0"/>
                  <w:vAlign w:val="center"/>
                </w:tcPr>
                <w:p w14:paraId="2AFC4BD5">
                  <w:pPr>
                    <w:pStyle w:val="2"/>
                    <w:spacing w:after="0"/>
                    <w:ind w:right="0" w:rightChars="0" w:firstLine="0" w:firstLineChars="0"/>
                    <w:jc w:val="center"/>
                    <w:rPr>
                      <w:rFonts w:hint="eastAsia" w:eastAsia="宋体" w:cs="Times New Roman"/>
                      <w:color w:val="auto"/>
                      <w:szCs w:val="21"/>
                      <w:lang w:val="en-US" w:eastAsia="zh-CN"/>
                    </w:rPr>
                  </w:pPr>
                </w:p>
              </w:tc>
              <w:tc>
                <w:tcPr>
                  <w:tcW w:w="543" w:type="pct"/>
                  <w:vMerge w:val="continue"/>
                  <w:noWrap w:val="0"/>
                  <w:vAlign w:val="center"/>
                </w:tcPr>
                <w:p w14:paraId="7B386E6B">
                  <w:pPr>
                    <w:pStyle w:val="2"/>
                    <w:spacing w:after="0"/>
                    <w:ind w:right="0" w:rightChars="0" w:firstLine="0" w:firstLineChars="0"/>
                    <w:jc w:val="center"/>
                    <w:rPr>
                      <w:rFonts w:hint="eastAsia"/>
                      <w:color w:val="auto"/>
                      <w:lang w:val="en-US" w:eastAsia="zh-CN"/>
                    </w:rPr>
                  </w:pPr>
                </w:p>
              </w:tc>
              <w:tc>
                <w:tcPr>
                  <w:tcW w:w="603" w:type="pct"/>
                  <w:noWrap w:val="0"/>
                  <w:vAlign w:val="center"/>
                </w:tcPr>
                <w:p w14:paraId="62D6F862">
                  <w:pPr>
                    <w:pStyle w:val="2"/>
                    <w:spacing w:after="0"/>
                    <w:ind w:right="0" w:rightChars="0" w:firstLine="0" w:firstLineChars="0"/>
                    <w:jc w:val="center"/>
                    <w:rPr>
                      <w:rFonts w:hint="default"/>
                      <w:color w:val="auto"/>
                      <w:lang w:val="en-US" w:eastAsia="zh-CN"/>
                    </w:rPr>
                  </w:pPr>
                  <w:r>
                    <w:rPr>
                      <w:rFonts w:hint="eastAsia"/>
                      <w:color w:val="auto"/>
                      <w:lang w:val="en-US" w:eastAsia="zh-CN"/>
                    </w:rPr>
                    <w:t>1</w:t>
                  </w:r>
                </w:p>
              </w:tc>
              <w:tc>
                <w:tcPr>
                  <w:tcW w:w="879" w:type="pct"/>
                  <w:vMerge w:val="continue"/>
                  <w:noWrap w:val="0"/>
                  <w:vAlign w:val="center"/>
                </w:tcPr>
                <w:p w14:paraId="6BB80D44">
                  <w:pPr>
                    <w:pStyle w:val="2"/>
                    <w:spacing w:after="0"/>
                    <w:ind w:right="0" w:rightChars="0" w:firstLine="0" w:firstLineChars="0"/>
                    <w:jc w:val="center"/>
                    <w:rPr>
                      <w:rFonts w:hint="eastAsia" w:hAnsi="Times New Roman" w:eastAsia="宋体" w:cs="Times New Roman"/>
                      <w:color w:val="auto"/>
                      <w:szCs w:val="21"/>
                      <w:lang w:val="en-US" w:eastAsia="zh-CN"/>
                    </w:rPr>
                  </w:pPr>
                </w:p>
              </w:tc>
              <w:tc>
                <w:tcPr>
                  <w:tcW w:w="1598" w:type="pct"/>
                  <w:vMerge w:val="continue"/>
                  <w:noWrap w:val="0"/>
                  <w:vAlign w:val="center"/>
                </w:tcPr>
                <w:p w14:paraId="62641BEB">
                  <w:pPr>
                    <w:pStyle w:val="2"/>
                    <w:spacing w:after="0"/>
                    <w:ind w:right="0" w:rightChars="0" w:firstLine="0" w:firstLineChars="0"/>
                    <w:jc w:val="center"/>
                    <w:rPr>
                      <w:color w:val="auto"/>
                      <w:szCs w:val="21"/>
                    </w:rPr>
                  </w:pPr>
                </w:p>
              </w:tc>
            </w:tr>
            <w:tr w14:paraId="528D4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40" w:type="pct"/>
                  <w:shd w:val="clear" w:color="auto" w:fill="auto"/>
                  <w:noWrap w:val="0"/>
                  <w:vAlign w:val="center"/>
                </w:tcPr>
                <w:p w14:paraId="3FF5A18E">
                  <w:pPr>
                    <w:pStyle w:val="2"/>
                    <w:spacing w:after="0"/>
                    <w:ind w:right="0" w:rightChars="0" w:firstLine="0" w:firstLineChars="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非甲烷总烃</w:t>
                  </w:r>
                  <w:r>
                    <w:rPr>
                      <w:rFonts w:hint="eastAsia" w:cs="Times New Roman"/>
                      <w:color w:val="auto"/>
                      <w:szCs w:val="21"/>
                      <w:vertAlign w:val="superscript"/>
                      <w:lang w:val="en-US" w:eastAsia="zh-CN"/>
                    </w:rPr>
                    <w:t>[2]</w:t>
                  </w:r>
                </w:p>
              </w:tc>
              <w:tc>
                <w:tcPr>
                  <w:tcW w:w="635" w:type="pct"/>
                  <w:vMerge w:val="continue"/>
                  <w:noWrap w:val="0"/>
                  <w:vAlign w:val="center"/>
                </w:tcPr>
                <w:p w14:paraId="618C2B96">
                  <w:pPr>
                    <w:pStyle w:val="2"/>
                    <w:spacing w:after="0"/>
                    <w:ind w:right="0" w:rightChars="0" w:firstLine="0" w:firstLineChars="0"/>
                    <w:jc w:val="center"/>
                    <w:rPr>
                      <w:rFonts w:hint="eastAsia" w:eastAsia="宋体" w:cs="Times New Roman"/>
                      <w:color w:val="auto"/>
                      <w:szCs w:val="21"/>
                      <w:lang w:val="en-US" w:eastAsia="zh-CN"/>
                    </w:rPr>
                  </w:pPr>
                </w:p>
              </w:tc>
              <w:tc>
                <w:tcPr>
                  <w:tcW w:w="543" w:type="pct"/>
                  <w:vMerge w:val="continue"/>
                  <w:noWrap w:val="0"/>
                  <w:vAlign w:val="center"/>
                </w:tcPr>
                <w:p w14:paraId="19D4BA59">
                  <w:pPr>
                    <w:pStyle w:val="2"/>
                    <w:spacing w:after="0"/>
                    <w:ind w:right="0" w:rightChars="0" w:firstLine="0" w:firstLineChars="0"/>
                    <w:jc w:val="center"/>
                    <w:rPr>
                      <w:rFonts w:hint="eastAsia"/>
                      <w:color w:val="auto"/>
                      <w:lang w:val="en-US" w:eastAsia="zh-CN"/>
                    </w:rPr>
                  </w:pPr>
                </w:p>
              </w:tc>
              <w:tc>
                <w:tcPr>
                  <w:tcW w:w="603" w:type="pct"/>
                  <w:noWrap w:val="0"/>
                  <w:vAlign w:val="center"/>
                </w:tcPr>
                <w:p w14:paraId="57E50D77">
                  <w:pPr>
                    <w:pStyle w:val="2"/>
                    <w:spacing w:after="0"/>
                    <w:ind w:right="0" w:rightChars="0" w:firstLine="0" w:firstLineChars="0"/>
                    <w:jc w:val="center"/>
                    <w:rPr>
                      <w:rFonts w:hint="default"/>
                      <w:color w:val="auto"/>
                      <w:lang w:val="en-US" w:eastAsia="zh-CN"/>
                    </w:rPr>
                  </w:pPr>
                  <w:r>
                    <w:rPr>
                      <w:rFonts w:hint="eastAsia"/>
                      <w:color w:val="auto"/>
                      <w:lang w:val="en-US" w:eastAsia="zh-CN"/>
                    </w:rPr>
                    <w:t>60</w:t>
                  </w:r>
                </w:p>
              </w:tc>
              <w:tc>
                <w:tcPr>
                  <w:tcW w:w="879" w:type="pct"/>
                  <w:vMerge w:val="continue"/>
                  <w:noWrap w:val="0"/>
                  <w:vAlign w:val="center"/>
                </w:tcPr>
                <w:p w14:paraId="375B0548">
                  <w:pPr>
                    <w:pStyle w:val="2"/>
                    <w:spacing w:after="0"/>
                    <w:ind w:right="0" w:rightChars="0" w:firstLine="0" w:firstLineChars="0"/>
                    <w:jc w:val="center"/>
                    <w:rPr>
                      <w:rFonts w:hint="eastAsia" w:hAnsi="Times New Roman" w:eastAsia="宋体" w:cs="Times New Roman"/>
                      <w:color w:val="auto"/>
                      <w:szCs w:val="21"/>
                      <w:lang w:val="en-US" w:eastAsia="zh-CN"/>
                    </w:rPr>
                  </w:pPr>
                </w:p>
              </w:tc>
              <w:tc>
                <w:tcPr>
                  <w:tcW w:w="1598" w:type="pct"/>
                  <w:vMerge w:val="continue"/>
                  <w:noWrap w:val="0"/>
                  <w:vAlign w:val="center"/>
                </w:tcPr>
                <w:p w14:paraId="3268856A">
                  <w:pPr>
                    <w:pStyle w:val="2"/>
                    <w:spacing w:after="0"/>
                    <w:ind w:right="0" w:rightChars="0" w:firstLine="0" w:firstLineChars="0"/>
                    <w:jc w:val="center"/>
                    <w:rPr>
                      <w:color w:val="auto"/>
                      <w:szCs w:val="21"/>
                    </w:rPr>
                  </w:pPr>
                </w:p>
              </w:tc>
            </w:tr>
            <w:tr w14:paraId="1B185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842" w:hRule="atLeast"/>
                <w:jc w:val="center"/>
              </w:trPr>
              <w:tc>
                <w:tcPr>
                  <w:tcW w:w="1918" w:type="pct"/>
                  <w:gridSpan w:val="3"/>
                  <w:noWrap w:val="0"/>
                  <w:vAlign w:val="center"/>
                </w:tcPr>
                <w:p w14:paraId="5DA40CDC">
                  <w:pPr>
                    <w:pStyle w:val="2"/>
                    <w:spacing w:after="0"/>
                    <w:ind w:right="0" w:rightChars="0" w:firstLine="0" w:firstLineChars="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单位产品非甲烷总烃排放量</w:t>
                  </w:r>
                </w:p>
                <w:p w14:paraId="697C27AB">
                  <w:pPr>
                    <w:pStyle w:val="2"/>
                    <w:spacing w:after="0"/>
                    <w:ind w:right="0" w:rightChars="0" w:firstLine="0" w:firstLineChars="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（kg/t产品）</w:t>
                  </w:r>
                </w:p>
              </w:tc>
              <w:tc>
                <w:tcPr>
                  <w:tcW w:w="603" w:type="pct"/>
                  <w:noWrap w:val="0"/>
                  <w:vAlign w:val="center"/>
                </w:tcPr>
                <w:p w14:paraId="5DFA911C">
                  <w:pPr>
                    <w:pStyle w:val="2"/>
                    <w:spacing w:after="0"/>
                    <w:ind w:right="0" w:rightChars="0" w:firstLine="0" w:firstLineChars="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0.3</w:t>
                  </w:r>
                </w:p>
              </w:tc>
              <w:tc>
                <w:tcPr>
                  <w:tcW w:w="879" w:type="pct"/>
                  <w:noWrap w:val="0"/>
                  <w:vAlign w:val="center"/>
                </w:tcPr>
                <w:p w14:paraId="5A364D35">
                  <w:pPr>
                    <w:pStyle w:val="2"/>
                    <w:spacing w:after="0"/>
                    <w:ind w:right="0" w:rightChars="0" w:firstLine="0" w:firstLineChars="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所有合成</w:t>
                  </w:r>
                </w:p>
                <w:p w14:paraId="1997055E">
                  <w:pPr>
                    <w:pStyle w:val="2"/>
                    <w:spacing w:after="0"/>
                    <w:ind w:right="0" w:rightChars="0" w:firstLine="0" w:firstLineChars="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树脂（有机硅树脂除外）</w:t>
                  </w:r>
                </w:p>
              </w:tc>
              <w:tc>
                <w:tcPr>
                  <w:tcW w:w="1598" w:type="pct"/>
                  <w:vMerge w:val="continue"/>
                  <w:noWrap w:val="0"/>
                  <w:vAlign w:val="center"/>
                </w:tcPr>
                <w:p w14:paraId="7B4469D2">
                  <w:pPr>
                    <w:pStyle w:val="2"/>
                    <w:spacing w:after="0"/>
                    <w:ind w:right="0" w:rightChars="0" w:firstLine="0" w:firstLineChars="0"/>
                    <w:jc w:val="center"/>
                    <w:rPr>
                      <w:rFonts w:hint="eastAsia" w:ascii="Times New Roman" w:hAnsi="Times New Roman" w:eastAsia="宋体" w:cs="Times New Roman"/>
                      <w:color w:val="auto"/>
                      <w:szCs w:val="21"/>
                      <w:lang w:val="en-US" w:eastAsia="zh-CN"/>
                    </w:rPr>
                  </w:pPr>
                </w:p>
              </w:tc>
            </w:tr>
            <w:tr w14:paraId="06728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918" w:type="pct"/>
                  <w:gridSpan w:val="3"/>
                  <w:noWrap w:val="0"/>
                  <w:vAlign w:val="center"/>
                </w:tcPr>
                <w:p w14:paraId="2074DEAF">
                  <w:pPr>
                    <w:pStyle w:val="2"/>
                    <w:spacing w:after="0"/>
                    <w:ind w:right="0" w:rightChars="0" w:firstLine="0" w:firstLineChars="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臭气浓度</w:t>
                  </w:r>
                </w:p>
                <w:p w14:paraId="2692BF7F">
                  <w:pPr>
                    <w:pStyle w:val="2"/>
                    <w:spacing w:after="0"/>
                    <w:ind w:right="0" w:rightChars="0" w:firstLine="0" w:firstLineChars="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（无量纲）</w:t>
                  </w:r>
                </w:p>
              </w:tc>
              <w:tc>
                <w:tcPr>
                  <w:tcW w:w="603" w:type="pct"/>
                  <w:noWrap w:val="0"/>
                  <w:vAlign w:val="center"/>
                </w:tcPr>
                <w:p w14:paraId="5055DDAA">
                  <w:pPr>
                    <w:pStyle w:val="2"/>
                    <w:spacing w:after="0"/>
                    <w:ind w:right="0" w:rightChars="0" w:firstLine="0" w:firstLineChars="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w:t>
                  </w:r>
                  <w:r>
                    <w:rPr>
                      <w:rFonts w:hint="eastAsia" w:ascii="Times New Roman" w:hAnsi="Times New Roman" w:eastAsia="宋体" w:cs="Times New Roman"/>
                      <w:color w:val="auto"/>
                      <w:szCs w:val="21"/>
                      <w:lang w:val="en-US" w:eastAsia="zh-CN"/>
                    </w:rPr>
                    <w:t>000</w:t>
                  </w:r>
                  <w:r>
                    <w:rPr>
                      <w:rFonts w:hint="eastAsia" w:cs="Times New Roman"/>
                      <w:color w:val="auto"/>
                      <w:szCs w:val="21"/>
                      <w:lang w:val="en-US" w:eastAsia="zh-CN"/>
                    </w:rPr>
                    <w:t>0</w:t>
                  </w:r>
                </w:p>
              </w:tc>
              <w:tc>
                <w:tcPr>
                  <w:tcW w:w="879" w:type="pct"/>
                  <w:noWrap w:val="0"/>
                  <w:vAlign w:val="center"/>
                </w:tcPr>
                <w:p w14:paraId="1A8E407D">
                  <w:pPr>
                    <w:pStyle w:val="2"/>
                    <w:spacing w:after="0"/>
                    <w:ind w:right="0" w:righ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8" w:type="pct"/>
                  <w:noWrap w:val="0"/>
                  <w:vAlign w:val="center"/>
                </w:tcPr>
                <w:p w14:paraId="05D72EC6">
                  <w:pPr>
                    <w:pStyle w:val="2"/>
                    <w:spacing w:after="0"/>
                    <w:ind w:right="0" w:righ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《恶臭污染物排放标准》（GB14554-93）表2标准</w:t>
                  </w:r>
                </w:p>
              </w:tc>
            </w:tr>
          </w:tbl>
          <w:p w14:paraId="4B6F3408">
            <w:pPr>
              <w:snapToGrid w:val="0"/>
              <w:jc w:val="both"/>
              <w:rPr>
                <w:rFonts w:hint="eastAsia" w:cs="Times New Roman"/>
                <w:color w:val="auto"/>
                <w:sz w:val="18"/>
                <w:szCs w:val="18"/>
                <w:lang w:eastAsia="zh-CN"/>
              </w:rPr>
            </w:pPr>
            <w:r>
              <w:rPr>
                <w:color w:val="auto"/>
                <w:sz w:val="18"/>
                <w:szCs w:val="18"/>
              </w:rPr>
              <w:t>注：</w:t>
            </w:r>
            <w:r>
              <w:rPr>
                <w:bCs/>
                <w:color w:val="auto"/>
                <w:sz w:val="18"/>
                <w:szCs w:val="18"/>
              </w:rPr>
              <w:t>[1</w:t>
            </w:r>
            <w:r>
              <w:rPr>
                <w:rFonts w:hint="eastAsia"/>
                <w:color w:val="auto"/>
                <w:sz w:val="18"/>
                <w:szCs w:val="18"/>
              </w:rPr>
              <w:t>]</w:t>
            </w:r>
            <w:r>
              <w:rPr>
                <w:rFonts w:ascii="Times New Roman" w:hAnsi="Times New Roman" w:cs="Times New Roman"/>
                <w:color w:val="auto"/>
                <w:sz w:val="18"/>
                <w:szCs w:val="18"/>
              </w:rPr>
              <w:t>二苯基甲烷二异氰酸酯、多亚甲基多苯基异氰酸酯待其监测方法标准发布后实施</w:t>
            </w:r>
            <w:r>
              <w:rPr>
                <w:rFonts w:hint="eastAsia" w:cs="Times New Roman"/>
                <w:color w:val="auto"/>
                <w:sz w:val="18"/>
                <w:szCs w:val="18"/>
                <w:lang w:eastAsia="zh-CN"/>
              </w:rPr>
              <w:t>；</w:t>
            </w:r>
          </w:p>
          <w:p w14:paraId="483A0D22">
            <w:pPr>
              <w:pStyle w:val="2"/>
              <w:ind w:firstLine="360" w:firstLineChars="200"/>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sz w:val="18"/>
                <w:szCs w:val="18"/>
                <w:lang w:val="en-US" w:eastAsia="zh-CN"/>
              </w:rPr>
              <w:t>[2]</w:t>
            </w:r>
            <w:r>
              <w:rPr>
                <w:rFonts w:hint="default" w:ascii="Times New Roman" w:hAnsi="Times New Roman" w:cs="Times New Roman"/>
                <w:color w:val="auto"/>
                <w:kern w:val="0"/>
                <w:sz w:val="18"/>
                <w:szCs w:val="18"/>
                <w:lang w:val="en-US" w:eastAsia="zh-CN"/>
              </w:rPr>
              <w:t>本项目发泡工序产生的废气执行《合成树脂工业污染物排放标准》（GB31572-2015）及修改单（生态环境部公告2024年第17号）表5标准，擦</w:t>
            </w:r>
            <w:r>
              <w:rPr>
                <w:rFonts w:hint="default" w:ascii="Times New Roman" w:hAnsi="Times New Roman" w:eastAsia="宋体" w:cs="Times New Roman"/>
                <w:color w:val="auto"/>
                <w:kern w:val="0"/>
                <w:sz w:val="18"/>
                <w:szCs w:val="18"/>
                <w:lang w:val="en-US" w:eastAsia="zh-CN"/>
              </w:rPr>
              <w:t>拭工序产生的废气执行《大气污染物综合排放标准》（DB32/4041-2021）表1标准，因上述废气均通过同一根排气筒（DA001）排放，所以废气排放标准选择从严执行</w:t>
            </w:r>
            <w:r>
              <w:rPr>
                <w:rFonts w:hint="default" w:ascii="Times New Roman" w:hAnsi="Times New Roman" w:cs="Times New Roman"/>
                <w:color w:val="auto"/>
                <w:kern w:val="0"/>
                <w:sz w:val="18"/>
                <w:szCs w:val="18"/>
                <w:lang w:val="en-US" w:eastAsia="zh-CN"/>
              </w:rPr>
              <w:t>《合成树脂工业污染物排放标准》（GB31572-2015）及修改单（生态环境部公告2024年第17号）表5标准</w:t>
            </w:r>
            <w:r>
              <w:rPr>
                <w:rFonts w:hint="default" w:ascii="Times New Roman" w:hAnsi="Times New Roman" w:eastAsia="宋体" w:cs="Times New Roman"/>
                <w:color w:val="auto"/>
                <w:kern w:val="0"/>
                <w:sz w:val="18"/>
                <w:szCs w:val="18"/>
                <w:lang w:val="en-US" w:eastAsia="zh-CN"/>
              </w:rPr>
              <w:t>。</w:t>
            </w:r>
          </w:p>
          <w:p w14:paraId="6706CBA6">
            <w:pPr>
              <w:tabs>
                <w:tab w:val="left" w:pos="5142"/>
              </w:tabs>
              <w:adjustRightInd w:val="0"/>
              <w:snapToGrid w:val="0"/>
              <w:ind w:firstLine="200" w:firstLineChars="200"/>
              <w:jc w:val="left"/>
              <w:rPr>
                <w:color w:val="auto"/>
                <w:sz w:val="10"/>
                <w:szCs w:val="10"/>
              </w:rPr>
            </w:pPr>
          </w:p>
          <w:p w14:paraId="7B79B96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rPr>
              <w:t>（2）无组织废气</w:t>
            </w:r>
          </w:p>
          <w:p w14:paraId="76939F57">
            <w:pPr>
              <w:spacing w:line="360" w:lineRule="auto"/>
              <w:ind w:firstLine="480" w:firstLineChars="200"/>
              <w:rPr>
                <w:b/>
                <w:bCs/>
                <w:color w:val="auto"/>
                <w:sz w:val="24"/>
              </w:rPr>
            </w:pPr>
            <w:r>
              <w:rPr>
                <w:rFonts w:ascii="Times New Roman" w:hAnsi="Times New Roman" w:eastAsia="宋体" w:cs="Times New Roman"/>
                <w:bCs/>
                <w:color w:val="auto"/>
                <w:sz w:val="24"/>
              </w:rPr>
              <w:t>本项目厂</w:t>
            </w:r>
            <w:r>
              <w:rPr>
                <w:rFonts w:ascii="Times New Roman" w:hAnsi="Times New Roman" w:cs="Times New Roman"/>
                <w:bCs/>
                <w:color w:val="auto"/>
                <w:sz w:val="24"/>
              </w:rPr>
              <w:t>界非甲烷总</w:t>
            </w:r>
            <w:r>
              <w:rPr>
                <w:rFonts w:hint="eastAsia" w:ascii="Times New Roman" w:hAnsi="Times New Roman" w:eastAsia="宋体" w:cs="Times New Roman"/>
                <w:color w:val="auto"/>
                <w:sz w:val="24"/>
                <w:szCs w:val="24"/>
              </w:rPr>
              <w:t>烃无组织排放执行</w:t>
            </w:r>
            <w:r>
              <w:rPr>
                <w:rFonts w:hint="eastAsia" w:ascii="Times New Roman" w:hAnsi="Times New Roman" w:eastAsia="宋体" w:cs="Times New Roman"/>
                <w:color w:val="auto"/>
                <w:sz w:val="24"/>
                <w:szCs w:val="24"/>
                <w:lang w:val="en-US" w:eastAsia="zh-CN"/>
              </w:rPr>
              <w:t>《合成树脂工业污染物排放标准》（GB31572-2015）及修改单（生态环境部公告2024年第17号）表9标准；厂界臭气浓度无组织排放执行《恶臭污染物排放标准》（GB14554-93）表1标准</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厂界颗粒物无组织排放执行《大气污染物综合排放标准》（DB32/4041-2021）表</w:t>
            </w:r>
            <w:r>
              <w:rPr>
                <w:rFonts w:hint="eastAsia" w:ascii="Times New Roman" w:hAnsi="Times New Roman" w:eastAsia="宋体" w:cs="Times New Roman"/>
                <w:bCs/>
                <w:color w:val="auto"/>
                <w:sz w:val="24"/>
                <w:lang w:val="en-US" w:eastAsia="zh-CN"/>
              </w:rPr>
              <w:t>3标准</w:t>
            </w:r>
            <w:r>
              <w:rPr>
                <w:rFonts w:hint="eastAsia" w:cs="Times New Roman"/>
                <w:bCs/>
                <w:color w:val="auto"/>
                <w:sz w:val="24"/>
                <w:lang w:val="en-US" w:eastAsia="zh-CN"/>
              </w:rPr>
              <w:t>；</w:t>
            </w:r>
            <w:r>
              <w:rPr>
                <w:rFonts w:ascii="Times New Roman" w:hAnsi="Times New Roman" w:cs="Times New Roman"/>
                <w:bCs/>
                <w:color w:val="auto"/>
                <w:sz w:val="24"/>
              </w:rPr>
              <w:t>厂区内VOCs无组织排放执行《大气污染物综合排放标准》（</w:t>
            </w:r>
            <w:r>
              <w:rPr>
                <w:rFonts w:hint="eastAsia" w:ascii="Times New Roman" w:hAnsi="Times New Roman" w:cs="Times New Roman"/>
                <w:bCs/>
                <w:color w:val="auto"/>
                <w:sz w:val="24"/>
              </w:rPr>
              <w:t>DB32/4041-2021</w:t>
            </w:r>
            <w:r>
              <w:rPr>
                <w:rFonts w:ascii="Times New Roman" w:hAnsi="Times New Roman" w:cs="Times New Roman"/>
                <w:bCs/>
                <w:color w:val="auto"/>
                <w:sz w:val="24"/>
              </w:rPr>
              <w:t>）</w:t>
            </w:r>
            <w:r>
              <w:rPr>
                <w:rFonts w:hint="eastAsia" w:ascii="Times New Roman" w:hAnsi="Times New Roman" w:cs="Times New Roman"/>
                <w:bCs/>
                <w:color w:val="auto"/>
                <w:sz w:val="24"/>
              </w:rPr>
              <w:t>表2</w:t>
            </w:r>
            <w:r>
              <w:rPr>
                <w:rFonts w:ascii="Times New Roman" w:hAnsi="Times New Roman" w:cs="Times New Roman"/>
                <w:bCs/>
                <w:color w:val="auto"/>
                <w:sz w:val="24"/>
              </w:rPr>
              <w:t>标准</w:t>
            </w:r>
            <w:r>
              <w:rPr>
                <w:rFonts w:hint="eastAsia" w:ascii="Times New Roman" w:hAnsi="Times New Roman" w:cs="Times New Roman"/>
                <w:bCs/>
                <w:color w:val="auto"/>
                <w:sz w:val="24"/>
              </w:rPr>
              <w:t>及</w:t>
            </w:r>
            <w:r>
              <w:rPr>
                <w:rFonts w:ascii="Times New Roman" w:hAnsi="Times New Roman" w:cs="Times New Roman"/>
                <w:bCs/>
                <w:color w:val="auto"/>
                <w:sz w:val="24"/>
              </w:rPr>
              <w:t>《挥</w:t>
            </w:r>
            <w:r>
              <w:rPr>
                <w:bCs/>
                <w:color w:val="auto"/>
                <w:sz w:val="24"/>
              </w:rPr>
              <w:t>发性有机物无组织排放控制标准》（GB37822-2019）附录A标准。</w:t>
            </w:r>
            <w:r>
              <w:rPr>
                <w:color w:val="auto"/>
                <w:sz w:val="24"/>
              </w:rPr>
              <w:t>具体见下表</w:t>
            </w:r>
            <w:r>
              <w:rPr>
                <w:rFonts w:hint="eastAsia"/>
                <w:color w:val="auto"/>
                <w:sz w:val="24"/>
              </w:rPr>
              <w:t>3-</w:t>
            </w:r>
            <w:r>
              <w:rPr>
                <w:rFonts w:hint="eastAsia"/>
                <w:color w:val="auto"/>
                <w:sz w:val="24"/>
                <w:lang w:val="en-US" w:eastAsia="zh-CN"/>
              </w:rPr>
              <w:t>7</w:t>
            </w:r>
            <w:r>
              <w:rPr>
                <w:rFonts w:hint="eastAsia"/>
                <w:color w:val="auto"/>
                <w:sz w:val="24"/>
              </w:rPr>
              <w:t>。</w:t>
            </w:r>
          </w:p>
          <w:p w14:paraId="45A2C76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eastAsia="宋体" w:cs="Times New Roman"/>
                <w:b/>
                <w:color w:val="auto"/>
                <w:kern w:val="0"/>
                <w:sz w:val="24"/>
                <w:szCs w:val="28"/>
              </w:rPr>
            </w:pPr>
            <w:r>
              <w:rPr>
                <w:rFonts w:ascii="Times New Roman" w:hAnsi="Times New Roman" w:eastAsia="宋体" w:cs="Times New Roman"/>
                <w:b/>
                <w:color w:val="auto"/>
                <w:kern w:val="0"/>
                <w:sz w:val="24"/>
                <w:szCs w:val="28"/>
              </w:rPr>
              <w:t>表</w:t>
            </w:r>
            <w:r>
              <w:rPr>
                <w:rFonts w:hint="eastAsia" w:ascii="Times New Roman" w:hAnsi="Times New Roman" w:eastAsia="宋体" w:cs="Times New Roman"/>
                <w:b/>
                <w:color w:val="auto"/>
                <w:kern w:val="0"/>
                <w:sz w:val="24"/>
                <w:szCs w:val="28"/>
              </w:rPr>
              <w:t>3-</w:t>
            </w:r>
            <w:r>
              <w:rPr>
                <w:rFonts w:hint="eastAsia" w:cs="Times New Roman"/>
                <w:b/>
                <w:color w:val="auto"/>
                <w:kern w:val="0"/>
                <w:sz w:val="24"/>
                <w:szCs w:val="28"/>
                <w:lang w:val="en-US" w:eastAsia="zh-CN"/>
              </w:rPr>
              <w:t>7</w:t>
            </w:r>
            <w:r>
              <w:rPr>
                <w:rFonts w:hint="eastAsia" w:ascii="Times New Roman" w:hAnsi="Times New Roman" w:eastAsia="宋体" w:cs="Times New Roman"/>
                <w:b/>
                <w:color w:val="auto"/>
                <w:kern w:val="0"/>
                <w:sz w:val="24"/>
                <w:szCs w:val="28"/>
              </w:rPr>
              <w:t>无组织</w:t>
            </w:r>
            <w:r>
              <w:rPr>
                <w:rFonts w:ascii="Times New Roman" w:hAnsi="Times New Roman" w:eastAsia="宋体" w:cs="Times New Roman"/>
                <w:b/>
                <w:color w:val="auto"/>
                <w:kern w:val="0"/>
                <w:sz w:val="24"/>
                <w:szCs w:val="28"/>
              </w:rPr>
              <w:t>废气排放标准限值</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10"/>
              <w:gridCol w:w="1391"/>
              <w:gridCol w:w="1351"/>
              <w:gridCol w:w="1338"/>
              <w:gridCol w:w="3076"/>
            </w:tblGrid>
            <w:tr w14:paraId="32532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554" w:type="pct"/>
                  <w:gridSpan w:val="2"/>
                  <w:vMerge w:val="restart"/>
                  <w:noWrap w:val="0"/>
                  <w:vAlign w:val="center"/>
                </w:tcPr>
                <w:p w14:paraId="5E2EE03B">
                  <w:pPr>
                    <w:pStyle w:val="2"/>
                    <w:spacing w:after="0"/>
                    <w:ind w:firstLine="0" w:firstLineChars="0"/>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污染物名称</w:t>
                  </w:r>
                </w:p>
              </w:tc>
              <w:tc>
                <w:tcPr>
                  <w:tcW w:w="1607" w:type="pct"/>
                  <w:gridSpan w:val="2"/>
                  <w:noWrap w:val="0"/>
                  <w:vAlign w:val="center"/>
                </w:tcPr>
                <w:p w14:paraId="154A069A">
                  <w:pPr>
                    <w:pStyle w:val="2"/>
                    <w:spacing w:after="0"/>
                    <w:ind w:right="0" w:rightChars="0" w:firstLine="0" w:firstLineChars="0"/>
                    <w:jc w:val="center"/>
                    <w:rPr>
                      <w:rFonts w:hint="default" w:ascii="Times New Roman" w:hAnsi="Times New Roman" w:eastAsia="宋体" w:cs="Times New Roman"/>
                      <w:b/>
                      <w:color w:val="auto"/>
                      <w:szCs w:val="21"/>
                    </w:rPr>
                  </w:pPr>
                  <w:r>
                    <w:rPr>
                      <w:rFonts w:hint="default" w:ascii="Times New Roman" w:hAnsi="Times New Roman" w:cs="Times New Roman"/>
                      <w:b/>
                      <w:color w:val="auto"/>
                      <w:szCs w:val="21"/>
                    </w:rPr>
                    <w:t>无组织排放监控浓度限值</w:t>
                  </w:r>
                </w:p>
              </w:tc>
              <w:tc>
                <w:tcPr>
                  <w:tcW w:w="1838" w:type="pct"/>
                  <w:vMerge w:val="restart"/>
                  <w:noWrap w:val="0"/>
                  <w:vAlign w:val="center"/>
                </w:tcPr>
                <w:p w14:paraId="205FD378">
                  <w:pPr>
                    <w:pStyle w:val="2"/>
                    <w:spacing w:after="0"/>
                    <w:ind w:firstLine="0" w:firstLineChars="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标准来源</w:t>
                  </w:r>
                </w:p>
              </w:tc>
            </w:tr>
            <w:tr w14:paraId="079FA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554" w:type="pct"/>
                  <w:gridSpan w:val="2"/>
                  <w:vMerge w:val="continue"/>
                  <w:noWrap w:val="0"/>
                  <w:vAlign w:val="center"/>
                </w:tcPr>
                <w:p w14:paraId="6F6C9F48">
                  <w:pPr>
                    <w:pStyle w:val="2"/>
                    <w:spacing w:after="0"/>
                    <w:ind w:firstLine="0" w:firstLineChars="0"/>
                    <w:jc w:val="center"/>
                    <w:rPr>
                      <w:rFonts w:hint="default" w:ascii="Times New Roman" w:hAnsi="Times New Roman" w:cs="Times New Roman"/>
                      <w:color w:val="auto"/>
                    </w:rPr>
                  </w:pPr>
                </w:p>
              </w:tc>
              <w:tc>
                <w:tcPr>
                  <w:tcW w:w="807" w:type="pct"/>
                  <w:noWrap w:val="0"/>
                  <w:vAlign w:val="center"/>
                </w:tcPr>
                <w:p w14:paraId="24F94F77">
                  <w:pPr>
                    <w:pStyle w:val="2"/>
                    <w:spacing w:after="0"/>
                    <w:ind w:right="0" w:rightChars="0" w:firstLine="0" w:firstLineChars="0"/>
                    <w:jc w:val="center"/>
                    <w:rPr>
                      <w:rFonts w:hint="default" w:ascii="Times New Roman" w:hAnsi="Times New Roman" w:cs="Times New Roman"/>
                      <w:color w:val="auto"/>
                    </w:rPr>
                  </w:pPr>
                  <w:r>
                    <w:rPr>
                      <w:rFonts w:hint="default" w:ascii="Times New Roman" w:hAnsi="Times New Roman" w:cs="Times New Roman"/>
                      <w:b/>
                      <w:color w:val="auto"/>
                      <w:szCs w:val="21"/>
                    </w:rPr>
                    <w:t>监控点</w:t>
                  </w:r>
                </w:p>
              </w:tc>
              <w:tc>
                <w:tcPr>
                  <w:tcW w:w="799" w:type="pct"/>
                  <w:noWrap w:val="0"/>
                  <w:vAlign w:val="center"/>
                </w:tcPr>
                <w:p w14:paraId="0B978342">
                  <w:pPr>
                    <w:pStyle w:val="2"/>
                    <w:spacing w:after="0"/>
                    <w:ind w:right="0" w:rightChars="0" w:firstLine="0" w:firstLineChars="0"/>
                    <w:jc w:val="center"/>
                    <w:rPr>
                      <w:rFonts w:hint="default" w:ascii="Times New Roman" w:hAnsi="Times New Roman" w:eastAsia="宋体" w:cs="Times New Roman"/>
                      <w:b/>
                      <w:color w:val="auto"/>
                      <w:szCs w:val="21"/>
                    </w:rPr>
                  </w:pPr>
                  <w:r>
                    <w:rPr>
                      <w:rFonts w:hint="default" w:ascii="Times New Roman" w:hAnsi="Times New Roman" w:cs="Times New Roman"/>
                      <w:b/>
                      <w:color w:val="auto"/>
                      <w:szCs w:val="21"/>
                    </w:rPr>
                    <w:t>浓度（mg/m</w:t>
                  </w:r>
                  <w:r>
                    <w:rPr>
                      <w:rFonts w:hint="default" w:ascii="Times New Roman" w:hAnsi="Times New Roman" w:cs="Times New Roman"/>
                      <w:b/>
                      <w:color w:val="auto"/>
                      <w:szCs w:val="21"/>
                      <w:vertAlign w:val="superscript"/>
                    </w:rPr>
                    <w:t>3</w:t>
                  </w:r>
                  <w:r>
                    <w:rPr>
                      <w:rFonts w:hint="default" w:ascii="Times New Roman" w:hAnsi="Times New Roman" w:cs="Times New Roman"/>
                      <w:b/>
                      <w:color w:val="auto"/>
                      <w:szCs w:val="21"/>
                    </w:rPr>
                    <w:t>）</w:t>
                  </w:r>
                </w:p>
              </w:tc>
              <w:tc>
                <w:tcPr>
                  <w:tcW w:w="1838" w:type="pct"/>
                  <w:vMerge w:val="continue"/>
                  <w:noWrap w:val="0"/>
                  <w:vAlign w:val="center"/>
                </w:tcPr>
                <w:p w14:paraId="238E0FED">
                  <w:pPr>
                    <w:pStyle w:val="2"/>
                    <w:spacing w:after="0"/>
                    <w:ind w:firstLine="0" w:firstLineChars="0"/>
                    <w:jc w:val="center"/>
                    <w:rPr>
                      <w:rFonts w:hint="default" w:ascii="Times New Roman" w:hAnsi="Times New Roman" w:eastAsia="宋体" w:cs="Times New Roman"/>
                      <w:b/>
                      <w:color w:val="auto"/>
                      <w:szCs w:val="21"/>
                    </w:rPr>
                  </w:pPr>
                </w:p>
              </w:tc>
            </w:tr>
            <w:tr w14:paraId="16C5F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65" w:hRule="atLeast"/>
                <w:jc w:val="center"/>
              </w:trPr>
              <w:tc>
                <w:tcPr>
                  <w:tcW w:w="1554" w:type="pct"/>
                  <w:gridSpan w:val="2"/>
                  <w:noWrap w:val="0"/>
                  <w:vAlign w:val="center"/>
                </w:tcPr>
                <w:p w14:paraId="152D3B07">
                  <w:pPr>
                    <w:pStyle w:val="2"/>
                    <w:spacing w:after="0"/>
                    <w:ind w:firstLine="0" w:firstLineChars="0"/>
                    <w:jc w:val="center"/>
                    <w:rPr>
                      <w:rFonts w:hint="eastAsia" w:ascii="Times New Roman" w:hAnsi="Times New Roman" w:eastAsia="宋体" w:cs="Times New Roman"/>
                      <w:color w:val="auto"/>
                      <w:szCs w:val="21"/>
                      <w:lang w:eastAsia="zh-CN"/>
                    </w:rPr>
                  </w:pPr>
                  <w:r>
                    <w:rPr>
                      <w:rFonts w:hint="eastAsia" w:cs="Times New Roman"/>
                      <w:color w:val="auto"/>
                      <w:szCs w:val="21"/>
                      <w:lang w:val="en-US" w:eastAsia="zh-CN"/>
                    </w:rPr>
                    <w:t>非甲烷总烃</w:t>
                  </w:r>
                </w:p>
              </w:tc>
              <w:tc>
                <w:tcPr>
                  <w:tcW w:w="807" w:type="pct"/>
                  <w:noWrap w:val="0"/>
                  <w:vAlign w:val="center"/>
                </w:tcPr>
                <w:p w14:paraId="1495D662">
                  <w:pPr>
                    <w:pStyle w:val="2"/>
                    <w:spacing w:after="0"/>
                    <w:ind w:firstLine="0" w:firstLineChars="0"/>
                    <w:jc w:val="center"/>
                    <w:rPr>
                      <w:rFonts w:hint="eastAsia" w:ascii="Times New Roman" w:hAnsi="Times New Roman" w:eastAsia="宋体" w:cs="Times New Roman"/>
                      <w:color w:val="auto"/>
                      <w:szCs w:val="21"/>
                      <w:lang w:eastAsia="zh-CN"/>
                    </w:rPr>
                  </w:pPr>
                  <w:r>
                    <w:rPr>
                      <w:rFonts w:hint="eastAsia" w:cs="Times New Roman"/>
                      <w:color w:val="auto"/>
                      <w:szCs w:val="21"/>
                      <w:lang w:val="en-US" w:eastAsia="zh-CN"/>
                    </w:rPr>
                    <w:t>/</w:t>
                  </w:r>
                </w:p>
              </w:tc>
              <w:tc>
                <w:tcPr>
                  <w:tcW w:w="799" w:type="pct"/>
                  <w:noWrap w:val="0"/>
                  <w:vAlign w:val="center"/>
                </w:tcPr>
                <w:p w14:paraId="236095AC">
                  <w:pPr>
                    <w:pStyle w:val="2"/>
                    <w:spacing w:after="0"/>
                    <w:ind w:firstLine="0" w:firstLineChars="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4</w:t>
                  </w:r>
                  <w:r>
                    <w:rPr>
                      <w:rFonts w:hint="eastAsia" w:cs="Times New Roman"/>
                      <w:color w:val="auto"/>
                      <w:szCs w:val="21"/>
                      <w:lang w:val="en-US" w:eastAsia="zh-CN"/>
                    </w:rPr>
                    <w:t>.0</w:t>
                  </w:r>
                </w:p>
              </w:tc>
              <w:tc>
                <w:tcPr>
                  <w:tcW w:w="1838" w:type="pct"/>
                  <w:noWrap w:val="0"/>
                  <w:vAlign w:val="center"/>
                </w:tcPr>
                <w:p w14:paraId="3D0AEA31">
                  <w:pPr>
                    <w:pStyle w:val="2"/>
                    <w:spacing w:after="0"/>
                    <w:ind w:firstLine="0" w:firstLineChars="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000000" w:themeColor="text1"/>
                      <w:szCs w:val="21"/>
                      <w:lang w:val="en-US" w:eastAsia="zh-CN"/>
                      <w14:textFill>
                        <w14:solidFill>
                          <w14:schemeClr w14:val="tx1"/>
                        </w14:solidFill>
                      </w14:textFill>
                    </w:rPr>
                    <w:t>《合成树脂工业污染物排放标准》（GB31572-2015）及修改单（生态环境部公告2024年第17号）表9标准</w:t>
                  </w:r>
                </w:p>
              </w:tc>
            </w:tr>
            <w:tr w14:paraId="75E71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65" w:hRule="atLeast"/>
                <w:jc w:val="center"/>
              </w:trPr>
              <w:tc>
                <w:tcPr>
                  <w:tcW w:w="1554" w:type="pct"/>
                  <w:gridSpan w:val="2"/>
                  <w:noWrap w:val="0"/>
                  <w:vAlign w:val="center"/>
                </w:tcPr>
                <w:p w14:paraId="7D8BBDA4">
                  <w:pPr>
                    <w:adjustRightInd w:val="0"/>
                    <w:snapToGrid w:val="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臭气浓度</w:t>
                  </w:r>
                </w:p>
                <w:p w14:paraId="3098E8F5">
                  <w:pPr>
                    <w:pStyle w:val="2"/>
                    <w:spacing w:after="0"/>
                    <w:ind w:firstLine="0" w:firstLineChars="0"/>
                    <w:jc w:val="center"/>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（无量纲）</w:t>
                  </w:r>
                </w:p>
              </w:tc>
              <w:tc>
                <w:tcPr>
                  <w:tcW w:w="807" w:type="pct"/>
                  <w:noWrap w:val="0"/>
                  <w:vAlign w:val="center"/>
                </w:tcPr>
                <w:p w14:paraId="2F8A5E23">
                  <w:pPr>
                    <w:pStyle w:val="2"/>
                    <w:spacing w:after="0"/>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799" w:type="pct"/>
                  <w:noWrap w:val="0"/>
                  <w:vAlign w:val="center"/>
                </w:tcPr>
                <w:p w14:paraId="031C46CA">
                  <w:pPr>
                    <w:pStyle w:val="2"/>
                    <w:spacing w:after="0"/>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20</w:t>
                  </w:r>
                </w:p>
              </w:tc>
              <w:tc>
                <w:tcPr>
                  <w:tcW w:w="1838" w:type="pct"/>
                  <w:noWrap w:val="0"/>
                  <w:vAlign w:val="center"/>
                </w:tcPr>
                <w:p w14:paraId="3D9CD9EC">
                  <w:pPr>
                    <w:pStyle w:val="2"/>
                    <w:spacing w:after="0"/>
                    <w:ind w:firstLine="0" w:firstLineChars="0"/>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《恶臭污染物排放标准》（GB14554-93）</w:t>
                  </w:r>
                  <w:r>
                    <w:rPr>
                      <w:rFonts w:hint="eastAsia" w:ascii="Times New Roman" w:hAnsi="Times New Roman" w:eastAsia="宋体" w:cs="Times New Roman"/>
                      <w:color w:val="auto"/>
                      <w:kern w:val="2"/>
                      <w:sz w:val="21"/>
                      <w:szCs w:val="21"/>
                      <w:lang w:val="en-US" w:eastAsia="zh-CN" w:bidi="ar-SA"/>
                    </w:rPr>
                    <w:t>表1标准</w:t>
                  </w:r>
                </w:p>
              </w:tc>
            </w:tr>
            <w:tr w14:paraId="21315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65" w:hRule="atLeast"/>
                <w:jc w:val="center"/>
              </w:trPr>
              <w:tc>
                <w:tcPr>
                  <w:tcW w:w="1554" w:type="pct"/>
                  <w:gridSpan w:val="2"/>
                  <w:noWrap w:val="0"/>
                  <w:vAlign w:val="center"/>
                </w:tcPr>
                <w:p w14:paraId="6CE8A9F7">
                  <w:pPr>
                    <w:pStyle w:val="2"/>
                    <w:spacing w:after="0"/>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颗粒物</w:t>
                  </w:r>
                </w:p>
              </w:tc>
              <w:tc>
                <w:tcPr>
                  <w:tcW w:w="807" w:type="pct"/>
                  <w:noWrap w:val="0"/>
                  <w:vAlign w:val="center"/>
                </w:tcPr>
                <w:p w14:paraId="691703DB">
                  <w:pPr>
                    <w:pStyle w:val="2"/>
                    <w:spacing w:after="0"/>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边界外浓度最高点</w:t>
                  </w:r>
                </w:p>
              </w:tc>
              <w:tc>
                <w:tcPr>
                  <w:tcW w:w="799" w:type="pct"/>
                  <w:noWrap w:val="0"/>
                  <w:vAlign w:val="center"/>
                </w:tcPr>
                <w:p w14:paraId="558216B5">
                  <w:pPr>
                    <w:pStyle w:val="2"/>
                    <w:spacing w:after="0"/>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0.5</w:t>
                  </w:r>
                </w:p>
              </w:tc>
              <w:tc>
                <w:tcPr>
                  <w:tcW w:w="1838" w:type="pct"/>
                  <w:noWrap w:val="0"/>
                  <w:vAlign w:val="center"/>
                </w:tcPr>
                <w:p w14:paraId="414E3A4B">
                  <w:pPr>
                    <w:pStyle w:val="2"/>
                    <w:spacing w:after="0"/>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《大气污染物综合排放标准》（DB32/4041-2021）表3标准</w:t>
                  </w:r>
                </w:p>
              </w:tc>
            </w:tr>
            <w:tr w14:paraId="340F7E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jc w:val="center"/>
              </w:trPr>
              <w:tc>
                <w:tcPr>
                  <w:tcW w:w="723" w:type="pct"/>
                  <w:noWrap w:val="0"/>
                  <w:vAlign w:val="center"/>
                </w:tcPr>
                <w:p w14:paraId="6EE2A0A9">
                  <w:pPr>
                    <w:pStyle w:val="2"/>
                    <w:spacing w:after="0"/>
                    <w:ind w:firstLine="0" w:firstLineChars="0"/>
                    <w:jc w:val="center"/>
                    <w:rPr>
                      <w:rFonts w:hint="default"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污染物项目</w:t>
                  </w:r>
                </w:p>
              </w:tc>
              <w:tc>
                <w:tcPr>
                  <w:tcW w:w="831" w:type="pct"/>
                  <w:noWrap w:val="0"/>
                  <w:vAlign w:val="center"/>
                </w:tcPr>
                <w:p w14:paraId="1B97658C">
                  <w:pPr>
                    <w:pStyle w:val="2"/>
                    <w:spacing w:after="0"/>
                    <w:ind w:firstLine="0" w:firstLineChars="0"/>
                    <w:jc w:val="center"/>
                    <w:rPr>
                      <w:rFonts w:hint="eastAsia" w:ascii="Times New Roman" w:hAnsi="Times New Roman" w:eastAsia="宋体" w:cs="Times New Roman"/>
                      <w:b/>
                      <w:bCs/>
                      <w:color w:val="auto"/>
                      <w:szCs w:val="21"/>
                      <w:lang w:eastAsia="zh-CN"/>
                    </w:rPr>
                  </w:pPr>
                  <w:r>
                    <w:rPr>
                      <w:rFonts w:hint="eastAsia" w:ascii="Times New Roman" w:hAnsi="Times New Roman" w:eastAsia="宋体" w:cs="Times New Roman"/>
                      <w:b/>
                      <w:bCs/>
                      <w:color w:val="auto"/>
                      <w:szCs w:val="21"/>
                      <w:lang w:eastAsia="zh-CN"/>
                    </w:rPr>
                    <w:t>监控点限值（</w:t>
                  </w:r>
                  <w:r>
                    <w:rPr>
                      <w:rFonts w:hint="eastAsia" w:ascii="Times New Roman" w:hAnsi="Times New Roman" w:eastAsia="宋体" w:cs="Times New Roman"/>
                      <w:b/>
                      <w:bCs/>
                      <w:color w:val="auto"/>
                      <w:szCs w:val="21"/>
                      <w:lang w:val="en-US" w:eastAsia="zh-CN"/>
                    </w:rPr>
                    <w:t>mg/m</w:t>
                  </w:r>
                  <w:r>
                    <w:rPr>
                      <w:rFonts w:hint="eastAsia" w:ascii="Times New Roman" w:hAnsi="Times New Roman" w:eastAsia="宋体" w:cs="Times New Roman"/>
                      <w:b/>
                      <w:bCs/>
                      <w:color w:val="auto"/>
                      <w:szCs w:val="21"/>
                      <w:vertAlign w:val="superscript"/>
                      <w:lang w:val="en-US" w:eastAsia="zh-CN"/>
                    </w:rPr>
                    <w:t>3</w:t>
                  </w:r>
                  <w:r>
                    <w:rPr>
                      <w:rFonts w:hint="eastAsia" w:ascii="Times New Roman" w:hAnsi="Times New Roman" w:eastAsia="宋体" w:cs="Times New Roman"/>
                      <w:b/>
                      <w:bCs/>
                      <w:color w:val="auto"/>
                      <w:szCs w:val="21"/>
                      <w:lang w:eastAsia="zh-CN"/>
                    </w:rPr>
                    <w:t>）</w:t>
                  </w:r>
                </w:p>
              </w:tc>
              <w:tc>
                <w:tcPr>
                  <w:tcW w:w="807" w:type="pct"/>
                  <w:noWrap w:val="0"/>
                  <w:vAlign w:val="center"/>
                </w:tcPr>
                <w:p w14:paraId="02BB5394">
                  <w:pPr>
                    <w:pStyle w:val="2"/>
                    <w:spacing w:after="0"/>
                    <w:ind w:firstLine="0" w:firstLineChars="0"/>
                    <w:jc w:val="center"/>
                    <w:rPr>
                      <w:rFonts w:hint="eastAsia" w:ascii="Times New Roman" w:hAnsi="Times New Roman" w:eastAsia="宋体" w:cs="Times New Roman"/>
                      <w:b/>
                      <w:bCs/>
                      <w:color w:val="auto"/>
                      <w:szCs w:val="21"/>
                      <w:lang w:eastAsia="zh-CN"/>
                    </w:rPr>
                  </w:pPr>
                  <w:r>
                    <w:rPr>
                      <w:rFonts w:hint="eastAsia" w:ascii="Times New Roman" w:hAnsi="Times New Roman" w:cs="Times New Roman"/>
                      <w:b/>
                      <w:bCs/>
                      <w:color w:val="auto"/>
                      <w:szCs w:val="21"/>
                      <w:lang w:eastAsia="zh-CN"/>
                    </w:rPr>
                    <w:t>限值含义</w:t>
                  </w:r>
                </w:p>
              </w:tc>
              <w:tc>
                <w:tcPr>
                  <w:tcW w:w="799" w:type="pct"/>
                  <w:noWrap w:val="0"/>
                  <w:vAlign w:val="center"/>
                </w:tcPr>
                <w:p w14:paraId="4FE7E7CD">
                  <w:pPr>
                    <w:pStyle w:val="2"/>
                    <w:spacing w:after="0"/>
                    <w:ind w:firstLine="0" w:firstLineChars="0"/>
                    <w:jc w:val="center"/>
                    <w:rPr>
                      <w:rFonts w:hint="eastAsia" w:ascii="Times New Roman" w:hAnsi="Times New Roman" w:cs="Times New Roman"/>
                      <w:b/>
                      <w:bCs/>
                      <w:color w:val="auto"/>
                      <w:szCs w:val="21"/>
                      <w:lang w:val="en-US" w:eastAsia="zh-CN"/>
                    </w:rPr>
                  </w:pPr>
                  <w:r>
                    <w:rPr>
                      <w:rFonts w:hint="eastAsia" w:ascii="Times New Roman" w:hAnsi="Times New Roman" w:cs="Times New Roman"/>
                      <w:b/>
                      <w:bCs/>
                      <w:color w:val="auto"/>
                      <w:szCs w:val="21"/>
                      <w:lang w:val="en-US" w:eastAsia="zh-CN"/>
                    </w:rPr>
                    <w:t>无组织排放监控位置</w:t>
                  </w:r>
                </w:p>
              </w:tc>
              <w:tc>
                <w:tcPr>
                  <w:tcW w:w="1838" w:type="pct"/>
                  <w:noWrap w:val="0"/>
                  <w:vAlign w:val="center"/>
                </w:tcPr>
                <w:p w14:paraId="7B737E5C">
                  <w:pPr>
                    <w:pStyle w:val="2"/>
                    <w:spacing w:after="0"/>
                    <w:ind w:firstLine="0" w:firstLineChars="0"/>
                    <w:jc w:val="center"/>
                    <w:rPr>
                      <w:rFonts w:hint="default" w:ascii="Times New Roman" w:hAnsi="Times New Roman" w:cs="Times New Roman"/>
                      <w:b/>
                      <w:bCs/>
                      <w:color w:val="auto"/>
                      <w:sz w:val="21"/>
                      <w:szCs w:val="21"/>
                    </w:rPr>
                  </w:pPr>
                  <w:r>
                    <w:rPr>
                      <w:rFonts w:hint="default" w:ascii="Times New Roman" w:hAnsi="Times New Roman" w:eastAsia="宋体" w:cs="Times New Roman"/>
                      <w:b/>
                      <w:color w:val="auto"/>
                      <w:szCs w:val="21"/>
                    </w:rPr>
                    <w:t>标准来源</w:t>
                  </w:r>
                </w:p>
              </w:tc>
            </w:tr>
            <w:tr w14:paraId="12925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jc w:val="center"/>
              </w:trPr>
              <w:tc>
                <w:tcPr>
                  <w:tcW w:w="723" w:type="pct"/>
                  <w:vMerge w:val="restart"/>
                  <w:noWrap w:val="0"/>
                  <w:vAlign w:val="center"/>
                </w:tcPr>
                <w:p w14:paraId="6DE26700">
                  <w:pPr>
                    <w:pStyle w:val="2"/>
                    <w:spacing w:after="0"/>
                    <w:ind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NMHC</w:t>
                  </w:r>
                </w:p>
              </w:tc>
              <w:tc>
                <w:tcPr>
                  <w:tcW w:w="831" w:type="pct"/>
                  <w:noWrap w:val="0"/>
                  <w:vAlign w:val="center"/>
                </w:tcPr>
                <w:p w14:paraId="42FE39C9">
                  <w:pPr>
                    <w:pStyle w:val="2"/>
                    <w:spacing w:after="0"/>
                    <w:ind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w:t>
                  </w:r>
                </w:p>
              </w:tc>
              <w:tc>
                <w:tcPr>
                  <w:tcW w:w="807" w:type="pct"/>
                  <w:noWrap w:val="0"/>
                  <w:vAlign w:val="center"/>
                </w:tcPr>
                <w:p w14:paraId="0E239E26">
                  <w:pPr>
                    <w:pStyle w:val="2"/>
                    <w:spacing w:after="0"/>
                    <w:ind w:firstLine="0" w:firstLineChars="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eastAsia="zh-CN"/>
                    </w:rPr>
                    <w:t>监控点处</w:t>
                  </w:r>
                  <w:r>
                    <w:rPr>
                      <w:rFonts w:hint="eastAsia" w:ascii="Times New Roman" w:hAnsi="Times New Roman" w:cs="Times New Roman"/>
                      <w:color w:val="auto"/>
                      <w:szCs w:val="21"/>
                      <w:lang w:val="en-US" w:eastAsia="zh-CN"/>
                    </w:rPr>
                    <w:t>1h平均浓度值</w:t>
                  </w:r>
                </w:p>
              </w:tc>
              <w:tc>
                <w:tcPr>
                  <w:tcW w:w="799" w:type="pct"/>
                  <w:vMerge w:val="restart"/>
                  <w:noWrap w:val="0"/>
                  <w:vAlign w:val="center"/>
                </w:tcPr>
                <w:p w14:paraId="5C845A05">
                  <w:pPr>
                    <w:pStyle w:val="2"/>
                    <w:spacing w:after="0"/>
                    <w:ind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在厂房外设置监控点</w:t>
                  </w:r>
                </w:p>
              </w:tc>
              <w:tc>
                <w:tcPr>
                  <w:tcW w:w="1838" w:type="pct"/>
                  <w:vMerge w:val="restart"/>
                  <w:noWrap w:val="0"/>
                  <w:vAlign w:val="center"/>
                </w:tcPr>
                <w:p w14:paraId="36226884">
                  <w:pPr>
                    <w:pStyle w:val="2"/>
                    <w:spacing w:after="0"/>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b w:val="0"/>
                      <w:bCs w:val="0"/>
                      <w:color w:val="auto"/>
                      <w:sz w:val="21"/>
                      <w:szCs w:val="21"/>
                    </w:rPr>
                    <w:t>《大气污染物综合排放标准》</w:t>
                  </w:r>
                  <w:r>
                    <w:rPr>
                      <w:rFonts w:hint="eastAsia" w:cs="Times New Roman"/>
                      <w:b w:val="0"/>
                      <w:bCs w:val="0"/>
                      <w:color w:val="auto"/>
                      <w:sz w:val="21"/>
                      <w:szCs w:val="21"/>
                      <w:lang w:eastAsia="zh-CN"/>
                    </w:rPr>
                    <w:t>（</w:t>
                  </w:r>
                  <w:r>
                    <w:rPr>
                      <w:rFonts w:hint="eastAsia" w:ascii="Times New Roman" w:hAnsi="Times New Roman" w:cs="Times New Roman"/>
                      <w:b w:val="0"/>
                      <w:bCs w:val="0"/>
                      <w:color w:val="auto"/>
                      <w:sz w:val="21"/>
                      <w:szCs w:val="21"/>
                      <w:lang w:val="en-US" w:eastAsia="zh-CN"/>
                    </w:rPr>
                    <w:t>DB32/4041-2021</w:t>
                  </w:r>
                  <w:r>
                    <w:rPr>
                      <w:rFonts w:hint="default" w:ascii="Times New Roman" w:hAnsi="Times New Roman" w:cs="Times New Roman"/>
                      <w:b w:val="0"/>
                      <w:bCs w:val="0"/>
                      <w:color w:val="auto"/>
                      <w:sz w:val="21"/>
                      <w:szCs w:val="21"/>
                    </w:rPr>
                    <w:t>）表</w:t>
                  </w:r>
                  <w:r>
                    <w:rPr>
                      <w:rFonts w:hint="eastAsia" w:ascii="Times New Roman" w:hAnsi="Times New Roman" w:cs="Times New Roman"/>
                      <w:b w:val="0"/>
                      <w:bCs w:val="0"/>
                      <w:color w:val="auto"/>
                      <w:sz w:val="21"/>
                      <w:szCs w:val="21"/>
                      <w:lang w:val="en-US" w:eastAsia="zh-CN"/>
                    </w:rPr>
                    <w:t>2标准</w:t>
                  </w:r>
                  <w:r>
                    <w:rPr>
                      <w:rFonts w:hint="eastAsia" w:cs="Times New Roman"/>
                      <w:b w:val="0"/>
                      <w:bCs w:val="0"/>
                      <w:color w:val="auto"/>
                      <w:sz w:val="21"/>
                      <w:szCs w:val="21"/>
                      <w:lang w:val="en-US" w:eastAsia="zh-CN"/>
                    </w:rPr>
                    <w:t>、</w:t>
                  </w:r>
                  <w:r>
                    <w:rPr>
                      <w:bCs/>
                      <w:color w:val="auto"/>
                      <w:sz w:val="21"/>
                      <w:szCs w:val="21"/>
                    </w:rPr>
                    <w:t>《挥发性有机物无组织排放控制标准》（GB37822-2019）附录A标准</w:t>
                  </w:r>
                </w:p>
              </w:tc>
            </w:tr>
            <w:tr w14:paraId="024BD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jc w:val="center"/>
              </w:trPr>
              <w:tc>
                <w:tcPr>
                  <w:tcW w:w="723" w:type="pct"/>
                  <w:vMerge w:val="continue"/>
                  <w:noWrap w:val="0"/>
                  <w:vAlign w:val="center"/>
                </w:tcPr>
                <w:p w14:paraId="037B60A1">
                  <w:pPr>
                    <w:pStyle w:val="2"/>
                    <w:spacing w:after="0"/>
                    <w:ind w:firstLine="0" w:firstLineChars="0"/>
                    <w:jc w:val="center"/>
                    <w:rPr>
                      <w:rFonts w:hint="eastAsia" w:ascii="Times New Roman" w:hAnsi="Times New Roman" w:eastAsia="宋体" w:cs="Times New Roman"/>
                      <w:color w:val="auto"/>
                      <w:szCs w:val="21"/>
                      <w:lang w:val="en-US" w:eastAsia="zh-CN"/>
                    </w:rPr>
                  </w:pPr>
                </w:p>
              </w:tc>
              <w:tc>
                <w:tcPr>
                  <w:tcW w:w="831" w:type="pct"/>
                  <w:noWrap w:val="0"/>
                  <w:vAlign w:val="center"/>
                </w:tcPr>
                <w:p w14:paraId="060BE2BC">
                  <w:pPr>
                    <w:pStyle w:val="2"/>
                    <w:spacing w:after="0"/>
                    <w:ind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w:t>
                  </w:r>
                </w:p>
              </w:tc>
              <w:tc>
                <w:tcPr>
                  <w:tcW w:w="807" w:type="pct"/>
                  <w:noWrap w:val="0"/>
                  <w:vAlign w:val="center"/>
                </w:tcPr>
                <w:p w14:paraId="2E198EEB">
                  <w:pPr>
                    <w:pStyle w:val="2"/>
                    <w:spacing w:after="0"/>
                    <w:ind w:firstLine="0" w:firstLineChars="0"/>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监控点处任意一次浓度值</w:t>
                  </w:r>
                </w:p>
              </w:tc>
              <w:tc>
                <w:tcPr>
                  <w:tcW w:w="799" w:type="pct"/>
                  <w:vMerge w:val="continue"/>
                  <w:noWrap w:val="0"/>
                  <w:vAlign w:val="center"/>
                </w:tcPr>
                <w:p w14:paraId="165995F3">
                  <w:pPr>
                    <w:pStyle w:val="2"/>
                    <w:spacing w:after="0"/>
                    <w:ind w:firstLine="0" w:firstLineChars="0"/>
                    <w:jc w:val="center"/>
                    <w:rPr>
                      <w:rFonts w:hint="eastAsia" w:ascii="Times New Roman" w:hAnsi="Times New Roman" w:cs="Times New Roman"/>
                      <w:color w:val="auto"/>
                      <w:szCs w:val="21"/>
                      <w:lang w:val="en-US" w:eastAsia="zh-CN"/>
                    </w:rPr>
                  </w:pPr>
                </w:p>
              </w:tc>
              <w:tc>
                <w:tcPr>
                  <w:tcW w:w="1838" w:type="pct"/>
                  <w:vMerge w:val="continue"/>
                  <w:noWrap w:val="0"/>
                  <w:vAlign w:val="center"/>
                </w:tcPr>
                <w:p w14:paraId="515BF22B">
                  <w:pPr>
                    <w:pStyle w:val="2"/>
                    <w:spacing w:after="0"/>
                    <w:ind w:firstLine="0" w:firstLineChars="0"/>
                    <w:jc w:val="center"/>
                    <w:rPr>
                      <w:rFonts w:hint="default" w:ascii="Times New Roman" w:hAnsi="Times New Roman" w:cs="Times New Roman"/>
                      <w:color w:val="auto"/>
                      <w:sz w:val="21"/>
                      <w:szCs w:val="21"/>
                    </w:rPr>
                  </w:pPr>
                </w:p>
              </w:tc>
            </w:tr>
          </w:tbl>
          <w:p w14:paraId="0591A790">
            <w:pPr>
              <w:tabs>
                <w:tab w:val="left" w:pos="5142"/>
              </w:tabs>
              <w:adjustRightInd w:val="0"/>
              <w:snapToGrid w:val="0"/>
              <w:ind w:firstLine="200" w:firstLineChars="200"/>
              <w:jc w:val="left"/>
              <w:rPr>
                <w:color w:val="FF0000"/>
                <w:sz w:val="10"/>
                <w:szCs w:val="10"/>
              </w:rPr>
            </w:pPr>
          </w:p>
          <w:p w14:paraId="6A31125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eastAsiaTheme="minorEastAsia"/>
                <w:color w:val="auto"/>
                <w:sz w:val="24"/>
                <w:szCs w:val="24"/>
              </w:rPr>
            </w:pPr>
            <w:r>
              <w:rPr>
                <w:rFonts w:hint="eastAsia" w:eastAsiaTheme="minorEastAsia"/>
                <w:color w:val="auto"/>
                <w:sz w:val="24"/>
                <w:szCs w:val="24"/>
              </w:rPr>
              <w:t>2、</w:t>
            </w:r>
            <w:r>
              <w:rPr>
                <w:rFonts w:eastAsiaTheme="minorEastAsia"/>
                <w:color w:val="auto"/>
                <w:sz w:val="24"/>
                <w:szCs w:val="24"/>
              </w:rPr>
              <w:t>水污染物排放标准</w:t>
            </w:r>
          </w:p>
          <w:p w14:paraId="20DA929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color w:val="auto"/>
                <w:sz w:val="24"/>
                <w:szCs w:val="24"/>
                <w:lang w:val="zh-CN"/>
              </w:rPr>
            </w:pPr>
            <w:r>
              <w:rPr>
                <w:rFonts w:hint="eastAsia"/>
                <w:color w:val="auto"/>
                <w:sz w:val="24"/>
                <w:szCs w:val="24"/>
              </w:rPr>
              <w:t>本项目员工生活污水</w:t>
            </w:r>
            <w:r>
              <w:rPr>
                <w:rFonts w:hint="eastAsia"/>
                <w:color w:val="auto"/>
                <w:sz w:val="24"/>
                <w:szCs w:val="24"/>
                <w:lang w:val="en-US" w:eastAsia="zh-CN"/>
              </w:rPr>
              <w:t>经园区</w:t>
            </w:r>
            <w:r>
              <w:rPr>
                <w:rFonts w:hint="eastAsia"/>
                <w:color w:val="auto"/>
                <w:sz w:val="24"/>
                <w:szCs w:val="24"/>
              </w:rPr>
              <w:t>化粪池预处理达接管要求后排入市政污水管网，接管至常州市江边污水处理厂集中处理</w:t>
            </w:r>
            <w:r>
              <w:rPr>
                <w:color w:val="auto"/>
                <w:sz w:val="24"/>
                <w:szCs w:val="24"/>
              </w:rPr>
              <w:t>。</w:t>
            </w:r>
            <w:r>
              <w:rPr>
                <w:rFonts w:hint="eastAsia"/>
                <w:color w:val="auto"/>
                <w:sz w:val="24"/>
                <w:szCs w:val="24"/>
                <w:lang w:eastAsia="zh-CN"/>
              </w:rPr>
              <w:t>常州市江边污水处理厂</w:t>
            </w:r>
            <w:r>
              <w:rPr>
                <w:color w:val="auto"/>
                <w:sz w:val="24"/>
                <w:szCs w:val="24"/>
              </w:rPr>
              <w:t>进水水质控制标准具体见表</w:t>
            </w:r>
            <w:r>
              <w:rPr>
                <w:rFonts w:hint="eastAsia"/>
                <w:color w:val="auto"/>
                <w:sz w:val="24"/>
                <w:szCs w:val="24"/>
              </w:rPr>
              <w:t>3</w:t>
            </w:r>
            <w:r>
              <w:rPr>
                <w:rFonts w:hint="eastAsia"/>
                <w:color w:val="auto"/>
                <w:sz w:val="24"/>
                <w:szCs w:val="24"/>
                <w:lang w:val="en-US" w:eastAsia="zh-CN"/>
              </w:rPr>
              <w:t>-8</w:t>
            </w:r>
            <w:r>
              <w:rPr>
                <w:color w:val="auto"/>
                <w:sz w:val="24"/>
                <w:szCs w:val="24"/>
                <w:lang w:val="zh-CN"/>
              </w:rPr>
              <w:t>。</w:t>
            </w:r>
          </w:p>
          <w:p w14:paraId="3EC1A697">
            <w:pPr>
              <w:snapToGrid w:val="0"/>
              <w:spacing w:line="360" w:lineRule="auto"/>
              <w:jc w:val="center"/>
              <w:rPr>
                <w:color w:val="auto"/>
                <w:sz w:val="24"/>
                <w:szCs w:val="24"/>
              </w:rPr>
            </w:pPr>
            <w:r>
              <w:rPr>
                <w:b/>
                <w:bCs/>
                <w:color w:val="auto"/>
                <w:sz w:val="24"/>
                <w:szCs w:val="24"/>
              </w:rPr>
              <w:t>表</w:t>
            </w:r>
            <w:r>
              <w:rPr>
                <w:rFonts w:hint="eastAsia"/>
                <w:b/>
                <w:bCs/>
                <w:color w:val="auto"/>
                <w:sz w:val="24"/>
                <w:szCs w:val="24"/>
              </w:rPr>
              <w:t>3</w:t>
            </w:r>
            <w:r>
              <w:rPr>
                <w:b/>
                <w:bCs/>
                <w:color w:val="auto"/>
                <w:sz w:val="24"/>
                <w:szCs w:val="24"/>
              </w:rPr>
              <w:t>-</w:t>
            </w:r>
            <w:r>
              <w:rPr>
                <w:rFonts w:hint="eastAsia"/>
                <w:b/>
                <w:bCs/>
                <w:color w:val="auto"/>
                <w:sz w:val="24"/>
                <w:szCs w:val="24"/>
                <w:lang w:val="en-US" w:eastAsia="zh-CN"/>
              </w:rPr>
              <w:t>8</w:t>
            </w:r>
            <w:r>
              <w:rPr>
                <w:rFonts w:hint="eastAsia"/>
                <w:b/>
                <w:bCs/>
                <w:color w:val="auto"/>
                <w:sz w:val="24"/>
                <w:szCs w:val="24"/>
                <w:lang w:eastAsia="zh-CN"/>
              </w:rPr>
              <w:t>常州市江边污水处理厂</w:t>
            </w:r>
            <w:r>
              <w:rPr>
                <w:b/>
                <w:color w:val="auto"/>
                <w:sz w:val="24"/>
                <w:szCs w:val="24"/>
              </w:rPr>
              <w:t xml:space="preserve">接管水质要求  </w:t>
            </w:r>
            <w:r>
              <w:rPr>
                <w:rFonts w:hint="eastAsia"/>
                <w:b/>
                <w:color w:val="auto"/>
                <w:sz w:val="24"/>
                <w:szCs w:val="24"/>
              </w:rPr>
              <w:t>单位：除</w:t>
            </w:r>
            <w:r>
              <w:rPr>
                <w:b/>
                <w:color w:val="auto"/>
                <w:sz w:val="24"/>
                <w:szCs w:val="24"/>
              </w:rPr>
              <w:t>pH</w:t>
            </w:r>
            <w:r>
              <w:rPr>
                <w:rFonts w:hint="eastAsia"/>
                <w:b/>
                <w:color w:val="auto"/>
                <w:sz w:val="24"/>
                <w:szCs w:val="24"/>
              </w:rPr>
              <w:t>外为</w:t>
            </w:r>
            <w:r>
              <w:rPr>
                <w:b/>
                <w:color w:val="auto"/>
                <w:sz w:val="24"/>
                <w:szCs w:val="24"/>
              </w:rPr>
              <w:t>mg/L</w:t>
            </w:r>
          </w:p>
          <w:tbl>
            <w:tblPr>
              <w:tblStyle w:val="35"/>
              <w:tblW w:w="84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2298"/>
              <w:gridCol w:w="3569"/>
            </w:tblGrid>
            <w:tr w14:paraId="374F3D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5" w:hRule="atLeast"/>
                <w:jc w:val="center"/>
              </w:trPr>
              <w:tc>
                <w:tcPr>
                  <w:tcW w:w="1548" w:type="pct"/>
                  <w:vAlign w:val="center"/>
                </w:tcPr>
                <w:p w14:paraId="04122DD3">
                  <w:pPr>
                    <w:adjustRightInd w:val="0"/>
                    <w:snapToGrid w:val="0"/>
                    <w:jc w:val="center"/>
                    <w:rPr>
                      <w:b/>
                      <w:color w:val="auto"/>
                      <w:szCs w:val="21"/>
                    </w:rPr>
                  </w:pPr>
                  <w:r>
                    <w:rPr>
                      <w:b/>
                      <w:color w:val="auto"/>
                      <w:szCs w:val="21"/>
                    </w:rPr>
                    <w:t>污染物</w:t>
                  </w:r>
                </w:p>
              </w:tc>
              <w:tc>
                <w:tcPr>
                  <w:tcW w:w="1351" w:type="pct"/>
                  <w:vAlign w:val="center"/>
                </w:tcPr>
                <w:p w14:paraId="3517C5E0">
                  <w:pPr>
                    <w:adjustRightInd w:val="0"/>
                    <w:snapToGrid w:val="0"/>
                    <w:jc w:val="center"/>
                    <w:rPr>
                      <w:b/>
                      <w:color w:val="auto"/>
                      <w:szCs w:val="21"/>
                    </w:rPr>
                  </w:pPr>
                  <w:r>
                    <w:rPr>
                      <w:b/>
                      <w:bCs/>
                      <w:color w:val="auto"/>
                      <w:szCs w:val="21"/>
                    </w:rPr>
                    <w:t>接管标准浓度限值</w:t>
                  </w:r>
                </w:p>
              </w:tc>
              <w:tc>
                <w:tcPr>
                  <w:tcW w:w="2099" w:type="pct"/>
                  <w:vAlign w:val="center"/>
                </w:tcPr>
                <w:p w14:paraId="415864E4">
                  <w:pPr>
                    <w:adjustRightInd w:val="0"/>
                    <w:snapToGrid w:val="0"/>
                    <w:jc w:val="center"/>
                    <w:rPr>
                      <w:b/>
                      <w:color w:val="auto"/>
                      <w:szCs w:val="21"/>
                    </w:rPr>
                  </w:pPr>
                  <w:r>
                    <w:rPr>
                      <w:b/>
                      <w:color w:val="auto"/>
                      <w:szCs w:val="21"/>
                    </w:rPr>
                    <w:t>标准来源</w:t>
                  </w:r>
                </w:p>
              </w:tc>
            </w:tr>
            <w:tr w14:paraId="542A4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1548" w:type="pct"/>
                  <w:vAlign w:val="center"/>
                </w:tcPr>
                <w:p w14:paraId="472EE902">
                  <w:pPr>
                    <w:adjustRightInd w:val="0"/>
                    <w:snapToGrid w:val="0"/>
                    <w:jc w:val="center"/>
                    <w:rPr>
                      <w:color w:val="auto"/>
                      <w:szCs w:val="21"/>
                    </w:rPr>
                  </w:pPr>
                  <w:r>
                    <w:rPr>
                      <w:color w:val="auto"/>
                      <w:szCs w:val="21"/>
                    </w:rPr>
                    <w:t>pH值</w:t>
                  </w:r>
                </w:p>
              </w:tc>
              <w:tc>
                <w:tcPr>
                  <w:tcW w:w="1351" w:type="pct"/>
                  <w:vAlign w:val="center"/>
                </w:tcPr>
                <w:p w14:paraId="11B76EAF">
                  <w:pPr>
                    <w:adjustRightInd w:val="0"/>
                    <w:snapToGrid w:val="0"/>
                    <w:jc w:val="center"/>
                    <w:rPr>
                      <w:color w:val="auto"/>
                      <w:szCs w:val="21"/>
                    </w:rPr>
                  </w:pPr>
                  <w:r>
                    <w:rPr>
                      <w:color w:val="auto"/>
                      <w:szCs w:val="21"/>
                    </w:rPr>
                    <w:t>6.5～9.5</w:t>
                  </w:r>
                </w:p>
              </w:tc>
              <w:tc>
                <w:tcPr>
                  <w:tcW w:w="2099" w:type="pct"/>
                  <w:vMerge w:val="restart"/>
                  <w:vAlign w:val="center"/>
                </w:tcPr>
                <w:p w14:paraId="0442422B">
                  <w:pPr>
                    <w:jc w:val="center"/>
                    <w:rPr>
                      <w:color w:val="auto"/>
                      <w:szCs w:val="21"/>
                    </w:rPr>
                  </w:pPr>
                  <w:r>
                    <w:rPr>
                      <w:color w:val="auto"/>
                      <w:szCs w:val="21"/>
                    </w:rPr>
                    <w:t>《</w:t>
                  </w:r>
                  <w:r>
                    <w:rPr>
                      <w:bCs/>
                      <w:color w:val="auto"/>
                      <w:szCs w:val="21"/>
                    </w:rPr>
                    <w:t>污水排入城镇下水道水质标准</w:t>
                  </w:r>
                  <w:r>
                    <w:rPr>
                      <w:color w:val="auto"/>
                      <w:szCs w:val="21"/>
                    </w:rPr>
                    <w:t>》（GB/T31962-2015）表1中B等级标准</w:t>
                  </w:r>
                </w:p>
              </w:tc>
            </w:tr>
            <w:tr w14:paraId="6A6F5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1548" w:type="pct"/>
                  <w:vAlign w:val="center"/>
                </w:tcPr>
                <w:p w14:paraId="059D73AD">
                  <w:pPr>
                    <w:adjustRightInd w:val="0"/>
                    <w:snapToGrid w:val="0"/>
                    <w:jc w:val="center"/>
                    <w:rPr>
                      <w:color w:val="auto"/>
                      <w:szCs w:val="21"/>
                    </w:rPr>
                  </w:pPr>
                  <w:r>
                    <w:rPr>
                      <w:color w:val="auto"/>
                      <w:szCs w:val="21"/>
                    </w:rPr>
                    <w:t>化学需氧量（COD）</w:t>
                  </w:r>
                </w:p>
              </w:tc>
              <w:tc>
                <w:tcPr>
                  <w:tcW w:w="1351" w:type="pct"/>
                  <w:vAlign w:val="center"/>
                </w:tcPr>
                <w:p w14:paraId="0BD5B1E9">
                  <w:pPr>
                    <w:adjustRightInd w:val="0"/>
                    <w:snapToGrid w:val="0"/>
                    <w:jc w:val="center"/>
                    <w:rPr>
                      <w:color w:val="auto"/>
                      <w:szCs w:val="21"/>
                    </w:rPr>
                  </w:pPr>
                  <w:r>
                    <w:rPr>
                      <w:color w:val="auto"/>
                      <w:szCs w:val="21"/>
                    </w:rPr>
                    <w:t>500</w:t>
                  </w:r>
                </w:p>
              </w:tc>
              <w:tc>
                <w:tcPr>
                  <w:tcW w:w="2099" w:type="pct"/>
                  <w:vMerge w:val="continue"/>
                  <w:vAlign w:val="center"/>
                </w:tcPr>
                <w:p w14:paraId="3C9D5A44">
                  <w:pPr>
                    <w:pStyle w:val="21"/>
                    <w:ind w:firstLine="420"/>
                    <w:jc w:val="center"/>
                    <w:rPr>
                      <w:rFonts w:ascii="Times New Roman" w:hAnsi="Times New Roman"/>
                      <w:color w:val="auto"/>
                      <w:szCs w:val="21"/>
                    </w:rPr>
                  </w:pPr>
                </w:p>
              </w:tc>
            </w:tr>
            <w:tr w14:paraId="5BC90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63" w:hRule="atLeast"/>
                <w:jc w:val="center"/>
              </w:trPr>
              <w:tc>
                <w:tcPr>
                  <w:tcW w:w="1548" w:type="pct"/>
                  <w:vAlign w:val="center"/>
                </w:tcPr>
                <w:p w14:paraId="7DEFED33">
                  <w:pPr>
                    <w:adjustRightInd w:val="0"/>
                    <w:snapToGrid w:val="0"/>
                    <w:jc w:val="center"/>
                    <w:rPr>
                      <w:color w:val="auto"/>
                      <w:szCs w:val="21"/>
                    </w:rPr>
                  </w:pPr>
                  <w:r>
                    <w:rPr>
                      <w:color w:val="auto"/>
                      <w:szCs w:val="21"/>
                    </w:rPr>
                    <w:t>悬浮物</w:t>
                  </w:r>
                </w:p>
              </w:tc>
              <w:tc>
                <w:tcPr>
                  <w:tcW w:w="1351" w:type="pct"/>
                  <w:vAlign w:val="center"/>
                </w:tcPr>
                <w:p w14:paraId="4CD9CC0C">
                  <w:pPr>
                    <w:adjustRightInd w:val="0"/>
                    <w:snapToGrid w:val="0"/>
                    <w:jc w:val="center"/>
                    <w:rPr>
                      <w:color w:val="auto"/>
                      <w:szCs w:val="21"/>
                    </w:rPr>
                  </w:pPr>
                  <w:r>
                    <w:rPr>
                      <w:color w:val="auto"/>
                      <w:szCs w:val="21"/>
                    </w:rPr>
                    <w:t>400</w:t>
                  </w:r>
                </w:p>
              </w:tc>
              <w:tc>
                <w:tcPr>
                  <w:tcW w:w="2099" w:type="pct"/>
                  <w:vMerge w:val="continue"/>
                  <w:vAlign w:val="center"/>
                </w:tcPr>
                <w:p w14:paraId="56183AF6">
                  <w:pPr>
                    <w:pStyle w:val="21"/>
                    <w:ind w:firstLine="420"/>
                    <w:jc w:val="center"/>
                    <w:rPr>
                      <w:rFonts w:ascii="Times New Roman" w:hAnsi="Times New Roman"/>
                      <w:color w:val="auto"/>
                      <w:szCs w:val="21"/>
                    </w:rPr>
                  </w:pPr>
                </w:p>
              </w:tc>
            </w:tr>
            <w:tr w14:paraId="0FF5BA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1548" w:type="pct"/>
                  <w:vAlign w:val="center"/>
                </w:tcPr>
                <w:p w14:paraId="37C28458">
                  <w:pPr>
                    <w:adjustRightInd w:val="0"/>
                    <w:snapToGrid w:val="0"/>
                    <w:jc w:val="center"/>
                    <w:rPr>
                      <w:color w:val="auto"/>
                      <w:szCs w:val="21"/>
                    </w:rPr>
                  </w:pPr>
                  <w:r>
                    <w:rPr>
                      <w:color w:val="auto"/>
                      <w:szCs w:val="21"/>
                    </w:rPr>
                    <w:t>氨氮（以N计）</w:t>
                  </w:r>
                </w:p>
              </w:tc>
              <w:tc>
                <w:tcPr>
                  <w:tcW w:w="1351" w:type="pct"/>
                  <w:vAlign w:val="center"/>
                </w:tcPr>
                <w:p w14:paraId="039F52BE">
                  <w:pPr>
                    <w:adjustRightInd w:val="0"/>
                    <w:snapToGrid w:val="0"/>
                    <w:jc w:val="center"/>
                    <w:rPr>
                      <w:color w:val="auto"/>
                      <w:szCs w:val="21"/>
                    </w:rPr>
                  </w:pPr>
                  <w:r>
                    <w:rPr>
                      <w:color w:val="auto"/>
                      <w:szCs w:val="21"/>
                    </w:rPr>
                    <w:t>45</w:t>
                  </w:r>
                </w:p>
              </w:tc>
              <w:tc>
                <w:tcPr>
                  <w:tcW w:w="2099" w:type="pct"/>
                  <w:vMerge w:val="continue"/>
                  <w:vAlign w:val="center"/>
                </w:tcPr>
                <w:p w14:paraId="47260C5B">
                  <w:pPr>
                    <w:jc w:val="center"/>
                    <w:rPr>
                      <w:color w:val="auto"/>
                      <w:szCs w:val="21"/>
                    </w:rPr>
                  </w:pPr>
                </w:p>
              </w:tc>
            </w:tr>
            <w:tr w14:paraId="43DC5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1548" w:type="pct"/>
                  <w:vAlign w:val="center"/>
                </w:tcPr>
                <w:p w14:paraId="03F8CA52">
                  <w:pPr>
                    <w:adjustRightInd w:val="0"/>
                    <w:snapToGrid w:val="0"/>
                    <w:jc w:val="center"/>
                    <w:rPr>
                      <w:color w:val="auto"/>
                      <w:szCs w:val="21"/>
                    </w:rPr>
                  </w:pPr>
                  <w:r>
                    <w:rPr>
                      <w:rFonts w:hint="eastAsia"/>
                      <w:color w:val="auto"/>
                      <w:szCs w:val="21"/>
                    </w:rPr>
                    <w:t>总氮</w:t>
                  </w:r>
                  <w:r>
                    <w:rPr>
                      <w:color w:val="auto"/>
                      <w:szCs w:val="21"/>
                    </w:rPr>
                    <w:t>（以N计）</w:t>
                  </w:r>
                </w:p>
              </w:tc>
              <w:tc>
                <w:tcPr>
                  <w:tcW w:w="1351" w:type="pct"/>
                  <w:vAlign w:val="center"/>
                </w:tcPr>
                <w:p w14:paraId="69942630">
                  <w:pPr>
                    <w:adjustRightInd w:val="0"/>
                    <w:snapToGrid w:val="0"/>
                    <w:jc w:val="center"/>
                    <w:rPr>
                      <w:color w:val="auto"/>
                      <w:szCs w:val="21"/>
                    </w:rPr>
                  </w:pPr>
                  <w:r>
                    <w:rPr>
                      <w:rFonts w:hint="eastAsia"/>
                      <w:color w:val="auto"/>
                      <w:szCs w:val="21"/>
                    </w:rPr>
                    <w:t>70</w:t>
                  </w:r>
                </w:p>
              </w:tc>
              <w:tc>
                <w:tcPr>
                  <w:tcW w:w="2099" w:type="pct"/>
                  <w:vMerge w:val="continue"/>
                  <w:vAlign w:val="center"/>
                </w:tcPr>
                <w:p w14:paraId="0EBF8ADB">
                  <w:pPr>
                    <w:jc w:val="center"/>
                    <w:rPr>
                      <w:color w:val="auto"/>
                      <w:szCs w:val="21"/>
                    </w:rPr>
                  </w:pPr>
                </w:p>
              </w:tc>
            </w:tr>
            <w:tr w14:paraId="00E39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1" w:hRule="atLeast"/>
                <w:jc w:val="center"/>
              </w:trPr>
              <w:tc>
                <w:tcPr>
                  <w:tcW w:w="1548" w:type="pct"/>
                  <w:vAlign w:val="center"/>
                </w:tcPr>
                <w:p w14:paraId="6538C674">
                  <w:pPr>
                    <w:adjustRightInd w:val="0"/>
                    <w:snapToGrid w:val="0"/>
                    <w:jc w:val="center"/>
                    <w:rPr>
                      <w:color w:val="auto"/>
                      <w:szCs w:val="21"/>
                    </w:rPr>
                  </w:pPr>
                  <w:r>
                    <w:rPr>
                      <w:color w:val="auto"/>
                      <w:szCs w:val="21"/>
                    </w:rPr>
                    <w:t>总磷（以P计）</w:t>
                  </w:r>
                </w:p>
              </w:tc>
              <w:tc>
                <w:tcPr>
                  <w:tcW w:w="1351" w:type="pct"/>
                  <w:vAlign w:val="center"/>
                </w:tcPr>
                <w:p w14:paraId="23414DB0">
                  <w:pPr>
                    <w:adjustRightInd w:val="0"/>
                    <w:snapToGrid w:val="0"/>
                    <w:jc w:val="center"/>
                    <w:rPr>
                      <w:color w:val="auto"/>
                      <w:szCs w:val="21"/>
                    </w:rPr>
                  </w:pPr>
                  <w:r>
                    <w:rPr>
                      <w:color w:val="auto"/>
                      <w:szCs w:val="21"/>
                    </w:rPr>
                    <w:t>8</w:t>
                  </w:r>
                </w:p>
              </w:tc>
              <w:tc>
                <w:tcPr>
                  <w:tcW w:w="2099" w:type="pct"/>
                  <w:vMerge w:val="continue"/>
                  <w:vAlign w:val="center"/>
                </w:tcPr>
                <w:p w14:paraId="63C65D69">
                  <w:pPr>
                    <w:jc w:val="center"/>
                    <w:rPr>
                      <w:color w:val="auto"/>
                      <w:szCs w:val="21"/>
                    </w:rPr>
                  </w:pPr>
                </w:p>
              </w:tc>
            </w:tr>
          </w:tbl>
          <w:p w14:paraId="5CD89A7E">
            <w:pPr>
              <w:snapToGrid w:val="0"/>
              <w:ind w:firstLine="200" w:firstLineChars="200"/>
              <w:rPr>
                <w:bCs/>
                <w:color w:val="auto"/>
                <w:sz w:val="10"/>
                <w:szCs w:val="10"/>
              </w:rPr>
            </w:pPr>
          </w:p>
          <w:p w14:paraId="653BDF34">
            <w:pPr>
              <w:snapToGrid w:val="0"/>
              <w:spacing w:line="360" w:lineRule="auto"/>
              <w:ind w:firstLine="480" w:firstLineChars="200"/>
              <w:rPr>
                <w:b/>
                <w:bCs/>
                <w:color w:val="auto"/>
                <w:sz w:val="24"/>
                <w:szCs w:val="24"/>
              </w:rPr>
            </w:pPr>
            <w:r>
              <w:rPr>
                <w:rFonts w:hint="eastAsia"/>
                <w:color w:val="auto"/>
                <w:sz w:val="24"/>
                <w:szCs w:val="24"/>
                <w:lang w:eastAsia="zh-CN"/>
              </w:rPr>
              <w:t>常州市江边污水处理厂</w:t>
            </w:r>
            <w:r>
              <w:rPr>
                <w:color w:val="auto"/>
                <w:sz w:val="24"/>
                <w:szCs w:val="24"/>
              </w:rPr>
              <w:t>出水主要污染物需达到《城镇污水处理厂污染物排放标准》（</w:t>
            </w:r>
            <w:r>
              <w:rPr>
                <w:rFonts w:hint="eastAsia"/>
                <w:color w:val="auto"/>
                <w:sz w:val="24"/>
                <w:szCs w:val="24"/>
              </w:rPr>
              <w:t>DB32/4440-2022</w:t>
            </w:r>
            <w:r>
              <w:rPr>
                <w:color w:val="auto"/>
                <w:sz w:val="24"/>
                <w:szCs w:val="24"/>
              </w:rPr>
              <w:t>）</w:t>
            </w:r>
            <w:r>
              <w:rPr>
                <w:rFonts w:hint="eastAsia"/>
                <w:color w:val="auto"/>
                <w:sz w:val="24"/>
                <w:szCs w:val="24"/>
              </w:rPr>
              <w:t>表1</w:t>
            </w:r>
            <w:r>
              <w:rPr>
                <w:color w:val="auto"/>
                <w:sz w:val="24"/>
                <w:szCs w:val="24"/>
              </w:rPr>
              <w:t>中</w:t>
            </w:r>
            <w:r>
              <w:rPr>
                <w:rFonts w:hint="eastAsia"/>
                <w:color w:val="auto"/>
                <w:sz w:val="24"/>
                <w:szCs w:val="24"/>
              </w:rPr>
              <w:t>B</w:t>
            </w:r>
            <w:r>
              <w:rPr>
                <w:color w:val="auto"/>
                <w:sz w:val="24"/>
                <w:szCs w:val="24"/>
              </w:rPr>
              <w:t>标准的要求</w:t>
            </w:r>
            <w:r>
              <w:rPr>
                <w:rFonts w:hint="eastAsia"/>
                <w:color w:val="auto"/>
                <w:sz w:val="24"/>
                <w:szCs w:val="24"/>
              </w:rPr>
              <w:t>。</w:t>
            </w:r>
            <w:r>
              <w:rPr>
                <w:color w:val="auto"/>
                <w:sz w:val="24"/>
                <w:szCs w:val="24"/>
              </w:rPr>
              <w:t>具体见表</w:t>
            </w:r>
            <w:r>
              <w:rPr>
                <w:rFonts w:hint="eastAsia"/>
                <w:color w:val="auto"/>
                <w:sz w:val="24"/>
                <w:szCs w:val="24"/>
              </w:rPr>
              <w:t>3</w:t>
            </w:r>
            <w:r>
              <w:rPr>
                <w:color w:val="auto"/>
                <w:sz w:val="24"/>
                <w:szCs w:val="24"/>
              </w:rPr>
              <w:t>-</w:t>
            </w:r>
            <w:r>
              <w:rPr>
                <w:rFonts w:hint="eastAsia"/>
                <w:color w:val="auto"/>
                <w:sz w:val="24"/>
                <w:szCs w:val="24"/>
                <w:lang w:val="en-US" w:eastAsia="zh-CN"/>
              </w:rPr>
              <w:t>9</w:t>
            </w:r>
            <w:r>
              <w:rPr>
                <w:color w:val="auto"/>
                <w:sz w:val="24"/>
                <w:szCs w:val="24"/>
              </w:rPr>
              <w:t>。</w:t>
            </w:r>
          </w:p>
          <w:p w14:paraId="70CCFA48">
            <w:pPr>
              <w:spacing w:line="360" w:lineRule="auto"/>
              <w:ind w:firstLine="241" w:firstLineChars="100"/>
              <w:jc w:val="center"/>
              <w:rPr>
                <w:b/>
                <w:bCs/>
                <w:color w:val="auto"/>
                <w:sz w:val="24"/>
                <w:szCs w:val="24"/>
              </w:rPr>
            </w:pPr>
          </w:p>
          <w:p w14:paraId="17BBD6F6">
            <w:pPr>
              <w:spacing w:line="360" w:lineRule="auto"/>
              <w:ind w:firstLine="241" w:firstLineChars="100"/>
              <w:jc w:val="center"/>
              <w:rPr>
                <w:b/>
                <w:bCs/>
                <w:color w:val="auto"/>
                <w:sz w:val="24"/>
                <w:szCs w:val="24"/>
              </w:rPr>
            </w:pPr>
          </w:p>
          <w:p w14:paraId="6D1203EB">
            <w:pPr>
              <w:spacing w:line="360" w:lineRule="auto"/>
              <w:ind w:firstLine="241" w:firstLineChars="100"/>
              <w:jc w:val="center"/>
              <w:rPr>
                <w:b/>
                <w:bCs/>
                <w:color w:val="auto"/>
                <w:sz w:val="24"/>
                <w:szCs w:val="24"/>
              </w:rPr>
            </w:pPr>
          </w:p>
          <w:p w14:paraId="0E785FF2">
            <w:pPr>
              <w:spacing w:line="360" w:lineRule="auto"/>
              <w:ind w:firstLine="241" w:firstLineChars="100"/>
              <w:jc w:val="center"/>
              <w:rPr>
                <w:b/>
                <w:bCs/>
                <w:color w:val="auto"/>
                <w:sz w:val="24"/>
                <w:szCs w:val="24"/>
              </w:rPr>
            </w:pPr>
          </w:p>
          <w:p w14:paraId="18642183">
            <w:pPr>
              <w:spacing w:line="360" w:lineRule="auto"/>
              <w:ind w:firstLine="241" w:firstLineChars="100"/>
              <w:jc w:val="center"/>
              <w:rPr>
                <w:b/>
                <w:bCs/>
                <w:color w:val="auto"/>
                <w:sz w:val="24"/>
                <w:szCs w:val="24"/>
              </w:rPr>
            </w:pPr>
            <w:r>
              <w:rPr>
                <w:b/>
                <w:bCs/>
                <w:color w:val="auto"/>
                <w:sz w:val="24"/>
                <w:szCs w:val="24"/>
              </w:rPr>
              <w:t>表</w:t>
            </w:r>
            <w:r>
              <w:rPr>
                <w:rFonts w:hint="eastAsia"/>
                <w:b/>
                <w:bCs/>
                <w:color w:val="auto"/>
                <w:sz w:val="24"/>
                <w:szCs w:val="24"/>
              </w:rPr>
              <w:t>3</w:t>
            </w:r>
            <w:r>
              <w:rPr>
                <w:b/>
                <w:bCs/>
                <w:color w:val="auto"/>
                <w:sz w:val="24"/>
                <w:szCs w:val="24"/>
              </w:rPr>
              <w:t>-</w:t>
            </w:r>
            <w:r>
              <w:rPr>
                <w:rFonts w:hint="eastAsia"/>
                <w:b/>
                <w:bCs/>
                <w:color w:val="auto"/>
                <w:sz w:val="24"/>
                <w:szCs w:val="24"/>
                <w:lang w:val="en-US" w:eastAsia="zh-CN"/>
              </w:rPr>
              <w:t>9</w:t>
            </w:r>
            <w:r>
              <w:rPr>
                <w:rFonts w:hint="eastAsia"/>
                <w:b/>
                <w:bCs/>
                <w:color w:val="auto"/>
                <w:sz w:val="24"/>
                <w:szCs w:val="24"/>
                <w:lang w:eastAsia="zh-CN"/>
              </w:rPr>
              <w:t>常州市江边污水处理厂</w:t>
            </w:r>
            <w:r>
              <w:rPr>
                <w:b/>
                <w:bCs/>
                <w:color w:val="auto"/>
                <w:sz w:val="24"/>
                <w:szCs w:val="24"/>
              </w:rPr>
              <w:t>尾水排放标准  单位：mg/L，除pH外</w:t>
            </w:r>
          </w:p>
          <w:tbl>
            <w:tblPr>
              <w:tblStyle w:val="35"/>
              <w:tblW w:w="505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2275"/>
              <w:gridCol w:w="3555"/>
            </w:tblGrid>
            <w:tr w14:paraId="08B5A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2" w:type="pct"/>
                  <w:vAlign w:val="center"/>
                </w:tcPr>
                <w:p w14:paraId="676AA1B5">
                  <w:pPr>
                    <w:jc w:val="center"/>
                    <w:rPr>
                      <w:b/>
                      <w:color w:val="auto"/>
                      <w:szCs w:val="21"/>
                    </w:rPr>
                  </w:pPr>
                  <w:r>
                    <w:rPr>
                      <w:b/>
                      <w:color w:val="auto"/>
                      <w:szCs w:val="21"/>
                    </w:rPr>
                    <w:t>污染物名称</w:t>
                  </w:r>
                </w:p>
              </w:tc>
              <w:tc>
                <w:tcPr>
                  <w:tcW w:w="1345" w:type="pct"/>
                  <w:vAlign w:val="center"/>
                </w:tcPr>
                <w:p w14:paraId="3E0D2083">
                  <w:pPr>
                    <w:jc w:val="center"/>
                    <w:rPr>
                      <w:b/>
                      <w:color w:val="auto"/>
                      <w:szCs w:val="21"/>
                    </w:rPr>
                  </w:pPr>
                  <w:r>
                    <w:rPr>
                      <w:b/>
                      <w:color w:val="auto"/>
                      <w:szCs w:val="21"/>
                    </w:rPr>
                    <w:t>最高允许排放限值</w:t>
                  </w:r>
                </w:p>
              </w:tc>
              <w:tc>
                <w:tcPr>
                  <w:tcW w:w="2102" w:type="pct"/>
                  <w:vAlign w:val="center"/>
                </w:tcPr>
                <w:p w14:paraId="49565250">
                  <w:pPr>
                    <w:jc w:val="center"/>
                    <w:rPr>
                      <w:b/>
                      <w:color w:val="auto"/>
                      <w:szCs w:val="21"/>
                    </w:rPr>
                  </w:pPr>
                  <w:r>
                    <w:rPr>
                      <w:b/>
                      <w:color w:val="auto"/>
                      <w:szCs w:val="21"/>
                    </w:rPr>
                    <w:t>标准来源</w:t>
                  </w:r>
                </w:p>
              </w:tc>
            </w:tr>
            <w:tr w14:paraId="4DE3D1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552" w:type="pct"/>
                  <w:vAlign w:val="center"/>
                </w:tcPr>
                <w:p w14:paraId="60A7C42F">
                  <w:pPr>
                    <w:jc w:val="center"/>
                    <w:rPr>
                      <w:rFonts w:hint="eastAsia" w:eastAsia="宋体"/>
                      <w:color w:val="auto"/>
                      <w:szCs w:val="21"/>
                      <w:lang w:eastAsia="zh-CN"/>
                    </w:rPr>
                  </w:pPr>
                  <w:r>
                    <w:rPr>
                      <w:color w:val="auto"/>
                      <w:szCs w:val="21"/>
                    </w:rPr>
                    <w:t>化学需氧量</w:t>
                  </w:r>
                  <w:r>
                    <w:rPr>
                      <w:rFonts w:hint="eastAsia"/>
                      <w:color w:val="auto"/>
                      <w:szCs w:val="21"/>
                      <w:lang w:eastAsia="zh-CN"/>
                    </w:rPr>
                    <w:t>（</w:t>
                  </w:r>
                  <w:r>
                    <w:rPr>
                      <w:color w:val="auto"/>
                      <w:szCs w:val="21"/>
                    </w:rPr>
                    <w:t>COD</w:t>
                  </w:r>
                  <w:r>
                    <w:rPr>
                      <w:rFonts w:hint="eastAsia"/>
                      <w:color w:val="auto"/>
                      <w:szCs w:val="21"/>
                      <w:lang w:eastAsia="zh-CN"/>
                    </w:rPr>
                    <w:t>）</w:t>
                  </w:r>
                </w:p>
              </w:tc>
              <w:tc>
                <w:tcPr>
                  <w:tcW w:w="1345" w:type="pct"/>
                  <w:vAlign w:val="center"/>
                </w:tcPr>
                <w:p w14:paraId="41044846">
                  <w:pPr>
                    <w:jc w:val="center"/>
                    <w:rPr>
                      <w:color w:val="auto"/>
                      <w:szCs w:val="21"/>
                    </w:rPr>
                  </w:pPr>
                  <w:r>
                    <w:rPr>
                      <w:rFonts w:hint="eastAsia"/>
                      <w:color w:val="auto"/>
                      <w:szCs w:val="21"/>
                    </w:rPr>
                    <w:t>40</w:t>
                  </w:r>
                </w:p>
              </w:tc>
              <w:tc>
                <w:tcPr>
                  <w:tcW w:w="2102" w:type="pct"/>
                  <w:vMerge w:val="restart"/>
                  <w:vAlign w:val="center"/>
                </w:tcPr>
                <w:p w14:paraId="4B6AEB5B">
                  <w:pPr>
                    <w:jc w:val="center"/>
                    <w:rPr>
                      <w:color w:val="auto"/>
                      <w:szCs w:val="21"/>
                    </w:rPr>
                  </w:pPr>
                  <w:r>
                    <w:rPr>
                      <w:color w:val="auto"/>
                      <w:szCs w:val="21"/>
                    </w:rPr>
                    <w:t>《城镇污水处理厂污染物排</w:t>
                  </w:r>
                  <w:r>
                    <w:rPr>
                      <w:color w:val="auto"/>
                      <w:szCs w:val="21"/>
                    </w:rPr>
                    <w:cr/>
                  </w:r>
                  <w:r>
                    <w:rPr>
                      <w:color w:val="auto"/>
                      <w:szCs w:val="21"/>
                    </w:rPr>
                    <w:t>放标准》（</w:t>
                  </w:r>
                  <w:r>
                    <w:rPr>
                      <w:rFonts w:hint="eastAsia"/>
                      <w:color w:val="auto"/>
                      <w:szCs w:val="21"/>
                    </w:rPr>
                    <w:t>D</w:t>
                  </w:r>
                  <w:r>
                    <w:rPr>
                      <w:color w:val="auto"/>
                      <w:szCs w:val="21"/>
                    </w:rPr>
                    <w:t>B</w:t>
                  </w:r>
                  <w:r>
                    <w:rPr>
                      <w:rFonts w:hint="eastAsia"/>
                      <w:color w:val="auto"/>
                      <w:szCs w:val="21"/>
                    </w:rPr>
                    <w:t>32/4440-2022</w:t>
                  </w:r>
                  <w:r>
                    <w:rPr>
                      <w:color w:val="auto"/>
                      <w:szCs w:val="21"/>
                    </w:rPr>
                    <w:t>）表1中</w:t>
                  </w:r>
                  <w:r>
                    <w:rPr>
                      <w:rFonts w:hint="eastAsia"/>
                      <w:color w:val="auto"/>
                      <w:szCs w:val="21"/>
                      <w:lang w:val="en-US" w:eastAsia="zh-CN"/>
                    </w:rPr>
                    <w:t>B</w:t>
                  </w:r>
                  <w:r>
                    <w:rPr>
                      <w:color w:val="auto"/>
                      <w:szCs w:val="21"/>
                    </w:rPr>
                    <w:t>标准</w:t>
                  </w:r>
                </w:p>
              </w:tc>
            </w:tr>
            <w:tr w14:paraId="145B2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552" w:type="pct"/>
                  <w:vAlign w:val="center"/>
                </w:tcPr>
                <w:p w14:paraId="5C608542">
                  <w:pPr>
                    <w:adjustRightInd w:val="0"/>
                    <w:snapToGrid w:val="0"/>
                    <w:jc w:val="center"/>
                    <w:rPr>
                      <w:color w:val="auto"/>
                      <w:szCs w:val="21"/>
                    </w:rPr>
                  </w:pPr>
                  <w:r>
                    <w:rPr>
                      <w:color w:val="auto"/>
                      <w:szCs w:val="21"/>
                    </w:rPr>
                    <w:t>氨氮（以N计）</w:t>
                  </w:r>
                </w:p>
              </w:tc>
              <w:tc>
                <w:tcPr>
                  <w:tcW w:w="1345" w:type="pct"/>
                  <w:vAlign w:val="center"/>
                </w:tcPr>
                <w:p w14:paraId="5C2BA1B3">
                  <w:pPr>
                    <w:jc w:val="center"/>
                    <w:rPr>
                      <w:color w:val="auto"/>
                      <w:szCs w:val="21"/>
                    </w:rPr>
                  </w:pPr>
                  <w:r>
                    <w:rPr>
                      <w:rFonts w:hint="eastAsia"/>
                      <w:color w:val="auto"/>
                      <w:kern w:val="0"/>
                      <w:szCs w:val="21"/>
                    </w:rPr>
                    <w:t>3</w:t>
                  </w:r>
                  <w:r>
                    <w:rPr>
                      <w:color w:val="auto"/>
                      <w:kern w:val="0"/>
                      <w:szCs w:val="21"/>
                    </w:rPr>
                    <w:t>（</w:t>
                  </w:r>
                  <w:r>
                    <w:rPr>
                      <w:rFonts w:hint="eastAsia"/>
                      <w:color w:val="auto"/>
                      <w:kern w:val="0"/>
                      <w:szCs w:val="21"/>
                    </w:rPr>
                    <w:t>5</w:t>
                  </w:r>
                  <w:r>
                    <w:rPr>
                      <w:color w:val="auto"/>
                      <w:kern w:val="0"/>
                      <w:szCs w:val="21"/>
                    </w:rPr>
                    <w:t>）</w:t>
                  </w:r>
                  <w:r>
                    <w:rPr>
                      <w:color w:val="auto"/>
                      <w:szCs w:val="21"/>
                      <w:vertAlign w:val="superscript"/>
                    </w:rPr>
                    <w:t>[</w:t>
                  </w:r>
                  <w:r>
                    <w:rPr>
                      <w:rFonts w:hint="eastAsia"/>
                      <w:color w:val="auto"/>
                      <w:szCs w:val="21"/>
                      <w:vertAlign w:val="superscript"/>
                      <w:lang w:val="en-US" w:eastAsia="zh-CN"/>
                    </w:rPr>
                    <w:t>1</w:t>
                  </w:r>
                  <w:r>
                    <w:rPr>
                      <w:color w:val="auto"/>
                      <w:szCs w:val="21"/>
                      <w:vertAlign w:val="superscript"/>
                    </w:rPr>
                    <w:t>]</w:t>
                  </w:r>
                </w:p>
              </w:tc>
              <w:tc>
                <w:tcPr>
                  <w:tcW w:w="2102" w:type="pct"/>
                  <w:vMerge w:val="continue"/>
                  <w:vAlign w:val="center"/>
                </w:tcPr>
                <w:p w14:paraId="6A7F4E34">
                  <w:pPr>
                    <w:jc w:val="center"/>
                    <w:rPr>
                      <w:color w:val="auto"/>
                      <w:szCs w:val="21"/>
                    </w:rPr>
                  </w:pPr>
                </w:p>
              </w:tc>
            </w:tr>
            <w:tr w14:paraId="3F632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552" w:type="pct"/>
                  <w:vAlign w:val="center"/>
                </w:tcPr>
                <w:p w14:paraId="7C518A99">
                  <w:pPr>
                    <w:adjustRightInd w:val="0"/>
                    <w:snapToGrid w:val="0"/>
                    <w:jc w:val="center"/>
                    <w:rPr>
                      <w:color w:val="auto"/>
                      <w:szCs w:val="21"/>
                    </w:rPr>
                  </w:pPr>
                  <w:r>
                    <w:rPr>
                      <w:color w:val="auto"/>
                      <w:szCs w:val="21"/>
                    </w:rPr>
                    <w:t>总氮（以N计）</w:t>
                  </w:r>
                </w:p>
              </w:tc>
              <w:tc>
                <w:tcPr>
                  <w:tcW w:w="1345" w:type="pct"/>
                  <w:vAlign w:val="center"/>
                </w:tcPr>
                <w:p w14:paraId="6D10D704">
                  <w:pPr>
                    <w:jc w:val="center"/>
                    <w:rPr>
                      <w:color w:val="auto"/>
                      <w:szCs w:val="21"/>
                    </w:rPr>
                  </w:pPr>
                  <w:r>
                    <w:rPr>
                      <w:rFonts w:hint="eastAsia"/>
                      <w:color w:val="auto"/>
                      <w:kern w:val="0"/>
                      <w:szCs w:val="21"/>
                    </w:rPr>
                    <w:t>10</w:t>
                  </w:r>
                  <w:r>
                    <w:rPr>
                      <w:color w:val="auto"/>
                      <w:kern w:val="0"/>
                      <w:szCs w:val="21"/>
                    </w:rPr>
                    <w:t>（</w:t>
                  </w:r>
                  <w:r>
                    <w:rPr>
                      <w:rFonts w:hint="eastAsia"/>
                      <w:color w:val="auto"/>
                      <w:kern w:val="0"/>
                      <w:szCs w:val="21"/>
                    </w:rPr>
                    <w:t>12</w:t>
                  </w:r>
                  <w:r>
                    <w:rPr>
                      <w:color w:val="auto"/>
                      <w:kern w:val="0"/>
                      <w:szCs w:val="21"/>
                    </w:rPr>
                    <w:t>）</w:t>
                  </w:r>
                  <w:r>
                    <w:rPr>
                      <w:color w:val="auto"/>
                      <w:szCs w:val="21"/>
                      <w:vertAlign w:val="superscript"/>
                    </w:rPr>
                    <w:t>[</w:t>
                  </w:r>
                  <w:r>
                    <w:rPr>
                      <w:rFonts w:hint="eastAsia"/>
                      <w:color w:val="auto"/>
                      <w:szCs w:val="21"/>
                      <w:vertAlign w:val="superscript"/>
                      <w:lang w:val="en-US" w:eastAsia="zh-CN"/>
                    </w:rPr>
                    <w:t>1</w:t>
                  </w:r>
                  <w:r>
                    <w:rPr>
                      <w:color w:val="auto"/>
                      <w:szCs w:val="21"/>
                      <w:vertAlign w:val="superscript"/>
                    </w:rPr>
                    <w:t>]</w:t>
                  </w:r>
                </w:p>
              </w:tc>
              <w:tc>
                <w:tcPr>
                  <w:tcW w:w="2102" w:type="pct"/>
                  <w:vMerge w:val="continue"/>
                  <w:vAlign w:val="center"/>
                </w:tcPr>
                <w:p w14:paraId="4630525C">
                  <w:pPr>
                    <w:jc w:val="center"/>
                    <w:rPr>
                      <w:color w:val="auto"/>
                      <w:szCs w:val="21"/>
                    </w:rPr>
                  </w:pPr>
                </w:p>
              </w:tc>
            </w:tr>
            <w:tr w14:paraId="16702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552" w:type="pct"/>
                  <w:vAlign w:val="center"/>
                </w:tcPr>
                <w:p w14:paraId="45123EDE">
                  <w:pPr>
                    <w:adjustRightInd w:val="0"/>
                    <w:snapToGrid w:val="0"/>
                    <w:jc w:val="center"/>
                    <w:rPr>
                      <w:color w:val="auto"/>
                      <w:szCs w:val="21"/>
                    </w:rPr>
                  </w:pPr>
                  <w:r>
                    <w:rPr>
                      <w:color w:val="auto"/>
                      <w:szCs w:val="21"/>
                    </w:rPr>
                    <w:t>总磷（以P计）</w:t>
                  </w:r>
                </w:p>
              </w:tc>
              <w:tc>
                <w:tcPr>
                  <w:tcW w:w="1345" w:type="pct"/>
                  <w:vAlign w:val="center"/>
                </w:tcPr>
                <w:p w14:paraId="5FC8D119">
                  <w:pPr>
                    <w:jc w:val="center"/>
                    <w:rPr>
                      <w:color w:val="auto"/>
                      <w:szCs w:val="21"/>
                    </w:rPr>
                  </w:pPr>
                  <w:r>
                    <w:rPr>
                      <w:color w:val="auto"/>
                      <w:kern w:val="0"/>
                      <w:szCs w:val="21"/>
                    </w:rPr>
                    <w:t>0.</w:t>
                  </w:r>
                  <w:r>
                    <w:rPr>
                      <w:rFonts w:hint="eastAsia"/>
                      <w:color w:val="auto"/>
                      <w:kern w:val="0"/>
                      <w:szCs w:val="21"/>
                    </w:rPr>
                    <w:t>3</w:t>
                  </w:r>
                </w:p>
              </w:tc>
              <w:tc>
                <w:tcPr>
                  <w:tcW w:w="2102" w:type="pct"/>
                  <w:vMerge w:val="continue"/>
                  <w:vAlign w:val="center"/>
                </w:tcPr>
                <w:p w14:paraId="00AE967A">
                  <w:pPr>
                    <w:jc w:val="center"/>
                    <w:rPr>
                      <w:color w:val="auto"/>
                      <w:szCs w:val="21"/>
                    </w:rPr>
                  </w:pPr>
                </w:p>
              </w:tc>
            </w:tr>
            <w:tr w14:paraId="049DA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552" w:type="pct"/>
                  <w:vAlign w:val="center"/>
                </w:tcPr>
                <w:p w14:paraId="7317D3DB">
                  <w:pPr>
                    <w:jc w:val="center"/>
                    <w:rPr>
                      <w:color w:val="auto"/>
                      <w:szCs w:val="21"/>
                    </w:rPr>
                  </w:pPr>
                  <w:r>
                    <w:rPr>
                      <w:color w:val="auto"/>
                      <w:szCs w:val="21"/>
                    </w:rPr>
                    <w:t>pH（无量纲）</w:t>
                  </w:r>
                </w:p>
              </w:tc>
              <w:tc>
                <w:tcPr>
                  <w:tcW w:w="1345" w:type="pct"/>
                  <w:vAlign w:val="center"/>
                </w:tcPr>
                <w:p w14:paraId="23645037">
                  <w:pPr>
                    <w:jc w:val="center"/>
                    <w:rPr>
                      <w:color w:val="auto"/>
                      <w:szCs w:val="21"/>
                    </w:rPr>
                  </w:pPr>
                  <w:r>
                    <w:rPr>
                      <w:color w:val="auto"/>
                      <w:szCs w:val="21"/>
                    </w:rPr>
                    <w:t>6～9</w:t>
                  </w:r>
                </w:p>
              </w:tc>
              <w:tc>
                <w:tcPr>
                  <w:tcW w:w="2102" w:type="pct"/>
                  <w:vMerge w:val="continue"/>
                  <w:vAlign w:val="center"/>
                </w:tcPr>
                <w:p w14:paraId="18828893">
                  <w:pPr>
                    <w:jc w:val="center"/>
                    <w:rPr>
                      <w:color w:val="auto"/>
                      <w:szCs w:val="21"/>
                    </w:rPr>
                  </w:pPr>
                </w:p>
              </w:tc>
            </w:tr>
            <w:tr w14:paraId="06C6F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552" w:type="pct"/>
                  <w:vAlign w:val="center"/>
                </w:tcPr>
                <w:p w14:paraId="2D54B3A5">
                  <w:pPr>
                    <w:jc w:val="center"/>
                    <w:rPr>
                      <w:color w:val="auto"/>
                      <w:szCs w:val="21"/>
                    </w:rPr>
                  </w:pPr>
                  <w:r>
                    <w:rPr>
                      <w:color w:val="auto"/>
                      <w:szCs w:val="21"/>
                    </w:rPr>
                    <w:t>悬浮物（SS）</w:t>
                  </w:r>
                </w:p>
              </w:tc>
              <w:tc>
                <w:tcPr>
                  <w:tcW w:w="1345" w:type="pct"/>
                  <w:vAlign w:val="center"/>
                </w:tcPr>
                <w:p w14:paraId="0C89923A">
                  <w:pPr>
                    <w:jc w:val="center"/>
                    <w:rPr>
                      <w:color w:val="auto"/>
                      <w:szCs w:val="21"/>
                    </w:rPr>
                  </w:pPr>
                  <w:r>
                    <w:rPr>
                      <w:color w:val="auto"/>
                      <w:szCs w:val="21"/>
                    </w:rPr>
                    <w:t>10</w:t>
                  </w:r>
                </w:p>
              </w:tc>
              <w:tc>
                <w:tcPr>
                  <w:tcW w:w="2102" w:type="pct"/>
                  <w:vMerge w:val="continue"/>
                  <w:vAlign w:val="center"/>
                </w:tcPr>
                <w:p w14:paraId="238FB57F">
                  <w:pPr>
                    <w:jc w:val="center"/>
                    <w:rPr>
                      <w:color w:val="auto"/>
                      <w:szCs w:val="21"/>
                    </w:rPr>
                  </w:pPr>
                </w:p>
              </w:tc>
            </w:tr>
          </w:tbl>
          <w:p w14:paraId="1A2A7B94">
            <w:pPr>
              <w:snapToGrid w:val="0"/>
              <w:ind w:firstLine="360" w:firstLineChars="200"/>
              <w:jc w:val="left"/>
              <w:rPr>
                <w:color w:val="auto"/>
                <w:sz w:val="18"/>
                <w:szCs w:val="18"/>
              </w:rPr>
            </w:pPr>
            <w:r>
              <w:rPr>
                <w:color w:val="auto"/>
                <w:sz w:val="18"/>
                <w:szCs w:val="18"/>
              </w:rPr>
              <w:t>注：</w:t>
            </w:r>
            <w:r>
              <w:rPr>
                <w:bCs/>
                <w:color w:val="auto"/>
                <w:sz w:val="18"/>
                <w:szCs w:val="18"/>
              </w:rPr>
              <w:t>[1</w:t>
            </w:r>
            <w:r>
              <w:rPr>
                <w:rFonts w:hint="eastAsia"/>
                <w:color w:val="auto"/>
                <w:sz w:val="18"/>
                <w:szCs w:val="18"/>
              </w:rPr>
              <w:t>]每年11月1日至次年3月31日执行括号内排放限值。</w:t>
            </w:r>
          </w:p>
          <w:p w14:paraId="1C525602">
            <w:pPr>
              <w:snapToGrid w:val="0"/>
              <w:ind w:firstLine="200" w:firstLineChars="200"/>
              <w:rPr>
                <w:rFonts w:eastAsiaTheme="minorEastAsia"/>
                <w:color w:val="auto"/>
                <w:sz w:val="10"/>
                <w:szCs w:val="10"/>
              </w:rPr>
            </w:pPr>
          </w:p>
          <w:p w14:paraId="613F9534">
            <w:pPr>
              <w:snapToGrid w:val="0"/>
              <w:spacing w:line="360" w:lineRule="auto"/>
              <w:ind w:firstLine="480" w:firstLineChars="200"/>
              <w:rPr>
                <w:color w:val="auto"/>
                <w:sz w:val="24"/>
                <w:szCs w:val="24"/>
              </w:rPr>
            </w:pPr>
            <w:r>
              <w:rPr>
                <w:rFonts w:hint="eastAsia" w:eastAsiaTheme="minorEastAsia"/>
                <w:color w:val="auto"/>
                <w:sz w:val="24"/>
                <w:szCs w:val="24"/>
                <w:lang w:val="en-US" w:eastAsia="zh-CN"/>
              </w:rPr>
              <w:t>3</w:t>
            </w:r>
            <w:r>
              <w:rPr>
                <w:color w:val="auto"/>
                <w:sz w:val="24"/>
                <w:szCs w:val="24"/>
              </w:rPr>
              <w:t>、噪声排放标准</w:t>
            </w:r>
          </w:p>
          <w:p w14:paraId="34A65BFB">
            <w:pPr>
              <w:snapToGrid w:val="0"/>
              <w:spacing w:line="360" w:lineRule="auto"/>
              <w:ind w:firstLine="480" w:firstLineChars="200"/>
              <w:rPr>
                <w:color w:val="auto"/>
                <w:sz w:val="24"/>
                <w:szCs w:val="24"/>
              </w:rPr>
            </w:pPr>
            <w:r>
              <w:rPr>
                <w:color w:val="auto"/>
                <w:sz w:val="24"/>
                <w:szCs w:val="24"/>
              </w:rPr>
              <w:t>厂界噪声排放执行《工业企业厂界环境噪声排放标准》（GB12348-2008）表1中</w:t>
            </w:r>
            <w:r>
              <w:rPr>
                <w:rFonts w:hint="eastAsia"/>
                <w:color w:val="auto"/>
                <w:sz w:val="24"/>
                <w:szCs w:val="24"/>
              </w:rPr>
              <w:t>3</w:t>
            </w:r>
            <w:r>
              <w:rPr>
                <w:color w:val="auto"/>
                <w:sz w:val="24"/>
                <w:szCs w:val="24"/>
              </w:rPr>
              <w:t>类功能区对应标准限值，具体见表</w:t>
            </w:r>
            <w:r>
              <w:rPr>
                <w:rFonts w:hint="eastAsia"/>
                <w:color w:val="auto"/>
                <w:sz w:val="24"/>
                <w:szCs w:val="24"/>
              </w:rPr>
              <w:t>3</w:t>
            </w:r>
            <w:r>
              <w:rPr>
                <w:color w:val="auto"/>
                <w:sz w:val="24"/>
                <w:szCs w:val="24"/>
              </w:rPr>
              <w:t>-</w:t>
            </w:r>
            <w:r>
              <w:rPr>
                <w:rFonts w:hint="eastAsia"/>
                <w:color w:val="auto"/>
                <w:sz w:val="24"/>
                <w:szCs w:val="24"/>
                <w:lang w:val="en-US" w:eastAsia="zh-CN"/>
              </w:rPr>
              <w:t>10</w:t>
            </w:r>
            <w:r>
              <w:rPr>
                <w:color w:val="auto"/>
                <w:sz w:val="24"/>
                <w:szCs w:val="24"/>
              </w:rPr>
              <w:t>。</w:t>
            </w:r>
          </w:p>
          <w:p w14:paraId="7DACDC1E">
            <w:pPr>
              <w:snapToGrid w:val="0"/>
              <w:spacing w:line="324" w:lineRule="auto"/>
              <w:jc w:val="center"/>
              <w:rPr>
                <w:b/>
                <w:bCs/>
                <w:color w:val="auto"/>
                <w:sz w:val="24"/>
                <w:szCs w:val="24"/>
              </w:rPr>
            </w:pPr>
            <w:r>
              <w:rPr>
                <w:b/>
                <w:bCs/>
                <w:color w:val="auto"/>
                <w:sz w:val="24"/>
                <w:szCs w:val="24"/>
              </w:rPr>
              <w:t>表</w:t>
            </w:r>
            <w:r>
              <w:rPr>
                <w:rFonts w:hint="eastAsia"/>
                <w:b/>
                <w:bCs/>
                <w:color w:val="auto"/>
                <w:sz w:val="24"/>
                <w:szCs w:val="24"/>
              </w:rPr>
              <w:t>3</w:t>
            </w:r>
            <w:r>
              <w:rPr>
                <w:b/>
                <w:bCs/>
                <w:color w:val="auto"/>
                <w:sz w:val="24"/>
                <w:szCs w:val="24"/>
              </w:rPr>
              <w:t>-</w:t>
            </w:r>
            <w:r>
              <w:rPr>
                <w:rFonts w:hint="eastAsia"/>
                <w:b/>
                <w:bCs/>
                <w:color w:val="auto"/>
                <w:sz w:val="24"/>
                <w:szCs w:val="24"/>
                <w:lang w:val="en-US" w:eastAsia="zh-CN"/>
              </w:rPr>
              <w:t>10</w:t>
            </w:r>
            <w:r>
              <w:rPr>
                <w:b/>
                <w:bCs/>
                <w:color w:val="auto"/>
                <w:sz w:val="24"/>
                <w:szCs w:val="24"/>
              </w:rPr>
              <w:t>工业企业厂界环境噪声排放限值</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680"/>
              <w:gridCol w:w="2819"/>
              <w:gridCol w:w="2864"/>
            </w:tblGrid>
            <w:tr w14:paraId="6A575E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1602" w:type="pct"/>
                  <w:tcBorders>
                    <w:tl2br w:val="single" w:color="auto" w:sz="4" w:space="0"/>
                  </w:tcBorders>
                  <w:vAlign w:val="center"/>
                </w:tcPr>
                <w:p w14:paraId="0CCE530E">
                  <w:pPr>
                    <w:ind w:right="315"/>
                    <w:jc w:val="right"/>
                    <w:rPr>
                      <w:b/>
                      <w:bCs/>
                      <w:color w:val="auto"/>
                    </w:rPr>
                  </w:pPr>
                  <w:r>
                    <w:rPr>
                      <w:b/>
                      <w:bCs/>
                      <w:color w:val="auto"/>
                    </w:rPr>
                    <w:t>时段</w:t>
                  </w:r>
                </w:p>
                <w:p w14:paraId="6822C641">
                  <w:pPr>
                    <w:rPr>
                      <w:b/>
                      <w:bCs/>
                      <w:color w:val="auto"/>
                    </w:rPr>
                  </w:pPr>
                  <w:r>
                    <w:rPr>
                      <w:b/>
                      <w:bCs/>
                      <w:color w:val="auto"/>
                    </w:rPr>
                    <w:t>厂界外</w:t>
                  </w:r>
                </w:p>
                <w:p w14:paraId="0C91DFEE">
                  <w:pPr>
                    <w:rPr>
                      <w:b/>
                      <w:bCs/>
                      <w:color w:val="auto"/>
                    </w:rPr>
                  </w:pPr>
                  <w:r>
                    <w:rPr>
                      <w:b/>
                      <w:bCs/>
                      <w:color w:val="auto"/>
                    </w:rPr>
                    <w:t>声环境功能区类别</w:t>
                  </w:r>
                </w:p>
              </w:tc>
              <w:tc>
                <w:tcPr>
                  <w:tcW w:w="1685" w:type="pct"/>
                  <w:vAlign w:val="center"/>
                </w:tcPr>
                <w:p w14:paraId="3DC2C71F">
                  <w:pPr>
                    <w:jc w:val="center"/>
                    <w:rPr>
                      <w:b/>
                      <w:bCs/>
                      <w:color w:val="auto"/>
                    </w:rPr>
                  </w:pPr>
                  <w:r>
                    <w:rPr>
                      <w:b/>
                      <w:bCs/>
                      <w:color w:val="auto"/>
                    </w:rPr>
                    <w:t>昼间（dB（A））</w:t>
                  </w:r>
                </w:p>
              </w:tc>
              <w:tc>
                <w:tcPr>
                  <w:tcW w:w="1712" w:type="pct"/>
                  <w:vAlign w:val="center"/>
                </w:tcPr>
                <w:p w14:paraId="54C69E1D">
                  <w:pPr>
                    <w:jc w:val="center"/>
                    <w:rPr>
                      <w:b/>
                      <w:bCs/>
                      <w:color w:val="auto"/>
                    </w:rPr>
                  </w:pPr>
                  <w:r>
                    <w:rPr>
                      <w:b/>
                      <w:bCs/>
                      <w:color w:val="auto"/>
                    </w:rPr>
                    <w:t>夜间（dB（A））</w:t>
                  </w:r>
                </w:p>
              </w:tc>
            </w:tr>
            <w:tr w14:paraId="19E80B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6" w:hRule="atLeast"/>
                <w:jc w:val="center"/>
              </w:trPr>
              <w:tc>
                <w:tcPr>
                  <w:tcW w:w="1602" w:type="pct"/>
                  <w:vAlign w:val="center"/>
                </w:tcPr>
                <w:p w14:paraId="5A44E848">
                  <w:pPr>
                    <w:jc w:val="center"/>
                    <w:rPr>
                      <w:color w:val="auto"/>
                    </w:rPr>
                  </w:pPr>
                  <w:r>
                    <w:rPr>
                      <w:rFonts w:hint="eastAsia"/>
                      <w:color w:val="auto"/>
                    </w:rPr>
                    <w:t>3</w:t>
                  </w:r>
                </w:p>
              </w:tc>
              <w:tc>
                <w:tcPr>
                  <w:tcW w:w="1685" w:type="pct"/>
                  <w:vAlign w:val="center"/>
                </w:tcPr>
                <w:p w14:paraId="2AA01842">
                  <w:pPr>
                    <w:jc w:val="center"/>
                    <w:rPr>
                      <w:color w:val="auto"/>
                    </w:rPr>
                  </w:pPr>
                  <w:r>
                    <w:rPr>
                      <w:rFonts w:hint="eastAsia"/>
                      <w:color w:val="auto"/>
                    </w:rPr>
                    <w:t>65</w:t>
                  </w:r>
                </w:p>
              </w:tc>
              <w:tc>
                <w:tcPr>
                  <w:tcW w:w="1712" w:type="pct"/>
                  <w:vAlign w:val="center"/>
                </w:tcPr>
                <w:p w14:paraId="50A45D9B">
                  <w:pPr>
                    <w:jc w:val="center"/>
                    <w:rPr>
                      <w:color w:val="auto"/>
                    </w:rPr>
                  </w:pPr>
                  <w:r>
                    <w:rPr>
                      <w:color w:val="auto"/>
                    </w:rPr>
                    <w:t>5</w:t>
                  </w:r>
                  <w:r>
                    <w:rPr>
                      <w:rFonts w:hint="eastAsia"/>
                      <w:color w:val="auto"/>
                    </w:rPr>
                    <w:t>5</w:t>
                  </w:r>
                </w:p>
              </w:tc>
            </w:tr>
          </w:tbl>
          <w:p w14:paraId="023A9928">
            <w:pPr>
              <w:snapToGrid w:val="0"/>
              <w:ind w:firstLine="200" w:firstLineChars="200"/>
              <w:rPr>
                <w:bCs/>
                <w:color w:val="FF0000"/>
                <w:sz w:val="10"/>
                <w:szCs w:val="10"/>
              </w:rPr>
            </w:pPr>
          </w:p>
          <w:p w14:paraId="4433A430">
            <w:pPr>
              <w:snapToGrid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4、固体废物</w:t>
            </w:r>
          </w:p>
          <w:p w14:paraId="1AC67D69">
            <w:pPr>
              <w:snapToGrid w:val="0"/>
              <w:spacing w:line="360" w:lineRule="auto"/>
              <w:ind w:firstLine="480" w:firstLineChars="200"/>
              <w:rPr>
                <w:rFonts w:hint="eastAsia" w:eastAsia="宋体"/>
                <w:color w:val="auto"/>
                <w:sz w:val="24"/>
                <w:szCs w:val="24"/>
                <w:lang w:eastAsia="zh-CN"/>
              </w:rPr>
            </w:pPr>
            <w:r>
              <w:rPr>
                <w:rFonts w:hint="eastAsia"/>
                <w:color w:val="auto"/>
                <w:sz w:val="24"/>
                <w:szCs w:val="24"/>
              </w:rPr>
              <w:t>项目运营期产生的一般工业固废储存参照《一般工业固体废物贮存和填埋污染控制标准》（GB18599-2020）中相关规定执行。项目产生的危险废物在收集、贮存、运输过程中执行《危险废物贮存污染控制标准》（GB18597-2023）、《危险废物收集贮存运输技术规范》（HJ2025-2012）、《关于印发江苏省危险废物贮存规范化管理专项整治行动方案的通知》（苏环办〔2019〕149号）、《危险废物识别标志设置技术规范》（HJ1276-2022）、《省生态环境厅关于做好&lt;危险废物贮存污染控制标准&gt;等标准规范实施后危险废物环境管理衔接工作的通知》（苏环办</w:t>
            </w:r>
            <w:r>
              <w:rPr>
                <w:rFonts w:hint="eastAsia"/>
                <w:color w:val="auto"/>
                <w:kern w:val="0"/>
                <w:sz w:val="24"/>
                <w:szCs w:val="24"/>
                <w:lang w:val="en-US" w:eastAsia="zh-CN"/>
              </w:rPr>
              <w:t>〔</w:t>
            </w:r>
            <w:r>
              <w:rPr>
                <w:rFonts w:hint="default"/>
                <w:color w:val="auto"/>
                <w:kern w:val="0"/>
                <w:sz w:val="24"/>
                <w:szCs w:val="24"/>
                <w:lang w:val="en-US" w:eastAsia="zh-CN"/>
              </w:rPr>
              <w:t>20</w:t>
            </w:r>
            <w:r>
              <w:rPr>
                <w:rFonts w:hint="eastAsia"/>
                <w:color w:val="auto"/>
                <w:kern w:val="0"/>
                <w:sz w:val="24"/>
                <w:szCs w:val="24"/>
                <w:lang w:val="en-US" w:eastAsia="zh-CN"/>
              </w:rPr>
              <w:t>23〕</w:t>
            </w:r>
            <w:r>
              <w:rPr>
                <w:rFonts w:hint="eastAsia"/>
                <w:color w:val="auto"/>
                <w:sz w:val="24"/>
                <w:szCs w:val="24"/>
              </w:rPr>
              <w:t>154号）和《江苏省固体废物全过程环境监管工作意见》（苏环办〔2024〕16号）中相关规定要求</w:t>
            </w:r>
            <w:r>
              <w:rPr>
                <w:rFonts w:hint="eastAsia"/>
                <w:color w:val="auto"/>
                <w:sz w:val="24"/>
                <w:szCs w:val="24"/>
                <w:lang w:eastAsia="zh-CN"/>
              </w:rPr>
              <w:t>。</w:t>
            </w:r>
          </w:p>
          <w:p w14:paraId="65948732">
            <w:pPr>
              <w:pStyle w:val="3"/>
              <w:rPr>
                <w:rFonts w:hint="eastAsia"/>
                <w:color w:val="FF0000"/>
                <w:sz w:val="24"/>
                <w:szCs w:val="24"/>
              </w:rPr>
            </w:pPr>
          </w:p>
          <w:p w14:paraId="0DCC5FE6">
            <w:pPr>
              <w:rPr>
                <w:rFonts w:hint="eastAsia"/>
                <w:color w:val="FF0000"/>
                <w:sz w:val="24"/>
                <w:szCs w:val="24"/>
              </w:rPr>
            </w:pPr>
          </w:p>
          <w:p w14:paraId="4A5DCF79">
            <w:pPr>
              <w:rPr>
                <w:rFonts w:hint="eastAsia"/>
                <w:color w:val="FF0000"/>
                <w:sz w:val="24"/>
                <w:szCs w:val="24"/>
              </w:rPr>
            </w:pPr>
          </w:p>
          <w:p w14:paraId="58D1C1EB">
            <w:pPr>
              <w:rPr>
                <w:rFonts w:hint="eastAsia"/>
                <w:color w:val="FF0000"/>
                <w:sz w:val="24"/>
                <w:szCs w:val="24"/>
              </w:rPr>
            </w:pPr>
          </w:p>
          <w:p w14:paraId="07645D38">
            <w:pPr>
              <w:pStyle w:val="2"/>
              <w:rPr>
                <w:rFonts w:hint="eastAsia"/>
                <w:color w:val="FF0000"/>
                <w:sz w:val="24"/>
                <w:szCs w:val="24"/>
              </w:rPr>
            </w:pPr>
          </w:p>
          <w:p w14:paraId="4209BB3C">
            <w:pPr>
              <w:rPr>
                <w:rFonts w:hint="eastAsia"/>
                <w:color w:val="FF0000"/>
                <w:sz w:val="24"/>
                <w:szCs w:val="24"/>
              </w:rPr>
            </w:pPr>
          </w:p>
          <w:p w14:paraId="2F4A6DD6">
            <w:pPr>
              <w:pStyle w:val="2"/>
              <w:rPr>
                <w:rFonts w:hint="eastAsia"/>
                <w:color w:val="FF0000"/>
                <w:sz w:val="24"/>
                <w:szCs w:val="24"/>
              </w:rPr>
            </w:pPr>
          </w:p>
          <w:p w14:paraId="1E440ECC">
            <w:pPr>
              <w:rPr>
                <w:rFonts w:hint="eastAsia"/>
                <w:color w:val="FF0000"/>
                <w:sz w:val="24"/>
                <w:szCs w:val="24"/>
              </w:rPr>
            </w:pPr>
          </w:p>
          <w:p w14:paraId="1C9AB4F0">
            <w:pPr>
              <w:rPr>
                <w:color w:val="FF0000"/>
              </w:rPr>
            </w:pPr>
          </w:p>
        </w:tc>
      </w:tr>
      <w:tr w14:paraId="2FBBE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34" w:hRule="atLeast"/>
          <w:jc w:val="center"/>
        </w:trPr>
        <w:tc>
          <w:tcPr>
            <w:tcW w:w="457" w:type="dxa"/>
            <w:tcMar>
              <w:left w:w="28" w:type="dxa"/>
              <w:right w:w="28" w:type="dxa"/>
            </w:tcMar>
            <w:vAlign w:val="center"/>
          </w:tcPr>
          <w:p w14:paraId="58DA4E19">
            <w:pPr>
              <w:adjustRightInd w:val="0"/>
              <w:snapToGrid w:val="0"/>
              <w:jc w:val="center"/>
              <w:rPr>
                <w:rFonts w:ascii="宋体" w:hAnsi="宋体" w:cs="宋体"/>
                <w:b/>
                <w:bCs/>
                <w:color w:val="auto"/>
                <w:kern w:val="0"/>
                <w:sz w:val="24"/>
                <w:szCs w:val="24"/>
              </w:rPr>
            </w:pPr>
            <w:r>
              <w:rPr>
                <w:rFonts w:hint="eastAsia" w:ascii="宋体" w:hAnsi="宋体" w:cs="宋体"/>
                <w:b/>
                <w:bCs/>
                <w:color w:val="auto"/>
                <w:kern w:val="0"/>
                <w:sz w:val="24"/>
                <w:szCs w:val="24"/>
              </w:rPr>
              <w:t>总量</w:t>
            </w:r>
          </w:p>
          <w:p w14:paraId="3096BF2A">
            <w:pPr>
              <w:adjustRightInd w:val="0"/>
              <w:snapToGrid w:val="0"/>
              <w:jc w:val="center"/>
              <w:rPr>
                <w:rFonts w:ascii="宋体" w:hAnsi="宋体" w:cs="宋体"/>
                <w:b/>
                <w:bCs/>
                <w:color w:val="auto"/>
                <w:kern w:val="0"/>
                <w:sz w:val="24"/>
                <w:szCs w:val="24"/>
              </w:rPr>
            </w:pPr>
            <w:r>
              <w:rPr>
                <w:rFonts w:hint="eastAsia" w:ascii="宋体" w:hAnsi="宋体" w:cs="宋体"/>
                <w:b/>
                <w:bCs/>
                <w:color w:val="auto"/>
                <w:kern w:val="0"/>
                <w:sz w:val="24"/>
                <w:szCs w:val="24"/>
              </w:rPr>
              <w:t>控制</w:t>
            </w:r>
          </w:p>
          <w:p w14:paraId="70508C62">
            <w:pPr>
              <w:adjustRightInd w:val="0"/>
              <w:snapToGrid w:val="0"/>
              <w:jc w:val="center"/>
              <w:rPr>
                <w:rFonts w:ascii="宋体" w:hAnsi="宋体" w:cs="宋体"/>
                <w:b/>
                <w:bCs/>
                <w:color w:val="FF0000"/>
                <w:kern w:val="0"/>
                <w:sz w:val="24"/>
                <w:szCs w:val="24"/>
              </w:rPr>
            </w:pPr>
            <w:r>
              <w:rPr>
                <w:rFonts w:hint="eastAsia" w:ascii="宋体" w:hAnsi="宋体" w:cs="宋体"/>
                <w:b/>
                <w:bCs/>
                <w:color w:val="auto"/>
                <w:kern w:val="0"/>
                <w:sz w:val="24"/>
                <w:szCs w:val="24"/>
              </w:rPr>
              <w:t>指标</w:t>
            </w:r>
          </w:p>
        </w:tc>
        <w:tc>
          <w:tcPr>
            <w:tcW w:w="8612" w:type="dxa"/>
          </w:tcPr>
          <w:p w14:paraId="6CE59AD7">
            <w:pPr>
              <w:snapToGrid w:val="0"/>
              <w:spacing w:line="360" w:lineRule="auto"/>
              <w:ind w:firstLine="480" w:firstLineChars="200"/>
              <w:rPr>
                <w:color w:val="auto"/>
                <w:sz w:val="24"/>
                <w:szCs w:val="24"/>
              </w:rPr>
            </w:pPr>
            <w:r>
              <w:rPr>
                <w:color w:val="auto"/>
                <w:sz w:val="24"/>
                <w:szCs w:val="24"/>
              </w:rPr>
              <w:t>（1）总量控制指标</w:t>
            </w:r>
          </w:p>
          <w:p w14:paraId="7DCB21C1">
            <w:pPr>
              <w:snapToGrid w:val="0"/>
              <w:spacing w:line="360" w:lineRule="auto"/>
              <w:ind w:firstLine="480" w:firstLineChars="200"/>
              <w:rPr>
                <w:color w:val="auto"/>
              </w:rPr>
            </w:pPr>
            <w:r>
              <w:rPr>
                <w:color w:val="auto"/>
                <w:sz w:val="24"/>
                <w:szCs w:val="24"/>
                <w:lang w:val="en-GB"/>
              </w:rPr>
              <w:t>污染物</w:t>
            </w:r>
            <w:r>
              <w:rPr>
                <w:color w:val="auto"/>
                <w:sz w:val="24"/>
                <w:szCs w:val="24"/>
              </w:rPr>
              <w:t>排放总量见表</w:t>
            </w:r>
            <w:r>
              <w:rPr>
                <w:rFonts w:hint="eastAsia"/>
                <w:color w:val="auto"/>
                <w:sz w:val="24"/>
                <w:szCs w:val="24"/>
              </w:rPr>
              <w:t>3</w:t>
            </w:r>
            <w:r>
              <w:rPr>
                <w:color w:val="auto"/>
                <w:sz w:val="24"/>
                <w:szCs w:val="24"/>
              </w:rPr>
              <w:t>-</w:t>
            </w:r>
            <w:r>
              <w:rPr>
                <w:rFonts w:hint="eastAsia"/>
                <w:color w:val="auto"/>
                <w:sz w:val="24"/>
                <w:szCs w:val="24"/>
                <w:lang w:val="en-US" w:eastAsia="zh-CN"/>
              </w:rPr>
              <w:t>11</w:t>
            </w:r>
            <w:r>
              <w:rPr>
                <w:color w:val="auto"/>
                <w:sz w:val="24"/>
                <w:szCs w:val="24"/>
              </w:rPr>
              <w:t>。</w:t>
            </w:r>
          </w:p>
          <w:p w14:paraId="1F086081">
            <w:pPr>
              <w:snapToGrid w:val="0"/>
              <w:spacing w:line="360" w:lineRule="auto"/>
              <w:jc w:val="center"/>
              <w:rPr>
                <w:b/>
                <w:bCs/>
                <w:color w:val="auto"/>
                <w:sz w:val="24"/>
                <w:szCs w:val="24"/>
              </w:rPr>
            </w:pPr>
            <w:r>
              <w:rPr>
                <w:b/>
                <w:bCs/>
                <w:color w:val="auto"/>
                <w:sz w:val="24"/>
                <w:szCs w:val="24"/>
              </w:rPr>
              <w:t>表</w:t>
            </w:r>
            <w:r>
              <w:rPr>
                <w:rFonts w:hint="eastAsia"/>
                <w:b/>
                <w:bCs/>
                <w:color w:val="auto"/>
                <w:sz w:val="24"/>
                <w:szCs w:val="24"/>
              </w:rPr>
              <w:t>3</w:t>
            </w:r>
            <w:r>
              <w:rPr>
                <w:b/>
                <w:bCs/>
                <w:color w:val="auto"/>
                <w:sz w:val="24"/>
                <w:szCs w:val="24"/>
              </w:rPr>
              <w:t>-</w:t>
            </w:r>
            <w:r>
              <w:rPr>
                <w:rFonts w:hint="eastAsia"/>
                <w:b/>
                <w:bCs/>
                <w:color w:val="auto"/>
                <w:sz w:val="24"/>
                <w:szCs w:val="24"/>
                <w:lang w:val="en-US" w:eastAsia="zh-CN"/>
              </w:rPr>
              <w:t>11</w:t>
            </w:r>
            <w:r>
              <w:rPr>
                <w:b/>
                <w:bCs/>
                <w:color w:val="auto"/>
                <w:sz w:val="24"/>
                <w:szCs w:val="24"/>
              </w:rPr>
              <w:t>污染物排放总量控制建议指标</w:t>
            </w:r>
            <w:r>
              <w:rPr>
                <w:rFonts w:hint="eastAsia"/>
                <w:b/>
                <w:bCs/>
                <w:color w:val="auto"/>
                <w:sz w:val="24"/>
                <w:szCs w:val="24"/>
                <w:lang w:val="en-US" w:eastAsia="zh-CN"/>
              </w:rPr>
              <w:t xml:space="preserve">  </w:t>
            </w:r>
            <w:r>
              <w:rPr>
                <w:b/>
                <w:bCs/>
                <w:color w:val="auto"/>
                <w:sz w:val="24"/>
                <w:szCs w:val="24"/>
              </w:rPr>
              <w:t>单位：t/a</w:t>
            </w:r>
          </w:p>
          <w:tbl>
            <w:tblPr>
              <w:tblStyle w:val="35"/>
              <w:tblW w:w="84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50"/>
              <w:gridCol w:w="1632"/>
              <w:gridCol w:w="1375"/>
              <w:gridCol w:w="1787"/>
              <w:gridCol w:w="1688"/>
              <w:gridCol w:w="1324"/>
            </w:tblGrid>
            <w:tr w14:paraId="38BB4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50" w:type="dxa"/>
                  <w:vAlign w:val="center"/>
                </w:tcPr>
                <w:p w14:paraId="27F11254">
                  <w:pPr>
                    <w:jc w:val="center"/>
                    <w:rPr>
                      <w:rFonts w:eastAsiaTheme="minorEastAsia"/>
                      <w:b/>
                      <w:bCs/>
                      <w:color w:val="auto"/>
                      <w:szCs w:val="21"/>
                    </w:rPr>
                  </w:pPr>
                  <w:r>
                    <w:rPr>
                      <w:rFonts w:eastAsiaTheme="minorEastAsia"/>
                      <w:b/>
                      <w:bCs/>
                      <w:color w:val="auto"/>
                      <w:szCs w:val="21"/>
                    </w:rPr>
                    <w:t>类别</w:t>
                  </w:r>
                </w:p>
              </w:tc>
              <w:tc>
                <w:tcPr>
                  <w:tcW w:w="1632" w:type="dxa"/>
                  <w:vAlign w:val="center"/>
                </w:tcPr>
                <w:p w14:paraId="2BE2EF4B">
                  <w:pPr>
                    <w:jc w:val="center"/>
                    <w:rPr>
                      <w:rFonts w:eastAsiaTheme="minorEastAsia"/>
                      <w:b/>
                      <w:bCs/>
                      <w:color w:val="auto"/>
                      <w:szCs w:val="21"/>
                    </w:rPr>
                  </w:pPr>
                  <w:r>
                    <w:rPr>
                      <w:rFonts w:eastAsiaTheme="minorEastAsia"/>
                      <w:b/>
                      <w:bCs/>
                      <w:color w:val="auto"/>
                      <w:szCs w:val="21"/>
                    </w:rPr>
                    <w:t>污染物名称</w:t>
                  </w:r>
                </w:p>
              </w:tc>
              <w:tc>
                <w:tcPr>
                  <w:tcW w:w="1375" w:type="dxa"/>
                  <w:vAlign w:val="center"/>
                </w:tcPr>
                <w:p w14:paraId="0F9B12B9">
                  <w:pPr>
                    <w:jc w:val="center"/>
                    <w:rPr>
                      <w:rFonts w:eastAsiaTheme="minorEastAsia"/>
                      <w:b/>
                      <w:bCs/>
                      <w:color w:val="auto"/>
                      <w:szCs w:val="21"/>
                    </w:rPr>
                  </w:pPr>
                  <w:r>
                    <w:rPr>
                      <w:rFonts w:hint="eastAsia" w:eastAsiaTheme="minorEastAsia"/>
                      <w:b/>
                      <w:bCs/>
                      <w:color w:val="auto"/>
                      <w:szCs w:val="21"/>
                      <w:lang w:val="en-US" w:eastAsia="zh-CN"/>
                    </w:rPr>
                    <w:t>本项目</w:t>
                  </w:r>
                  <w:r>
                    <w:rPr>
                      <w:rFonts w:eastAsiaTheme="minorEastAsia"/>
                      <w:b/>
                      <w:bCs/>
                      <w:color w:val="auto"/>
                      <w:szCs w:val="21"/>
                    </w:rPr>
                    <w:t>产生量</w:t>
                  </w:r>
                </w:p>
              </w:tc>
              <w:tc>
                <w:tcPr>
                  <w:tcW w:w="1787" w:type="dxa"/>
                  <w:vAlign w:val="center"/>
                </w:tcPr>
                <w:p w14:paraId="3206C46A">
                  <w:pPr>
                    <w:jc w:val="center"/>
                    <w:rPr>
                      <w:rFonts w:eastAsiaTheme="minorEastAsia"/>
                      <w:b/>
                      <w:bCs/>
                      <w:color w:val="auto"/>
                      <w:szCs w:val="21"/>
                    </w:rPr>
                  </w:pPr>
                  <w:r>
                    <w:rPr>
                      <w:rFonts w:hint="eastAsia" w:eastAsiaTheme="minorEastAsia"/>
                      <w:b/>
                      <w:bCs/>
                      <w:color w:val="auto"/>
                      <w:szCs w:val="21"/>
                      <w:lang w:val="en-US" w:eastAsia="zh-CN"/>
                    </w:rPr>
                    <w:t>本项目</w:t>
                  </w:r>
                  <w:r>
                    <w:rPr>
                      <w:rFonts w:eastAsiaTheme="minorEastAsia"/>
                      <w:b/>
                      <w:bCs/>
                      <w:color w:val="auto"/>
                      <w:szCs w:val="21"/>
                    </w:rPr>
                    <w:t>处理削减量</w:t>
                  </w:r>
                </w:p>
              </w:tc>
              <w:tc>
                <w:tcPr>
                  <w:tcW w:w="1688" w:type="dxa"/>
                  <w:vAlign w:val="center"/>
                </w:tcPr>
                <w:p w14:paraId="60D1ECFF">
                  <w:pPr>
                    <w:jc w:val="center"/>
                    <w:rPr>
                      <w:rFonts w:eastAsiaTheme="minorEastAsia"/>
                      <w:b/>
                      <w:bCs/>
                      <w:color w:val="auto"/>
                      <w:szCs w:val="21"/>
                    </w:rPr>
                  </w:pPr>
                  <w:r>
                    <w:rPr>
                      <w:rFonts w:hint="eastAsia" w:eastAsiaTheme="minorEastAsia"/>
                      <w:b/>
                      <w:bCs/>
                      <w:color w:val="auto"/>
                      <w:szCs w:val="21"/>
                      <w:lang w:val="en-US" w:eastAsia="zh-CN"/>
                    </w:rPr>
                    <w:t>本项目</w:t>
                  </w:r>
                  <w:r>
                    <w:rPr>
                      <w:rFonts w:eastAsiaTheme="minorEastAsia"/>
                      <w:b/>
                      <w:bCs/>
                      <w:color w:val="auto"/>
                      <w:szCs w:val="21"/>
                    </w:rPr>
                    <w:t>排放总量</w:t>
                  </w:r>
                  <w:r>
                    <w:rPr>
                      <w:rFonts w:eastAsiaTheme="minorEastAsia"/>
                      <w:color w:val="auto"/>
                      <w:szCs w:val="21"/>
                      <w:vertAlign w:val="superscript"/>
                    </w:rPr>
                    <w:t>[1]</w:t>
                  </w:r>
                </w:p>
              </w:tc>
              <w:tc>
                <w:tcPr>
                  <w:tcW w:w="1324" w:type="dxa"/>
                  <w:vAlign w:val="center"/>
                </w:tcPr>
                <w:p w14:paraId="7202A081">
                  <w:pPr>
                    <w:jc w:val="center"/>
                    <w:rPr>
                      <w:rFonts w:eastAsiaTheme="minorEastAsia"/>
                      <w:b/>
                      <w:bCs/>
                      <w:color w:val="auto"/>
                      <w:szCs w:val="21"/>
                    </w:rPr>
                  </w:pPr>
                  <w:r>
                    <w:rPr>
                      <w:rFonts w:eastAsiaTheme="minorEastAsia"/>
                      <w:b/>
                      <w:bCs/>
                      <w:color w:val="auto"/>
                      <w:szCs w:val="21"/>
                    </w:rPr>
                    <w:t>最终排放量</w:t>
                  </w:r>
                  <w:r>
                    <w:rPr>
                      <w:rFonts w:eastAsiaTheme="minorEastAsia"/>
                      <w:color w:val="auto"/>
                      <w:szCs w:val="21"/>
                      <w:vertAlign w:val="superscript"/>
                    </w:rPr>
                    <w:t>[2]</w:t>
                  </w:r>
                </w:p>
              </w:tc>
            </w:tr>
            <w:tr w14:paraId="0D3B9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264" w:hRule="atLeast"/>
                <w:jc w:val="center"/>
              </w:trPr>
              <w:tc>
                <w:tcPr>
                  <w:tcW w:w="650" w:type="dxa"/>
                  <w:vMerge w:val="restart"/>
                  <w:vAlign w:val="center"/>
                </w:tcPr>
                <w:p w14:paraId="2B9330FD">
                  <w:pPr>
                    <w:jc w:val="center"/>
                    <w:rPr>
                      <w:rFonts w:eastAsiaTheme="minorEastAsia"/>
                      <w:color w:val="auto"/>
                      <w:szCs w:val="21"/>
                    </w:rPr>
                  </w:pPr>
                  <w:r>
                    <w:rPr>
                      <w:rFonts w:eastAsiaTheme="minorEastAsia"/>
                      <w:color w:val="auto"/>
                      <w:szCs w:val="21"/>
                    </w:rPr>
                    <w:t>废水</w:t>
                  </w:r>
                </w:p>
              </w:tc>
              <w:tc>
                <w:tcPr>
                  <w:tcW w:w="1632" w:type="dxa"/>
                  <w:vAlign w:val="center"/>
                </w:tcPr>
                <w:p w14:paraId="19773C40">
                  <w:pPr>
                    <w:jc w:val="center"/>
                    <w:rPr>
                      <w:rFonts w:hint="eastAsia" w:eastAsiaTheme="minorEastAsia"/>
                      <w:color w:val="auto"/>
                      <w:szCs w:val="21"/>
                      <w:lang w:eastAsia="zh-CN"/>
                    </w:rPr>
                  </w:pPr>
                  <w:r>
                    <w:rPr>
                      <w:rFonts w:eastAsiaTheme="minorEastAsia"/>
                      <w:color w:val="auto"/>
                      <w:szCs w:val="21"/>
                    </w:rPr>
                    <w:t>废水量</w:t>
                  </w:r>
                  <w:r>
                    <w:rPr>
                      <w:rFonts w:hint="eastAsia" w:eastAsiaTheme="minorEastAsia"/>
                      <w:color w:val="auto"/>
                      <w:szCs w:val="21"/>
                      <w:lang w:eastAsia="zh-CN"/>
                    </w:rPr>
                    <w:t>（</w:t>
                  </w:r>
                  <w:r>
                    <w:rPr>
                      <w:rFonts w:eastAsiaTheme="minorEastAsia"/>
                      <w:color w:val="auto"/>
                      <w:szCs w:val="21"/>
                    </w:rPr>
                    <w:t>m³/a</w:t>
                  </w:r>
                  <w:r>
                    <w:rPr>
                      <w:rFonts w:hint="eastAsia" w:eastAsiaTheme="minorEastAsia"/>
                      <w:color w:val="auto"/>
                      <w:szCs w:val="21"/>
                      <w:lang w:eastAsia="zh-CN"/>
                    </w:rPr>
                    <w:t>）</w:t>
                  </w:r>
                </w:p>
              </w:tc>
              <w:tc>
                <w:tcPr>
                  <w:tcW w:w="1375" w:type="dxa"/>
                  <w:shd w:val="clear" w:color="auto" w:fill="auto"/>
                  <w:vAlign w:val="center"/>
                </w:tcPr>
                <w:p w14:paraId="3D9E140C">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648</w:t>
                  </w:r>
                </w:p>
              </w:tc>
              <w:tc>
                <w:tcPr>
                  <w:tcW w:w="1787" w:type="dxa"/>
                  <w:vAlign w:val="center"/>
                </w:tcPr>
                <w:p w14:paraId="3260B7C0">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0</w:t>
                  </w:r>
                </w:p>
              </w:tc>
              <w:tc>
                <w:tcPr>
                  <w:tcW w:w="1688" w:type="dxa"/>
                  <w:shd w:val="clear" w:color="auto" w:fill="auto"/>
                  <w:vAlign w:val="center"/>
                </w:tcPr>
                <w:p w14:paraId="539D1B36">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648</w:t>
                  </w:r>
                </w:p>
              </w:tc>
              <w:tc>
                <w:tcPr>
                  <w:tcW w:w="1324" w:type="dxa"/>
                  <w:shd w:val="clear" w:color="auto" w:fill="auto"/>
                  <w:vAlign w:val="center"/>
                </w:tcPr>
                <w:p w14:paraId="7FB0E23A">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648</w:t>
                  </w:r>
                </w:p>
              </w:tc>
            </w:tr>
            <w:tr w14:paraId="546FB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235" w:hRule="atLeast"/>
                <w:jc w:val="center"/>
              </w:trPr>
              <w:tc>
                <w:tcPr>
                  <w:tcW w:w="650" w:type="dxa"/>
                  <w:vMerge w:val="continue"/>
                  <w:vAlign w:val="center"/>
                </w:tcPr>
                <w:p w14:paraId="2C59B697">
                  <w:pPr>
                    <w:pStyle w:val="2"/>
                    <w:ind w:firstLine="210"/>
                    <w:jc w:val="center"/>
                    <w:rPr>
                      <w:rFonts w:eastAsiaTheme="minorEastAsia"/>
                      <w:color w:val="auto"/>
                      <w:szCs w:val="21"/>
                    </w:rPr>
                  </w:pPr>
                </w:p>
              </w:tc>
              <w:tc>
                <w:tcPr>
                  <w:tcW w:w="1632" w:type="dxa"/>
                  <w:vAlign w:val="center"/>
                </w:tcPr>
                <w:p w14:paraId="7F53F16B">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COD</w:t>
                  </w:r>
                </w:p>
              </w:tc>
              <w:tc>
                <w:tcPr>
                  <w:tcW w:w="1375" w:type="dxa"/>
                  <w:shd w:val="clear" w:color="auto" w:fill="auto"/>
                  <w:vAlign w:val="center"/>
                </w:tcPr>
                <w:p w14:paraId="3658105F">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0.259</w:t>
                  </w:r>
                </w:p>
              </w:tc>
              <w:tc>
                <w:tcPr>
                  <w:tcW w:w="1787" w:type="dxa"/>
                  <w:vAlign w:val="center"/>
                </w:tcPr>
                <w:p w14:paraId="4AE95F11">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0</w:t>
                  </w:r>
                </w:p>
              </w:tc>
              <w:tc>
                <w:tcPr>
                  <w:tcW w:w="1688" w:type="dxa"/>
                  <w:shd w:val="clear" w:color="auto" w:fill="auto"/>
                  <w:vAlign w:val="center"/>
                </w:tcPr>
                <w:p w14:paraId="5DA9DA27">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0.259</w:t>
                  </w:r>
                </w:p>
              </w:tc>
              <w:tc>
                <w:tcPr>
                  <w:tcW w:w="1324" w:type="dxa"/>
                  <w:shd w:val="clear" w:color="auto" w:fill="auto"/>
                  <w:vAlign w:val="center"/>
                </w:tcPr>
                <w:p w14:paraId="45284E32">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 xml:space="preserve">0.032 </w:t>
                  </w:r>
                </w:p>
              </w:tc>
            </w:tr>
            <w:tr w14:paraId="67A39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235" w:hRule="atLeast"/>
                <w:jc w:val="center"/>
              </w:trPr>
              <w:tc>
                <w:tcPr>
                  <w:tcW w:w="650" w:type="dxa"/>
                  <w:vMerge w:val="continue"/>
                  <w:vAlign w:val="center"/>
                </w:tcPr>
                <w:p w14:paraId="33AB7351">
                  <w:pPr>
                    <w:pStyle w:val="2"/>
                    <w:ind w:firstLine="210"/>
                    <w:jc w:val="center"/>
                    <w:rPr>
                      <w:rFonts w:eastAsiaTheme="minorEastAsia"/>
                      <w:color w:val="auto"/>
                      <w:szCs w:val="21"/>
                    </w:rPr>
                  </w:pPr>
                </w:p>
              </w:tc>
              <w:tc>
                <w:tcPr>
                  <w:tcW w:w="1632" w:type="dxa"/>
                  <w:vAlign w:val="center"/>
                </w:tcPr>
                <w:p w14:paraId="04B0A459">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SS</w:t>
                  </w:r>
                </w:p>
              </w:tc>
              <w:tc>
                <w:tcPr>
                  <w:tcW w:w="1375" w:type="dxa"/>
                  <w:shd w:val="clear" w:color="auto" w:fill="auto"/>
                  <w:vAlign w:val="center"/>
                </w:tcPr>
                <w:p w14:paraId="3DA0510B">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0.162</w:t>
                  </w:r>
                </w:p>
              </w:tc>
              <w:tc>
                <w:tcPr>
                  <w:tcW w:w="1787" w:type="dxa"/>
                  <w:vAlign w:val="center"/>
                </w:tcPr>
                <w:p w14:paraId="736F7FC6">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0</w:t>
                  </w:r>
                </w:p>
              </w:tc>
              <w:tc>
                <w:tcPr>
                  <w:tcW w:w="1688" w:type="dxa"/>
                  <w:shd w:val="clear" w:color="auto" w:fill="auto"/>
                  <w:vAlign w:val="center"/>
                </w:tcPr>
                <w:p w14:paraId="3F7A397A">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0.162</w:t>
                  </w:r>
                </w:p>
              </w:tc>
              <w:tc>
                <w:tcPr>
                  <w:tcW w:w="1324" w:type="dxa"/>
                  <w:shd w:val="clear" w:color="auto" w:fill="auto"/>
                  <w:vAlign w:val="center"/>
                </w:tcPr>
                <w:p w14:paraId="0FA6A7B2">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 xml:space="preserve">0.006 </w:t>
                  </w:r>
                </w:p>
              </w:tc>
            </w:tr>
            <w:tr w14:paraId="1FE7B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264" w:hRule="atLeast"/>
                <w:jc w:val="center"/>
              </w:trPr>
              <w:tc>
                <w:tcPr>
                  <w:tcW w:w="650" w:type="dxa"/>
                  <w:vMerge w:val="continue"/>
                  <w:vAlign w:val="center"/>
                </w:tcPr>
                <w:p w14:paraId="27746C69">
                  <w:pPr>
                    <w:pStyle w:val="2"/>
                    <w:ind w:firstLine="210"/>
                    <w:jc w:val="center"/>
                    <w:rPr>
                      <w:rFonts w:eastAsiaTheme="minorEastAsia"/>
                      <w:color w:val="auto"/>
                      <w:szCs w:val="21"/>
                    </w:rPr>
                  </w:pPr>
                </w:p>
              </w:tc>
              <w:tc>
                <w:tcPr>
                  <w:tcW w:w="1632" w:type="dxa"/>
                  <w:vAlign w:val="center"/>
                </w:tcPr>
                <w:p w14:paraId="77AC40D0">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氨氮</w:t>
                  </w:r>
                </w:p>
              </w:tc>
              <w:tc>
                <w:tcPr>
                  <w:tcW w:w="1375" w:type="dxa"/>
                  <w:shd w:val="clear" w:color="auto" w:fill="auto"/>
                  <w:vAlign w:val="center"/>
                </w:tcPr>
                <w:p w14:paraId="0C73CF0D">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0.019</w:t>
                  </w:r>
                </w:p>
              </w:tc>
              <w:tc>
                <w:tcPr>
                  <w:tcW w:w="1787" w:type="dxa"/>
                  <w:vAlign w:val="center"/>
                </w:tcPr>
                <w:p w14:paraId="5B40EDCC">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0</w:t>
                  </w:r>
                </w:p>
              </w:tc>
              <w:tc>
                <w:tcPr>
                  <w:tcW w:w="1688" w:type="dxa"/>
                  <w:shd w:val="clear" w:color="auto" w:fill="auto"/>
                  <w:vAlign w:val="center"/>
                </w:tcPr>
                <w:p w14:paraId="2D9F017A">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0.019</w:t>
                  </w:r>
                </w:p>
              </w:tc>
              <w:tc>
                <w:tcPr>
                  <w:tcW w:w="1324" w:type="dxa"/>
                  <w:shd w:val="clear" w:color="auto" w:fill="auto"/>
                  <w:vAlign w:val="center"/>
                </w:tcPr>
                <w:p w14:paraId="77AC3B09">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 xml:space="preserve">0.003 </w:t>
                  </w:r>
                </w:p>
              </w:tc>
            </w:tr>
            <w:tr w14:paraId="02137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264" w:hRule="atLeast"/>
                <w:jc w:val="center"/>
              </w:trPr>
              <w:tc>
                <w:tcPr>
                  <w:tcW w:w="650" w:type="dxa"/>
                  <w:vMerge w:val="continue"/>
                  <w:vAlign w:val="center"/>
                </w:tcPr>
                <w:p w14:paraId="5E5ED9AA">
                  <w:pPr>
                    <w:pStyle w:val="2"/>
                    <w:ind w:firstLine="210"/>
                    <w:jc w:val="center"/>
                    <w:rPr>
                      <w:rFonts w:eastAsiaTheme="minorEastAsia"/>
                      <w:color w:val="auto"/>
                      <w:szCs w:val="21"/>
                    </w:rPr>
                  </w:pPr>
                </w:p>
              </w:tc>
              <w:tc>
                <w:tcPr>
                  <w:tcW w:w="1632" w:type="dxa"/>
                  <w:vAlign w:val="center"/>
                </w:tcPr>
                <w:p w14:paraId="0AE887A9">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总磷</w:t>
                  </w:r>
                </w:p>
              </w:tc>
              <w:tc>
                <w:tcPr>
                  <w:tcW w:w="1375" w:type="dxa"/>
                  <w:shd w:val="clear" w:color="auto" w:fill="auto"/>
                  <w:vAlign w:val="center"/>
                </w:tcPr>
                <w:p w14:paraId="242980BD">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0.003</w:t>
                  </w:r>
                </w:p>
              </w:tc>
              <w:tc>
                <w:tcPr>
                  <w:tcW w:w="1787" w:type="dxa"/>
                  <w:vAlign w:val="center"/>
                </w:tcPr>
                <w:p w14:paraId="53511205">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0</w:t>
                  </w:r>
                </w:p>
              </w:tc>
              <w:tc>
                <w:tcPr>
                  <w:tcW w:w="1688" w:type="dxa"/>
                  <w:shd w:val="clear" w:color="auto" w:fill="auto"/>
                  <w:vAlign w:val="center"/>
                </w:tcPr>
                <w:p w14:paraId="2F022491">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0.003</w:t>
                  </w:r>
                </w:p>
              </w:tc>
              <w:tc>
                <w:tcPr>
                  <w:tcW w:w="1324" w:type="dxa"/>
                  <w:shd w:val="clear" w:color="auto" w:fill="auto"/>
                  <w:vAlign w:val="center"/>
                </w:tcPr>
                <w:p w14:paraId="495832BD">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0.0003</w:t>
                  </w:r>
                </w:p>
              </w:tc>
            </w:tr>
            <w:tr w14:paraId="20DB9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264" w:hRule="atLeast"/>
                <w:jc w:val="center"/>
              </w:trPr>
              <w:tc>
                <w:tcPr>
                  <w:tcW w:w="650" w:type="dxa"/>
                  <w:vMerge w:val="continue"/>
                  <w:vAlign w:val="center"/>
                </w:tcPr>
                <w:p w14:paraId="60DFF123">
                  <w:pPr>
                    <w:pStyle w:val="2"/>
                    <w:ind w:firstLine="210"/>
                    <w:jc w:val="center"/>
                    <w:rPr>
                      <w:rFonts w:eastAsiaTheme="minorEastAsia"/>
                      <w:color w:val="auto"/>
                      <w:szCs w:val="21"/>
                    </w:rPr>
                  </w:pPr>
                </w:p>
              </w:tc>
              <w:tc>
                <w:tcPr>
                  <w:tcW w:w="1632" w:type="dxa"/>
                  <w:vAlign w:val="center"/>
                </w:tcPr>
                <w:p w14:paraId="78100174">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总氮</w:t>
                  </w:r>
                </w:p>
              </w:tc>
              <w:tc>
                <w:tcPr>
                  <w:tcW w:w="1375" w:type="dxa"/>
                  <w:shd w:val="clear" w:color="auto" w:fill="auto"/>
                  <w:vAlign w:val="center"/>
                </w:tcPr>
                <w:p w14:paraId="4781D945">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0.032</w:t>
                  </w:r>
                </w:p>
              </w:tc>
              <w:tc>
                <w:tcPr>
                  <w:tcW w:w="1787" w:type="dxa"/>
                  <w:vAlign w:val="center"/>
                </w:tcPr>
                <w:p w14:paraId="5B71794D">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0</w:t>
                  </w:r>
                </w:p>
              </w:tc>
              <w:tc>
                <w:tcPr>
                  <w:tcW w:w="1688" w:type="dxa"/>
                  <w:shd w:val="clear" w:color="auto" w:fill="auto"/>
                  <w:vAlign w:val="center"/>
                </w:tcPr>
                <w:p w14:paraId="671D4787">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0.032</w:t>
                  </w:r>
                </w:p>
              </w:tc>
              <w:tc>
                <w:tcPr>
                  <w:tcW w:w="1324" w:type="dxa"/>
                  <w:shd w:val="clear" w:color="auto" w:fill="auto"/>
                  <w:vAlign w:val="center"/>
                </w:tcPr>
                <w:p w14:paraId="1C8D465B">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 xml:space="preserve">0.008 </w:t>
                  </w:r>
                </w:p>
              </w:tc>
            </w:tr>
            <w:tr w14:paraId="10709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207" w:hRule="atLeast"/>
                <w:jc w:val="center"/>
              </w:trPr>
              <w:tc>
                <w:tcPr>
                  <w:tcW w:w="650" w:type="dxa"/>
                  <w:vMerge w:val="restart"/>
                  <w:vAlign w:val="center"/>
                </w:tcPr>
                <w:p w14:paraId="054B789C">
                  <w:pPr>
                    <w:jc w:val="center"/>
                    <w:rPr>
                      <w:rFonts w:eastAsiaTheme="minorEastAsia"/>
                      <w:color w:val="auto"/>
                      <w:szCs w:val="21"/>
                    </w:rPr>
                  </w:pPr>
                  <w:r>
                    <w:rPr>
                      <w:rFonts w:eastAsiaTheme="minorEastAsia"/>
                      <w:color w:val="auto"/>
                      <w:szCs w:val="21"/>
                    </w:rPr>
                    <w:t>固废</w:t>
                  </w:r>
                </w:p>
              </w:tc>
              <w:tc>
                <w:tcPr>
                  <w:tcW w:w="1632" w:type="dxa"/>
                  <w:vAlign w:val="center"/>
                </w:tcPr>
                <w:p w14:paraId="473BCDD5">
                  <w:pPr>
                    <w:jc w:val="center"/>
                    <w:rPr>
                      <w:rFonts w:eastAsiaTheme="minorEastAsia"/>
                      <w:color w:val="auto"/>
                      <w:szCs w:val="21"/>
                    </w:rPr>
                  </w:pPr>
                  <w:r>
                    <w:rPr>
                      <w:rFonts w:eastAsiaTheme="minorEastAsia"/>
                      <w:color w:val="auto"/>
                      <w:szCs w:val="21"/>
                    </w:rPr>
                    <w:t>一般工业固废</w:t>
                  </w:r>
                </w:p>
              </w:tc>
              <w:tc>
                <w:tcPr>
                  <w:tcW w:w="1375" w:type="dxa"/>
                  <w:shd w:val="clear" w:color="auto" w:fill="auto"/>
                  <w:vAlign w:val="center"/>
                </w:tcPr>
                <w:p w14:paraId="1D46AB64">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0.017</w:t>
                  </w:r>
                </w:p>
              </w:tc>
              <w:tc>
                <w:tcPr>
                  <w:tcW w:w="1787" w:type="dxa"/>
                  <w:shd w:val="clear" w:color="auto" w:fill="auto"/>
                  <w:vAlign w:val="center"/>
                </w:tcPr>
                <w:p w14:paraId="78F9CA75">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0.017</w:t>
                  </w:r>
                </w:p>
              </w:tc>
              <w:tc>
                <w:tcPr>
                  <w:tcW w:w="1688" w:type="dxa"/>
                  <w:vAlign w:val="center"/>
                </w:tcPr>
                <w:p w14:paraId="1DE1BB0C">
                  <w:pPr>
                    <w:widowControl/>
                    <w:jc w:val="cente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0</w:t>
                  </w:r>
                </w:p>
              </w:tc>
              <w:tc>
                <w:tcPr>
                  <w:tcW w:w="1324" w:type="dxa"/>
                  <w:vAlign w:val="center"/>
                </w:tcPr>
                <w:p w14:paraId="0577570E">
                  <w:pPr>
                    <w:jc w:val="center"/>
                    <w:rPr>
                      <w:rFonts w:hint="eastAsia" w:eastAsiaTheme="minorEastAsia"/>
                      <w:color w:val="auto"/>
                      <w:szCs w:val="21"/>
                      <w:lang w:val="en-US" w:eastAsia="zh-CN"/>
                    </w:rPr>
                  </w:pPr>
                  <w:r>
                    <w:rPr>
                      <w:rFonts w:hint="eastAsia" w:eastAsiaTheme="minorEastAsia"/>
                      <w:color w:val="auto"/>
                      <w:szCs w:val="21"/>
                      <w:lang w:val="en-US" w:eastAsia="zh-CN"/>
                    </w:rPr>
                    <w:t>0</w:t>
                  </w:r>
                </w:p>
              </w:tc>
            </w:tr>
            <w:tr w14:paraId="3AD72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264" w:hRule="atLeast"/>
                <w:jc w:val="center"/>
              </w:trPr>
              <w:tc>
                <w:tcPr>
                  <w:tcW w:w="650" w:type="dxa"/>
                  <w:vMerge w:val="continue"/>
                  <w:vAlign w:val="center"/>
                </w:tcPr>
                <w:p w14:paraId="539F57C3">
                  <w:pPr>
                    <w:jc w:val="center"/>
                    <w:rPr>
                      <w:rFonts w:eastAsiaTheme="minorEastAsia"/>
                      <w:color w:val="auto"/>
                      <w:szCs w:val="21"/>
                    </w:rPr>
                  </w:pPr>
                </w:p>
              </w:tc>
              <w:tc>
                <w:tcPr>
                  <w:tcW w:w="1632" w:type="dxa"/>
                  <w:vAlign w:val="center"/>
                </w:tcPr>
                <w:p w14:paraId="1B73E625">
                  <w:pPr>
                    <w:jc w:val="center"/>
                    <w:rPr>
                      <w:rFonts w:eastAsiaTheme="minorEastAsia"/>
                      <w:color w:val="auto"/>
                      <w:szCs w:val="21"/>
                    </w:rPr>
                  </w:pPr>
                  <w:r>
                    <w:rPr>
                      <w:rFonts w:hint="eastAsia" w:eastAsiaTheme="minorEastAsia"/>
                      <w:color w:val="auto"/>
                      <w:szCs w:val="21"/>
                    </w:rPr>
                    <w:t>危险废物</w:t>
                  </w:r>
                </w:p>
              </w:tc>
              <w:tc>
                <w:tcPr>
                  <w:tcW w:w="1375" w:type="dxa"/>
                  <w:shd w:val="clear" w:color="auto" w:fill="auto"/>
                  <w:vAlign w:val="center"/>
                </w:tcPr>
                <w:p w14:paraId="60CFDC87">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1.15</w:t>
                  </w:r>
                </w:p>
              </w:tc>
              <w:tc>
                <w:tcPr>
                  <w:tcW w:w="1787" w:type="dxa"/>
                  <w:shd w:val="clear" w:color="auto" w:fill="auto"/>
                  <w:vAlign w:val="center"/>
                </w:tcPr>
                <w:p w14:paraId="1666CE2E">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1.15</w:t>
                  </w:r>
                </w:p>
              </w:tc>
              <w:tc>
                <w:tcPr>
                  <w:tcW w:w="1688" w:type="dxa"/>
                  <w:vAlign w:val="center"/>
                </w:tcPr>
                <w:p w14:paraId="49574B9D">
                  <w:pPr>
                    <w:widowControl/>
                    <w:jc w:val="cente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0</w:t>
                  </w:r>
                </w:p>
              </w:tc>
              <w:tc>
                <w:tcPr>
                  <w:tcW w:w="1324" w:type="dxa"/>
                  <w:vAlign w:val="center"/>
                </w:tcPr>
                <w:p w14:paraId="41479048">
                  <w:pPr>
                    <w:jc w:val="center"/>
                    <w:rPr>
                      <w:rFonts w:hint="eastAsia" w:eastAsiaTheme="minorEastAsia"/>
                      <w:color w:val="auto"/>
                      <w:szCs w:val="21"/>
                      <w:lang w:val="en-US" w:eastAsia="zh-CN"/>
                    </w:rPr>
                  </w:pPr>
                  <w:r>
                    <w:rPr>
                      <w:rFonts w:hint="eastAsia" w:eastAsiaTheme="minorEastAsia"/>
                      <w:color w:val="auto"/>
                      <w:szCs w:val="21"/>
                      <w:lang w:val="en-US" w:eastAsia="zh-CN"/>
                    </w:rPr>
                    <w:t>0</w:t>
                  </w:r>
                </w:p>
              </w:tc>
            </w:tr>
            <w:tr w14:paraId="030C4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292" w:hRule="atLeast"/>
                <w:jc w:val="center"/>
              </w:trPr>
              <w:tc>
                <w:tcPr>
                  <w:tcW w:w="650" w:type="dxa"/>
                  <w:vMerge w:val="continue"/>
                  <w:vAlign w:val="center"/>
                </w:tcPr>
                <w:p w14:paraId="50F1A6BD">
                  <w:pPr>
                    <w:pStyle w:val="2"/>
                    <w:ind w:firstLine="0" w:firstLineChars="0"/>
                    <w:jc w:val="center"/>
                    <w:rPr>
                      <w:rFonts w:eastAsiaTheme="minorEastAsia"/>
                      <w:color w:val="auto"/>
                      <w:szCs w:val="21"/>
                    </w:rPr>
                  </w:pPr>
                </w:p>
              </w:tc>
              <w:tc>
                <w:tcPr>
                  <w:tcW w:w="1632" w:type="dxa"/>
                  <w:vAlign w:val="center"/>
                </w:tcPr>
                <w:p w14:paraId="3949EFE8">
                  <w:pPr>
                    <w:jc w:val="center"/>
                    <w:rPr>
                      <w:rFonts w:eastAsiaTheme="minorEastAsia"/>
                      <w:color w:val="auto"/>
                      <w:szCs w:val="21"/>
                    </w:rPr>
                  </w:pPr>
                  <w:r>
                    <w:rPr>
                      <w:rFonts w:eastAsiaTheme="minorEastAsia"/>
                      <w:color w:val="auto"/>
                      <w:szCs w:val="21"/>
                    </w:rPr>
                    <w:t>生活垃圾</w:t>
                  </w:r>
                </w:p>
              </w:tc>
              <w:tc>
                <w:tcPr>
                  <w:tcW w:w="1375" w:type="dxa"/>
                  <w:shd w:val="clear" w:color="auto" w:fill="auto"/>
                  <w:vAlign w:val="center"/>
                </w:tcPr>
                <w:p w14:paraId="284412CB">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3</w:t>
                  </w:r>
                </w:p>
              </w:tc>
              <w:tc>
                <w:tcPr>
                  <w:tcW w:w="1787" w:type="dxa"/>
                  <w:shd w:val="clear" w:color="auto" w:fill="auto"/>
                  <w:vAlign w:val="center"/>
                </w:tcPr>
                <w:p w14:paraId="579462A7">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3</w:t>
                  </w:r>
                </w:p>
              </w:tc>
              <w:tc>
                <w:tcPr>
                  <w:tcW w:w="1688" w:type="dxa"/>
                  <w:vAlign w:val="center"/>
                </w:tcPr>
                <w:p w14:paraId="012231A8">
                  <w:pPr>
                    <w:jc w:val="center"/>
                    <w:rPr>
                      <w:rFonts w:eastAsiaTheme="minorEastAsia"/>
                      <w:color w:val="auto"/>
                      <w:szCs w:val="21"/>
                    </w:rPr>
                  </w:pPr>
                  <w:r>
                    <w:rPr>
                      <w:rFonts w:hint="eastAsia" w:eastAsiaTheme="minorEastAsia"/>
                      <w:color w:val="auto"/>
                      <w:szCs w:val="21"/>
                      <w:lang w:val="en-US" w:eastAsia="zh-CN"/>
                    </w:rPr>
                    <w:t>0</w:t>
                  </w:r>
                </w:p>
              </w:tc>
              <w:tc>
                <w:tcPr>
                  <w:tcW w:w="1324" w:type="dxa"/>
                  <w:vAlign w:val="center"/>
                </w:tcPr>
                <w:p w14:paraId="05789B59">
                  <w:pPr>
                    <w:jc w:val="center"/>
                    <w:rPr>
                      <w:rFonts w:eastAsiaTheme="minorEastAsia"/>
                      <w:color w:val="auto"/>
                      <w:szCs w:val="21"/>
                    </w:rPr>
                  </w:pPr>
                  <w:r>
                    <w:rPr>
                      <w:rFonts w:hint="eastAsia" w:eastAsiaTheme="minorEastAsia"/>
                      <w:color w:val="auto"/>
                      <w:szCs w:val="21"/>
                      <w:lang w:val="en-US" w:eastAsia="zh-CN"/>
                    </w:rPr>
                    <w:t>0</w:t>
                  </w:r>
                </w:p>
              </w:tc>
            </w:tr>
          </w:tbl>
          <w:p w14:paraId="2C0E8E29">
            <w:pPr>
              <w:pStyle w:val="18"/>
              <w:spacing w:line="240" w:lineRule="auto"/>
              <w:ind w:firstLine="360" w:firstLineChars="200"/>
              <w:rPr>
                <w:color w:val="auto"/>
                <w:sz w:val="18"/>
                <w:szCs w:val="18"/>
              </w:rPr>
            </w:pPr>
            <w:r>
              <w:rPr>
                <w:color w:val="auto"/>
                <w:sz w:val="18"/>
                <w:szCs w:val="18"/>
              </w:rPr>
              <w:t>注：[1]为排入</w:t>
            </w:r>
            <w:r>
              <w:rPr>
                <w:rFonts w:hint="eastAsia"/>
                <w:color w:val="auto"/>
                <w:sz w:val="18"/>
                <w:szCs w:val="18"/>
                <w:lang w:val="en-US" w:eastAsia="zh-CN"/>
              </w:rPr>
              <w:t>常州市江边污水处理厂</w:t>
            </w:r>
            <w:r>
              <w:rPr>
                <w:color w:val="auto"/>
                <w:sz w:val="18"/>
                <w:szCs w:val="18"/>
              </w:rPr>
              <w:t>的接管考核量；[2]为参照</w:t>
            </w:r>
            <w:r>
              <w:rPr>
                <w:rFonts w:hint="eastAsia"/>
                <w:color w:val="auto"/>
                <w:sz w:val="18"/>
                <w:szCs w:val="18"/>
                <w:lang w:val="en-US" w:eastAsia="zh-CN"/>
              </w:rPr>
              <w:t>常州市江边污水处理厂</w:t>
            </w:r>
            <w:r>
              <w:rPr>
                <w:color w:val="auto"/>
                <w:sz w:val="18"/>
                <w:szCs w:val="18"/>
              </w:rPr>
              <w:t>出水指标计算，作为该项目排入外环境的水污染物总量</w:t>
            </w:r>
            <w:r>
              <w:rPr>
                <w:rFonts w:hint="eastAsia"/>
                <w:color w:val="auto"/>
                <w:sz w:val="18"/>
                <w:szCs w:val="18"/>
                <w:lang w:eastAsia="zh-CN"/>
              </w:rPr>
              <w:t>。</w:t>
            </w:r>
          </w:p>
          <w:p w14:paraId="51EA2B19">
            <w:pPr>
              <w:snapToGrid w:val="0"/>
              <w:rPr>
                <w:color w:val="auto"/>
                <w:sz w:val="10"/>
                <w:szCs w:val="10"/>
              </w:rPr>
            </w:pPr>
          </w:p>
          <w:p w14:paraId="0C59376C">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textAlignment w:val="auto"/>
              <w:rPr>
                <w:rFonts w:ascii="Times New Roman" w:hAnsi="Times New Roman" w:cs="Times New Roman"/>
                <w:color w:val="auto"/>
                <w:sz w:val="24"/>
              </w:rPr>
            </w:pPr>
            <w:r>
              <w:rPr>
                <w:rFonts w:ascii="Times New Roman" w:hAnsi="Times New Roman" w:cs="Times New Roman"/>
                <w:color w:val="auto"/>
                <w:sz w:val="24"/>
              </w:rPr>
              <w:t>（2）总量平衡方案</w:t>
            </w:r>
          </w:p>
          <w:p w14:paraId="506830BF">
            <w:pPr>
              <w:snapToGrid w:val="0"/>
              <w:spacing w:line="360" w:lineRule="auto"/>
              <w:ind w:firstLine="480" w:firstLineChars="200"/>
              <w:rPr>
                <w:color w:val="auto"/>
                <w:sz w:val="24"/>
              </w:rPr>
            </w:pPr>
            <w:r>
              <w:rPr>
                <w:color w:val="auto"/>
                <w:sz w:val="24"/>
              </w:rPr>
              <w:t>废水：污水排放总量≤</w:t>
            </w:r>
            <w:r>
              <w:rPr>
                <w:rFonts w:hint="eastAsia"/>
                <w:color w:val="auto"/>
                <w:sz w:val="24"/>
                <w:lang w:val="en-US" w:eastAsia="zh-CN"/>
              </w:rPr>
              <w:t>648</w:t>
            </w:r>
            <w:r>
              <w:rPr>
                <w:color w:val="auto"/>
                <w:sz w:val="24"/>
              </w:rPr>
              <w:t>m</w:t>
            </w:r>
            <w:r>
              <w:rPr>
                <w:color w:val="auto"/>
                <w:sz w:val="24"/>
                <w:vertAlign w:val="superscript"/>
              </w:rPr>
              <w:t>3</w:t>
            </w:r>
            <w:r>
              <w:rPr>
                <w:color w:val="auto"/>
                <w:sz w:val="24"/>
              </w:rPr>
              <w:t>/a，水污染物排放总量为COD≤</w:t>
            </w:r>
            <w:r>
              <w:rPr>
                <w:rFonts w:hint="eastAsia"/>
                <w:color w:val="auto"/>
                <w:sz w:val="24"/>
                <w:lang w:val="en-US" w:eastAsia="zh-CN"/>
              </w:rPr>
              <w:t>0.259</w:t>
            </w:r>
            <w:r>
              <w:rPr>
                <w:color w:val="auto"/>
                <w:sz w:val="24"/>
              </w:rPr>
              <w:t>t/a、SS≤</w:t>
            </w:r>
            <w:r>
              <w:rPr>
                <w:rFonts w:hint="eastAsia"/>
                <w:color w:val="auto"/>
                <w:sz w:val="24"/>
                <w:lang w:val="en-US" w:eastAsia="zh-CN"/>
              </w:rPr>
              <w:t>0.162</w:t>
            </w:r>
            <w:r>
              <w:rPr>
                <w:color w:val="auto"/>
                <w:sz w:val="24"/>
              </w:rPr>
              <w:t>t/a、氨氮≤</w:t>
            </w:r>
            <w:r>
              <w:rPr>
                <w:rFonts w:hint="eastAsia"/>
                <w:color w:val="auto"/>
                <w:sz w:val="24"/>
                <w:lang w:val="en-US" w:eastAsia="zh-CN"/>
              </w:rPr>
              <w:t>0.019</w:t>
            </w:r>
            <w:r>
              <w:rPr>
                <w:color w:val="auto"/>
                <w:sz w:val="24"/>
              </w:rPr>
              <w:t>t/a、总磷≤</w:t>
            </w:r>
            <w:r>
              <w:rPr>
                <w:rFonts w:hint="eastAsia"/>
                <w:color w:val="auto"/>
                <w:sz w:val="24"/>
                <w:lang w:val="en-US" w:eastAsia="zh-CN"/>
              </w:rPr>
              <w:t>0.003</w:t>
            </w:r>
            <w:r>
              <w:rPr>
                <w:color w:val="auto"/>
                <w:sz w:val="24"/>
              </w:rPr>
              <w:t>t/a、总</w:t>
            </w:r>
            <w:r>
              <w:rPr>
                <w:rFonts w:hint="eastAsia"/>
                <w:color w:val="auto"/>
                <w:sz w:val="24"/>
              </w:rPr>
              <w:t>氮</w:t>
            </w:r>
            <w:r>
              <w:rPr>
                <w:color w:val="auto"/>
                <w:sz w:val="24"/>
              </w:rPr>
              <w:t>≤</w:t>
            </w:r>
            <w:r>
              <w:rPr>
                <w:rFonts w:hint="eastAsia"/>
                <w:color w:val="auto"/>
                <w:sz w:val="24"/>
                <w:lang w:val="en-US" w:eastAsia="zh-CN"/>
              </w:rPr>
              <w:t>0.032t</w:t>
            </w:r>
            <w:r>
              <w:rPr>
                <w:color w:val="auto"/>
                <w:sz w:val="24"/>
              </w:rPr>
              <w:t>/a，</w:t>
            </w:r>
            <w:r>
              <w:rPr>
                <w:rFonts w:hint="eastAsia"/>
                <w:color w:val="auto"/>
                <w:sz w:val="24"/>
                <w:lang w:val="en-US" w:eastAsia="zh-CN"/>
              </w:rPr>
              <w:t>定期清运至</w:t>
            </w:r>
            <w:r>
              <w:rPr>
                <w:rFonts w:hint="eastAsia" w:eastAsiaTheme="minorEastAsia"/>
                <w:bCs/>
                <w:color w:val="auto"/>
                <w:sz w:val="24"/>
                <w:szCs w:val="24"/>
                <w:lang w:val="en-US" w:eastAsia="zh-CN"/>
              </w:rPr>
              <w:t>常州市江边污水处理厂</w:t>
            </w:r>
            <w:r>
              <w:rPr>
                <w:color w:val="auto"/>
                <w:sz w:val="24"/>
              </w:rPr>
              <w:t>集中处理；最终排入外环境的水污染物总量为COD≤0.</w:t>
            </w:r>
            <w:r>
              <w:rPr>
                <w:rFonts w:hint="eastAsia"/>
                <w:color w:val="auto"/>
                <w:sz w:val="24"/>
                <w:lang w:val="en-US" w:eastAsia="zh-CN"/>
              </w:rPr>
              <w:t>026</w:t>
            </w:r>
            <w:r>
              <w:rPr>
                <w:color w:val="auto"/>
                <w:sz w:val="24"/>
              </w:rPr>
              <w:t>t/a、SS≤0.</w:t>
            </w:r>
            <w:r>
              <w:rPr>
                <w:rFonts w:hint="eastAsia"/>
                <w:color w:val="auto"/>
                <w:sz w:val="24"/>
                <w:lang w:val="en-US" w:eastAsia="zh-CN"/>
              </w:rPr>
              <w:t>007</w:t>
            </w:r>
            <w:r>
              <w:rPr>
                <w:color w:val="auto"/>
                <w:sz w:val="24"/>
              </w:rPr>
              <w:t>t/a、氨氮≤0.</w:t>
            </w:r>
            <w:r>
              <w:rPr>
                <w:rFonts w:hint="eastAsia"/>
                <w:color w:val="auto"/>
                <w:sz w:val="24"/>
                <w:lang w:val="en-US" w:eastAsia="zh-CN"/>
              </w:rPr>
              <w:t>002t</w:t>
            </w:r>
            <w:r>
              <w:rPr>
                <w:color w:val="auto"/>
                <w:sz w:val="24"/>
              </w:rPr>
              <w:t>/a、总磷≤0.0</w:t>
            </w:r>
            <w:r>
              <w:rPr>
                <w:rFonts w:hint="eastAsia"/>
                <w:color w:val="auto"/>
                <w:sz w:val="24"/>
                <w:lang w:val="en-US" w:eastAsia="zh-CN"/>
              </w:rPr>
              <w:t>002t</w:t>
            </w:r>
            <w:r>
              <w:rPr>
                <w:color w:val="auto"/>
                <w:sz w:val="24"/>
              </w:rPr>
              <w:t>/a、总</w:t>
            </w:r>
            <w:r>
              <w:rPr>
                <w:rFonts w:hint="eastAsia"/>
                <w:color w:val="auto"/>
                <w:sz w:val="24"/>
              </w:rPr>
              <w:t>氮</w:t>
            </w:r>
            <w:r>
              <w:rPr>
                <w:color w:val="auto"/>
                <w:sz w:val="24"/>
              </w:rPr>
              <w:t>≤0.</w:t>
            </w:r>
            <w:r>
              <w:rPr>
                <w:rFonts w:hint="eastAsia"/>
                <w:color w:val="auto"/>
                <w:sz w:val="24"/>
                <w:lang w:val="en-US" w:eastAsia="zh-CN"/>
              </w:rPr>
              <w:t>007</w:t>
            </w:r>
            <w:r>
              <w:rPr>
                <w:color w:val="auto"/>
                <w:sz w:val="24"/>
              </w:rPr>
              <w:t>t/a，纳入</w:t>
            </w:r>
            <w:r>
              <w:rPr>
                <w:rFonts w:hint="eastAsia" w:eastAsiaTheme="minorEastAsia"/>
                <w:bCs/>
                <w:color w:val="auto"/>
                <w:sz w:val="24"/>
                <w:szCs w:val="24"/>
                <w:lang w:val="en-US" w:eastAsia="zh-CN"/>
              </w:rPr>
              <w:t>常州市江边污水处理厂</w:t>
            </w:r>
            <w:r>
              <w:rPr>
                <w:color w:val="auto"/>
                <w:sz w:val="24"/>
              </w:rPr>
              <w:t>总量范围内。</w:t>
            </w:r>
          </w:p>
          <w:p w14:paraId="1FA9F85F">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textAlignment w:val="auto"/>
              <w:rPr>
                <w:color w:val="auto"/>
                <w:sz w:val="24"/>
              </w:rPr>
            </w:pPr>
            <w:r>
              <w:rPr>
                <w:color w:val="auto"/>
                <w:sz w:val="24"/>
              </w:rPr>
              <w:t>固废：固废排放总量为零。</w:t>
            </w:r>
          </w:p>
          <w:p w14:paraId="73AFB53F">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textAlignment w:val="auto"/>
              <w:rPr>
                <w:color w:val="FF0000"/>
                <w:sz w:val="24"/>
              </w:rPr>
            </w:pPr>
          </w:p>
          <w:p w14:paraId="01F0773C">
            <w:pPr>
              <w:pStyle w:val="45"/>
              <w:rPr>
                <w:rFonts w:ascii="宋体" w:hAnsi="宋体" w:cs="宋体"/>
                <w:color w:val="FF0000"/>
                <w:kern w:val="0"/>
                <w:szCs w:val="21"/>
              </w:rPr>
            </w:pPr>
          </w:p>
          <w:p w14:paraId="277EF4BB">
            <w:pPr>
              <w:pStyle w:val="45"/>
              <w:rPr>
                <w:rFonts w:ascii="宋体" w:hAnsi="宋体" w:cs="宋体"/>
                <w:color w:val="FF0000"/>
                <w:kern w:val="0"/>
                <w:szCs w:val="21"/>
              </w:rPr>
            </w:pPr>
          </w:p>
          <w:p w14:paraId="5B0BDF01">
            <w:pPr>
              <w:pStyle w:val="45"/>
              <w:rPr>
                <w:rFonts w:ascii="宋体" w:hAnsi="宋体" w:cs="宋体"/>
                <w:color w:val="FF0000"/>
                <w:kern w:val="0"/>
                <w:szCs w:val="21"/>
              </w:rPr>
            </w:pPr>
          </w:p>
          <w:p w14:paraId="6EACF89A">
            <w:pPr>
              <w:pStyle w:val="45"/>
              <w:rPr>
                <w:rFonts w:hint="eastAsia" w:ascii="宋体" w:hAnsi="宋体" w:eastAsia="宋体" w:cs="宋体"/>
                <w:color w:val="FF0000"/>
                <w:kern w:val="0"/>
                <w:szCs w:val="21"/>
                <w:lang w:val="en-US" w:eastAsia="zh-CN"/>
              </w:rPr>
            </w:pPr>
          </w:p>
          <w:p w14:paraId="5CAEA23E">
            <w:pPr>
              <w:pStyle w:val="45"/>
              <w:rPr>
                <w:rFonts w:hint="eastAsia" w:ascii="宋体" w:hAnsi="宋体" w:eastAsia="宋体" w:cs="宋体"/>
                <w:color w:val="FF0000"/>
                <w:kern w:val="0"/>
                <w:szCs w:val="21"/>
                <w:lang w:val="en-US" w:eastAsia="zh-CN"/>
              </w:rPr>
            </w:pPr>
          </w:p>
          <w:p w14:paraId="74CC247D">
            <w:pPr>
              <w:pStyle w:val="45"/>
              <w:rPr>
                <w:rFonts w:hint="eastAsia" w:ascii="宋体" w:hAnsi="宋体" w:eastAsia="宋体" w:cs="宋体"/>
                <w:color w:val="FF0000"/>
                <w:kern w:val="0"/>
                <w:szCs w:val="21"/>
                <w:lang w:val="en-US" w:eastAsia="zh-CN"/>
              </w:rPr>
            </w:pPr>
          </w:p>
          <w:p w14:paraId="5498F597">
            <w:pPr>
              <w:pStyle w:val="45"/>
              <w:rPr>
                <w:rFonts w:hint="eastAsia" w:ascii="宋体" w:hAnsi="宋体" w:eastAsia="宋体" w:cs="宋体"/>
                <w:color w:val="FF0000"/>
                <w:kern w:val="0"/>
                <w:szCs w:val="21"/>
                <w:lang w:val="en-US" w:eastAsia="zh-CN"/>
              </w:rPr>
            </w:pPr>
          </w:p>
          <w:p w14:paraId="4B683529">
            <w:pPr>
              <w:pStyle w:val="45"/>
              <w:rPr>
                <w:rFonts w:hint="eastAsia" w:ascii="宋体" w:hAnsi="宋体" w:eastAsia="宋体" w:cs="宋体"/>
                <w:color w:val="FF0000"/>
                <w:kern w:val="0"/>
                <w:szCs w:val="21"/>
                <w:lang w:val="en-US" w:eastAsia="zh-CN"/>
              </w:rPr>
            </w:pPr>
          </w:p>
          <w:p w14:paraId="64AB9348">
            <w:pPr>
              <w:pStyle w:val="45"/>
              <w:rPr>
                <w:rFonts w:hint="eastAsia" w:ascii="宋体" w:hAnsi="宋体" w:eastAsia="宋体" w:cs="宋体"/>
                <w:color w:val="FF0000"/>
                <w:kern w:val="0"/>
                <w:szCs w:val="21"/>
                <w:lang w:val="en-US" w:eastAsia="zh-CN"/>
              </w:rPr>
            </w:pPr>
          </w:p>
          <w:p w14:paraId="7B342FA4">
            <w:pPr>
              <w:pStyle w:val="45"/>
              <w:rPr>
                <w:rFonts w:hint="eastAsia" w:ascii="宋体" w:hAnsi="宋体" w:eastAsia="宋体" w:cs="宋体"/>
                <w:color w:val="FF0000"/>
                <w:kern w:val="0"/>
                <w:szCs w:val="21"/>
                <w:lang w:val="en-US" w:eastAsia="zh-CN"/>
              </w:rPr>
            </w:pPr>
          </w:p>
          <w:p w14:paraId="1CD7943F">
            <w:pPr>
              <w:pStyle w:val="45"/>
              <w:rPr>
                <w:rFonts w:hint="eastAsia" w:ascii="宋体" w:hAnsi="宋体" w:eastAsia="宋体" w:cs="宋体"/>
                <w:color w:val="FF0000"/>
                <w:kern w:val="0"/>
                <w:szCs w:val="21"/>
                <w:lang w:val="en-US" w:eastAsia="zh-CN"/>
              </w:rPr>
            </w:pPr>
          </w:p>
          <w:p w14:paraId="432E5A82">
            <w:pPr>
              <w:pStyle w:val="45"/>
              <w:rPr>
                <w:rFonts w:hint="eastAsia" w:ascii="宋体" w:hAnsi="宋体" w:eastAsia="宋体" w:cs="宋体"/>
                <w:color w:val="FF0000"/>
                <w:kern w:val="0"/>
                <w:szCs w:val="21"/>
                <w:lang w:val="en-US" w:eastAsia="zh-CN"/>
              </w:rPr>
            </w:pPr>
          </w:p>
          <w:p w14:paraId="1DFE343C">
            <w:pPr>
              <w:pStyle w:val="45"/>
              <w:rPr>
                <w:rFonts w:hint="eastAsia" w:ascii="宋体" w:hAnsi="宋体" w:eastAsia="宋体" w:cs="宋体"/>
                <w:color w:val="FF0000"/>
                <w:kern w:val="0"/>
                <w:szCs w:val="21"/>
                <w:lang w:val="en-US" w:eastAsia="zh-CN"/>
              </w:rPr>
            </w:pPr>
          </w:p>
          <w:p w14:paraId="299D75CC">
            <w:pPr>
              <w:pStyle w:val="45"/>
              <w:rPr>
                <w:rFonts w:hint="eastAsia" w:ascii="宋体" w:hAnsi="宋体" w:eastAsia="宋体" w:cs="宋体"/>
                <w:color w:val="FF0000"/>
                <w:kern w:val="0"/>
                <w:szCs w:val="21"/>
                <w:lang w:val="en-US" w:eastAsia="zh-CN"/>
              </w:rPr>
            </w:pPr>
          </w:p>
          <w:p w14:paraId="6EC46633">
            <w:pPr>
              <w:pStyle w:val="45"/>
              <w:rPr>
                <w:rFonts w:hint="eastAsia" w:ascii="宋体" w:hAnsi="宋体" w:eastAsia="宋体" w:cs="宋体"/>
                <w:color w:val="FF0000"/>
                <w:kern w:val="0"/>
                <w:szCs w:val="21"/>
                <w:lang w:val="en-US" w:eastAsia="zh-CN"/>
              </w:rPr>
            </w:pPr>
          </w:p>
          <w:p w14:paraId="604EC3CD">
            <w:pPr>
              <w:pStyle w:val="45"/>
              <w:rPr>
                <w:rFonts w:hint="eastAsia" w:ascii="宋体" w:hAnsi="宋体" w:eastAsia="宋体" w:cs="宋体"/>
                <w:color w:val="FF0000"/>
                <w:kern w:val="0"/>
                <w:szCs w:val="21"/>
                <w:lang w:val="en-US" w:eastAsia="zh-CN"/>
              </w:rPr>
            </w:pPr>
          </w:p>
          <w:p w14:paraId="60B77541">
            <w:pPr>
              <w:pStyle w:val="45"/>
              <w:rPr>
                <w:rFonts w:hint="eastAsia" w:ascii="宋体" w:hAnsi="宋体" w:eastAsia="宋体" w:cs="宋体"/>
                <w:color w:val="FF0000"/>
                <w:kern w:val="0"/>
                <w:szCs w:val="21"/>
                <w:lang w:val="en-US" w:eastAsia="zh-CN"/>
              </w:rPr>
            </w:pPr>
          </w:p>
          <w:p w14:paraId="6295C1CC">
            <w:pPr>
              <w:pStyle w:val="45"/>
              <w:rPr>
                <w:rFonts w:hint="eastAsia" w:ascii="宋体" w:hAnsi="宋体" w:eastAsia="宋体" w:cs="宋体"/>
                <w:color w:val="FF0000"/>
                <w:kern w:val="0"/>
                <w:szCs w:val="21"/>
                <w:lang w:val="en-US" w:eastAsia="zh-CN"/>
              </w:rPr>
            </w:pPr>
          </w:p>
          <w:p w14:paraId="23AF1C77">
            <w:pPr>
              <w:pStyle w:val="45"/>
              <w:rPr>
                <w:rFonts w:hint="eastAsia" w:ascii="宋体" w:hAnsi="宋体" w:eastAsia="宋体" w:cs="宋体"/>
                <w:color w:val="FF0000"/>
                <w:kern w:val="0"/>
                <w:szCs w:val="21"/>
                <w:lang w:val="en-US" w:eastAsia="zh-CN"/>
              </w:rPr>
            </w:pPr>
          </w:p>
        </w:tc>
      </w:tr>
    </w:tbl>
    <w:p w14:paraId="06EE6949">
      <w:pPr>
        <w:adjustRightInd w:val="0"/>
        <w:snapToGrid w:val="0"/>
        <w:jc w:val="center"/>
        <w:rPr>
          <w:rFonts w:ascii="宋体" w:hAnsi="宋体" w:cs="宋体"/>
          <w:b/>
          <w:bCs/>
          <w:color w:val="FF0000"/>
          <w:kern w:val="0"/>
          <w:szCs w:val="21"/>
        </w:rPr>
        <w:sectPr>
          <w:pgSz w:w="11906" w:h="16838"/>
          <w:pgMar w:top="1276" w:right="1803" w:bottom="1713" w:left="1803" w:header="851" w:footer="992" w:gutter="0"/>
          <w:pgBorders>
            <w:top w:val="none" w:sz="0" w:space="0"/>
            <w:left w:val="none" w:sz="0" w:space="0"/>
            <w:bottom w:val="none" w:sz="0" w:space="0"/>
            <w:right w:val="none" w:sz="0" w:space="0"/>
          </w:pgBorders>
          <w:pgNumType w:fmt="decimal"/>
          <w:cols w:space="0" w:num="1"/>
          <w:docGrid w:type="lines" w:linePitch="319" w:charSpace="0"/>
        </w:sectPr>
      </w:pPr>
    </w:p>
    <w:p w14:paraId="115F9068">
      <w:pPr>
        <w:pStyle w:val="4"/>
        <w:rPr>
          <w:rFonts w:eastAsiaTheme="minorEastAsia"/>
          <w:color w:val="auto"/>
        </w:rPr>
      </w:pPr>
      <w:bookmarkStart w:id="10" w:name="_Toc17172"/>
      <w:bookmarkStart w:id="11" w:name="_Toc18447"/>
      <w:r>
        <w:rPr>
          <w:rFonts w:eastAsiaTheme="minorEastAsia"/>
          <w:color w:val="auto"/>
        </w:rPr>
        <w:t>四、</w:t>
      </w:r>
      <w:r>
        <w:rPr>
          <w:rFonts w:hint="eastAsia" w:ascii="宋体" w:hAnsi="宋体" w:eastAsia="宋体" w:cs="宋体"/>
          <w:snapToGrid w:val="0"/>
          <w:color w:val="auto"/>
          <w:sz w:val="30"/>
          <w:szCs w:val="30"/>
        </w:rPr>
        <w:t>主要环境影响和保护措施</w:t>
      </w:r>
      <w:bookmarkEnd w:id="10"/>
      <w:bookmarkEnd w:id="11"/>
    </w:p>
    <w:tbl>
      <w:tblPr>
        <w:tblStyle w:val="35"/>
        <w:tblW w:w="85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5"/>
        <w:gridCol w:w="7964"/>
      </w:tblGrid>
      <w:tr w14:paraId="6DCAB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55" w:type="dxa"/>
            <w:tcMar>
              <w:left w:w="28" w:type="dxa"/>
              <w:right w:w="28" w:type="dxa"/>
            </w:tcMar>
            <w:vAlign w:val="center"/>
          </w:tcPr>
          <w:p w14:paraId="7C12CE84">
            <w:pPr>
              <w:pStyle w:val="32"/>
              <w:adjustRightInd w:val="0"/>
              <w:snapToGrid w:val="0"/>
              <w:spacing w:before="0" w:beforeAutospacing="0" w:after="0" w:afterAutospacing="0"/>
              <w:jc w:val="center"/>
              <w:rPr>
                <w:b/>
                <w:bCs/>
                <w:color w:val="auto"/>
                <w:kern w:val="2"/>
                <w:sz w:val="24"/>
                <w:szCs w:val="24"/>
              </w:rPr>
            </w:pPr>
            <w:r>
              <w:rPr>
                <w:rFonts w:hint="eastAsia"/>
                <w:b/>
                <w:bCs/>
                <w:color w:val="auto"/>
                <w:kern w:val="2"/>
                <w:sz w:val="24"/>
                <w:szCs w:val="24"/>
              </w:rPr>
              <w:t>施工</w:t>
            </w:r>
          </w:p>
          <w:p w14:paraId="5396F677">
            <w:pPr>
              <w:pStyle w:val="32"/>
              <w:adjustRightInd w:val="0"/>
              <w:snapToGrid w:val="0"/>
              <w:spacing w:before="0" w:beforeAutospacing="0" w:after="0" w:afterAutospacing="0"/>
              <w:jc w:val="center"/>
              <w:rPr>
                <w:b/>
                <w:bCs/>
                <w:color w:val="auto"/>
                <w:kern w:val="2"/>
                <w:sz w:val="24"/>
                <w:szCs w:val="24"/>
              </w:rPr>
            </w:pPr>
            <w:r>
              <w:rPr>
                <w:rFonts w:hint="eastAsia"/>
                <w:b/>
                <w:bCs/>
                <w:color w:val="auto"/>
                <w:kern w:val="2"/>
                <w:sz w:val="24"/>
                <w:szCs w:val="24"/>
              </w:rPr>
              <w:t>期环</w:t>
            </w:r>
          </w:p>
          <w:p w14:paraId="50AC3B44">
            <w:pPr>
              <w:pStyle w:val="32"/>
              <w:adjustRightInd w:val="0"/>
              <w:snapToGrid w:val="0"/>
              <w:spacing w:before="0" w:beforeAutospacing="0" w:after="0" w:afterAutospacing="0"/>
              <w:jc w:val="center"/>
              <w:rPr>
                <w:b/>
                <w:bCs/>
                <w:color w:val="auto"/>
                <w:kern w:val="2"/>
                <w:sz w:val="24"/>
                <w:szCs w:val="24"/>
              </w:rPr>
            </w:pPr>
            <w:r>
              <w:rPr>
                <w:rFonts w:hint="eastAsia"/>
                <w:b/>
                <w:bCs/>
                <w:color w:val="auto"/>
                <w:kern w:val="2"/>
                <w:sz w:val="24"/>
                <w:szCs w:val="24"/>
              </w:rPr>
              <w:t>境保</w:t>
            </w:r>
          </w:p>
          <w:p w14:paraId="2482FD5B">
            <w:pPr>
              <w:pStyle w:val="32"/>
              <w:adjustRightInd w:val="0"/>
              <w:snapToGrid w:val="0"/>
              <w:spacing w:before="0" w:beforeAutospacing="0" w:after="0" w:afterAutospacing="0"/>
              <w:jc w:val="center"/>
              <w:rPr>
                <w:b/>
                <w:bCs/>
                <w:color w:val="auto"/>
                <w:kern w:val="2"/>
                <w:sz w:val="24"/>
                <w:szCs w:val="24"/>
              </w:rPr>
            </w:pPr>
            <w:r>
              <w:rPr>
                <w:rFonts w:hint="eastAsia"/>
                <w:b/>
                <w:bCs/>
                <w:color w:val="auto"/>
                <w:kern w:val="2"/>
                <w:sz w:val="24"/>
                <w:szCs w:val="24"/>
              </w:rPr>
              <w:t>护措</w:t>
            </w:r>
          </w:p>
          <w:p w14:paraId="7A9706BF">
            <w:pPr>
              <w:pStyle w:val="32"/>
              <w:adjustRightInd w:val="0"/>
              <w:snapToGrid w:val="0"/>
              <w:spacing w:before="0" w:beforeAutospacing="0" w:after="0" w:afterAutospacing="0"/>
              <w:jc w:val="center"/>
              <w:rPr>
                <w:b/>
                <w:bCs/>
                <w:color w:val="auto"/>
                <w:kern w:val="2"/>
                <w:sz w:val="24"/>
                <w:szCs w:val="24"/>
              </w:rPr>
            </w:pPr>
            <w:r>
              <w:rPr>
                <w:rFonts w:hint="eastAsia"/>
                <w:b/>
                <w:bCs/>
                <w:color w:val="auto"/>
                <w:kern w:val="2"/>
                <w:sz w:val="24"/>
                <w:szCs w:val="24"/>
              </w:rPr>
              <w:t>施</w:t>
            </w:r>
          </w:p>
        </w:tc>
        <w:tc>
          <w:tcPr>
            <w:tcW w:w="7964" w:type="dxa"/>
            <w:vAlign w:val="center"/>
          </w:tcPr>
          <w:p w14:paraId="62332317">
            <w:pPr>
              <w:adjustRightInd w:val="0"/>
              <w:snapToGrid w:val="0"/>
              <w:spacing w:line="360" w:lineRule="auto"/>
              <w:ind w:firstLine="480" w:firstLineChars="200"/>
              <w:rPr>
                <w:rFonts w:ascii="宋体" w:hAnsi="宋体" w:cs="宋体"/>
                <w:bCs/>
                <w:color w:val="FF0000"/>
                <w:spacing w:val="-10"/>
                <w:szCs w:val="21"/>
              </w:rPr>
            </w:pPr>
            <w:r>
              <w:rPr>
                <w:color w:val="auto"/>
                <w:sz w:val="24"/>
                <w:szCs w:val="24"/>
              </w:rPr>
              <w:t>本项目不新征用地、不新建厂房，</w:t>
            </w:r>
            <w:r>
              <w:rPr>
                <w:rFonts w:hint="eastAsia" w:ascii="Times New Roman" w:hAnsi="Times New Roman" w:eastAsia="宋体" w:cs="Times New Roman"/>
                <w:color w:val="auto"/>
                <w:sz w:val="24"/>
                <w:szCs w:val="24"/>
                <w:lang w:val="en-US" w:eastAsia="zh-CN"/>
              </w:rPr>
              <w:t>租赁常州上鸿科技服务有限公司管理的中瑞（常州）国际合作产业园</w:t>
            </w:r>
            <w:r>
              <w:rPr>
                <w:rFonts w:hint="eastAsia" w:eastAsia="新宋体"/>
                <w:color w:val="auto"/>
                <w:kern w:val="0"/>
                <w:sz w:val="24"/>
                <w:lang w:val="en-US" w:eastAsia="zh-CN"/>
              </w:rPr>
              <w:t>现有</w:t>
            </w:r>
            <w:r>
              <w:rPr>
                <w:rFonts w:hint="eastAsia"/>
                <w:color w:val="auto"/>
                <w:sz w:val="24"/>
                <w:szCs w:val="24"/>
                <w:lang w:eastAsia="zh-CN"/>
              </w:rPr>
              <w:t>生产车间进行生产</w:t>
            </w:r>
            <w:r>
              <w:rPr>
                <w:color w:val="auto"/>
                <w:sz w:val="24"/>
                <w:szCs w:val="24"/>
              </w:rPr>
              <w:t>。该项目施工期主要为设备安装调试，施工期较短，工程量较小，对周围环境影响较小。</w:t>
            </w:r>
          </w:p>
        </w:tc>
      </w:tr>
      <w:tr w14:paraId="30060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13" w:hRule="atLeast"/>
          <w:jc w:val="center"/>
        </w:trPr>
        <w:tc>
          <w:tcPr>
            <w:tcW w:w="555" w:type="dxa"/>
            <w:tcMar>
              <w:left w:w="28" w:type="dxa"/>
              <w:right w:w="28" w:type="dxa"/>
            </w:tcMar>
            <w:vAlign w:val="center"/>
          </w:tcPr>
          <w:p w14:paraId="1DBBFCF9">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运营</w:t>
            </w:r>
          </w:p>
          <w:p w14:paraId="658F6FA8">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期环</w:t>
            </w:r>
          </w:p>
          <w:p w14:paraId="627F616F">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境影</w:t>
            </w:r>
          </w:p>
          <w:p w14:paraId="4567B25E">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响和</w:t>
            </w:r>
          </w:p>
          <w:p w14:paraId="6D833CA2">
            <w:pPr>
              <w:adjustRightInd w:val="0"/>
              <w:snapToGrid w:val="0"/>
              <w:jc w:val="center"/>
              <w:rPr>
                <w:rFonts w:ascii="宋体" w:hAnsi="宋体" w:cs="宋体"/>
                <w:b/>
                <w:bCs/>
                <w:color w:val="auto"/>
                <w:sz w:val="24"/>
                <w:szCs w:val="24"/>
              </w:rPr>
            </w:pPr>
            <w:r>
              <w:rPr>
                <w:rFonts w:hint="eastAsia" w:ascii="宋体" w:hAnsi="宋体" w:cs="宋体"/>
                <w:b/>
                <w:bCs/>
                <w:color w:val="auto"/>
                <w:sz w:val="24"/>
                <w:szCs w:val="24"/>
              </w:rPr>
              <w:t>保护</w:t>
            </w:r>
          </w:p>
          <w:p w14:paraId="3E5AED22">
            <w:pPr>
              <w:pStyle w:val="32"/>
              <w:adjustRightInd w:val="0"/>
              <w:snapToGrid w:val="0"/>
              <w:spacing w:before="0" w:beforeAutospacing="0" w:after="0" w:afterAutospacing="0"/>
              <w:jc w:val="center"/>
              <w:rPr>
                <w:b/>
                <w:bCs/>
                <w:color w:val="auto"/>
                <w:kern w:val="2"/>
                <w:sz w:val="24"/>
                <w:szCs w:val="24"/>
              </w:rPr>
            </w:pPr>
            <w:r>
              <w:rPr>
                <w:rFonts w:hint="eastAsia"/>
                <w:b/>
                <w:bCs/>
                <w:color w:val="auto"/>
                <w:sz w:val="24"/>
                <w:szCs w:val="24"/>
              </w:rPr>
              <w:t>措施</w:t>
            </w:r>
          </w:p>
        </w:tc>
        <w:tc>
          <w:tcPr>
            <w:tcW w:w="7964" w:type="dxa"/>
            <w:vAlign w:val="center"/>
          </w:tcPr>
          <w:p w14:paraId="37B98947">
            <w:pPr>
              <w:spacing w:line="360" w:lineRule="auto"/>
              <w:ind w:firstLine="482" w:firstLineChars="200"/>
              <w:rPr>
                <w:rFonts w:hint="eastAsia" w:eastAsiaTheme="minorEastAsia"/>
                <w:b/>
                <w:bCs/>
                <w:color w:val="auto"/>
                <w:sz w:val="24"/>
                <w:szCs w:val="24"/>
              </w:rPr>
            </w:pPr>
            <w:r>
              <w:rPr>
                <w:rFonts w:hint="eastAsia" w:eastAsiaTheme="minorEastAsia"/>
                <w:b/>
                <w:bCs/>
                <w:color w:val="auto"/>
                <w:sz w:val="24"/>
                <w:szCs w:val="24"/>
              </w:rPr>
              <w:t>1、废气</w:t>
            </w:r>
          </w:p>
          <w:p w14:paraId="2DEE5E4D">
            <w:pPr>
              <w:spacing w:line="360" w:lineRule="auto"/>
              <w:ind w:firstLine="482" w:firstLineChars="200"/>
              <w:rPr>
                <w:rFonts w:hint="default" w:eastAsiaTheme="minorEastAsia"/>
                <w:b/>
                <w:bCs/>
                <w:color w:val="auto"/>
                <w:sz w:val="24"/>
                <w:szCs w:val="24"/>
              </w:rPr>
            </w:pPr>
            <w:r>
              <w:rPr>
                <w:rFonts w:hint="eastAsia" w:eastAsiaTheme="minorEastAsia"/>
                <w:b/>
                <w:bCs/>
                <w:color w:val="auto"/>
                <w:sz w:val="24"/>
                <w:szCs w:val="24"/>
              </w:rPr>
              <w:t>1</w:t>
            </w:r>
            <w:r>
              <w:rPr>
                <w:rFonts w:hint="eastAsia" w:eastAsiaTheme="minorEastAsia"/>
                <w:b/>
                <w:bCs/>
                <w:color w:val="auto"/>
                <w:sz w:val="24"/>
                <w:szCs w:val="24"/>
                <w:lang w:val="en-US" w:eastAsia="zh-CN"/>
              </w:rPr>
              <w:t>.1</w:t>
            </w:r>
            <w:r>
              <w:rPr>
                <w:rFonts w:hint="eastAsia" w:eastAsiaTheme="minorEastAsia"/>
                <w:b/>
                <w:bCs/>
                <w:color w:val="auto"/>
                <w:sz w:val="24"/>
                <w:szCs w:val="24"/>
              </w:rPr>
              <w:t>废气污染物源强分析</w:t>
            </w:r>
          </w:p>
          <w:p w14:paraId="2F17F2E5">
            <w:pPr>
              <w:adjustRightInd w:val="0"/>
              <w:snapToGrid w:val="0"/>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rPr>
              <w:t>）有组织废气</w:t>
            </w:r>
          </w:p>
          <w:p w14:paraId="166B8FAB">
            <w:p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en-US" w:eastAsia="zh-CN"/>
              </w:rPr>
              <w:t>DA001排气筒（</w:t>
            </w:r>
            <w:r>
              <w:rPr>
                <w:rFonts w:hint="eastAsia" w:ascii="Times New Roman" w:hAnsi="Times New Roman" w:cs="Times New Roman"/>
                <w:color w:val="auto"/>
                <w:sz w:val="24"/>
                <w:szCs w:val="24"/>
                <w:lang w:val="en-US" w:eastAsia="zh-CN"/>
              </w:rPr>
              <w:t>发泡</w:t>
            </w:r>
            <w:r>
              <w:rPr>
                <w:rFonts w:hint="default" w:ascii="Times New Roman" w:hAnsi="Times New Roman" w:cs="Times New Roman"/>
                <w:color w:val="auto"/>
                <w:sz w:val="24"/>
                <w:szCs w:val="24"/>
                <w:lang w:val="en-US" w:eastAsia="zh-CN"/>
              </w:rPr>
              <w:t>废气</w:t>
            </w:r>
            <w:r>
              <w:rPr>
                <w:rFonts w:hint="eastAsia" w:ascii="Times New Roman" w:hAnsi="Times New Roman" w:cs="Times New Roman"/>
                <w:color w:val="auto"/>
                <w:sz w:val="24"/>
                <w:szCs w:val="24"/>
                <w:lang w:val="en-US" w:eastAsia="zh-CN"/>
              </w:rPr>
              <w:t>G1</w:t>
            </w:r>
            <w:r>
              <w:rPr>
                <w:rFonts w:hint="eastAsia" w:cs="Times New Roman"/>
                <w:color w:val="auto"/>
                <w:sz w:val="24"/>
                <w:szCs w:val="24"/>
                <w:lang w:val="en-US" w:eastAsia="zh-CN"/>
              </w:rPr>
              <w:t>、擦拭废气G3</w:t>
            </w:r>
            <w:r>
              <w:rPr>
                <w:rFonts w:hint="default" w:ascii="Times New Roman" w:hAnsi="Times New Roman" w:cs="Times New Roman"/>
                <w:color w:val="auto"/>
                <w:sz w:val="24"/>
                <w:szCs w:val="24"/>
                <w:lang w:val="en-US" w:eastAsia="zh-CN"/>
              </w:rPr>
              <w:t>）</w:t>
            </w:r>
          </w:p>
          <w:p w14:paraId="7DC0C725">
            <w:p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①发泡</w:t>
            </w:r>
            <w:r>
              <w:rPr>
                <w:rFonts w:hint="default" w:ascii="Times New Roman" w:hAnsi="Times New Roman" w:cs="Times New Roman"/>
                <w:color w:val="auto"/>
                <w:sz w:val="24"/>
                <w:szCs w:val="24"/>
                <w:lang w:val="en-US" w:eastAsia="zh-CN"/>
              </w:rPr>
              <w:t>废气</w:t>
            </w:r>
            <w:r>
              <w:rPr>
                <w:rFonts w:hint="eastAsia" w:ascii="Times New Roman" w:hAnsi="Times New Roman" w:cs="Times New Roman"/>
                <w:color w:val="auto"/>
                <w:sz w:val="24"/>
                <w:szCs w:val="24"/>
                <w:lang w:val="en-US" w:eastAsia="zh-CN"/>
              </w:rPr>
              <w:t>G1</w:t>
            </w:r>
          </w:p>
          <w:p w14:paraId="2BEC1B4A">
            <w:pPr>
              <w:adjustRightInd w:val="0"/>
              <w:snapToGrid w:val="0"/>
              <w:spacing w:line="360" w:lineRule="auto"/>
              <w:ind w:firstLine="480" w:firstLineChars="200"/>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本项目在</w:t>
            </w:r>
            <w:r>
              <w:rPr>
                <w:rFonts w:hint="eastAsia" w:cs="Times New Roman"/>
                <w:color w:val="auto"/>
                <w:sz w:val="24"/>
                <w:szCs w:val="24"/>
                <w:lang w:val="en-US" w:eastAsia="zh-CN"/>
              </w:rPr>
              <w:t>密闭发泡间内设置1台发泡</w:t>
            </w:r>
            <w:r>
              <w:rPr>
                <w:rFonts w:hint="default" w:ascii="Times New Roman" w:hAnsi="Times New Roman" w:cs="Times New Roman"/>
                <w:color w:val="auto"/>
                <w:sz w:val="24"/>
                <w:szCs w:val="24"/>
                <w:lang w:val="en-US" w:eastAsia="zh-CN"/>
              </w:rPr>
              <w:t>机</w:t>
            </w:r>
            <w:r>
              <w:rPr>
                <w:rFonts w:hint="eastAsia" w:ascii="Times New Roman" w:hAnsi="Times New Roman" w:cs="Times New Roman"/>
                <w:color w:val="auto"/>
                <w:sz w:val="24"/>
                <w:szCs w:val="24"/>
                <w:lang w:val="en-US" w:eastAsia="zh-CN"/>
              </w:rPr>
              <w:t>，发泡过程中会有有机废气产生。发泡废气产生量类比《常州明飞汽车零部件新建项目竣工环境保护验收监测报告表》（江苏蓝天环境检测技术有限公司，报告编号：LT23653，2023年</w:t>
            </w:r>
            <w:r>
              <w:rPr>
                <w:rFonts w:hint="eastAsia" w:cs="Times New Roman"/>
                <w:color w:val="auto"/>
                <w:sz w:val="24"/>
                <w:szCs w:val="24"/>
                <w:lang w:val="en-US" w:eastAsia="zh-CN"/>
              </w:rPr>
              <w:t>0</w:t>
            </w:r>
            <w:r>
              <w:rPr>
                <w:rFonts w:hint="eastAsia" w:ascii="Times New Roman" w:hAnsi="Times New Roman" w:cs="Times New Roman"/>
                <w:color w:val="auto"/>
                <w:sz w:val="24"/>
                <w:szCs w:val="24"/>
                <w:lang w:val="en-US" w:eastAsia="zh-CN"/>
              </w:rPr>
              <w:t>6月</w:t>
            </w:r>
            <w:r>
              <w:rPr>
                <w:rFonts w:hint="eastAsia" w:cs="Times New Roman"/>
                <w:color w:val="auto"/>
                <w:sz w:val="24"/>
                <w:szCs w:val="24"/>
                <w:lang w:val="en-US" w:eastAsia="zh-CN"/>
              </w:rPr>
              <w:t>20</w:t>
            </w:r>
            <w:r>
              <w:rPr>
                <w:rFonts w:hint="eastAsia" w:ascii="Times New Roman" w:hAnsi="Times New Roman" w:cs="Times New Roman"/>
                <w:color w:val="auto"/>
                <w:sz w:val="24"/>
                <w:szCs w:val="24"/>
                <w:lang w:val="en-US" w:eastAsia="zh-CN"/>
              </w:rPr>
              <w:t>日）中数据。</w:t>
            </w:r>
          </w:p>
          <w:p w14:paraId="398533C7">
            <w:pPr>
              <w:tabs>
                <w:tab w:val="left" w:pos="1144"/>
              </w:tabs>
              <w:spacing w:line="360" w:lineRule="auto"/>
              <w:ind w:right="6"/>
              <w:jc w:val="center"/>
              <w:rPr>
                <w:rFonts w:hint="eastAsia" w:ascii="Times New Roman" w:hAnsi="Times New Roman" w:cs="Times New Roman"/>
                <w:b/>
                <w:bCs/>
                <w:color w:val="auto"/>
                <w:sz w:val="24"/>
                <w:szCs w:val="24"/>
                <w:lang w:eastAsia="zh-CN"/>
              </w:rPr>
            </w:pPr>
            <w:r>
              <w:rPr>
                <w:b/>
                <w:bCs/>
                <w:color w:val="auto"/>
                <w:sz w:val="24"/>
                <w:szCs w:val="24"/>
              </w:rPr>
              <w:t>表</w:t>
            </w:r>
            <w:r>
              <w:rPr>
                <w:rFonts w:hint="eastAsia"/>
                <w:b/>
                <w:bCs/>
                <w:color w:val="auto"/>
                <w:sz w:val="24"/>
                <w:szCs w:val="24"/>
              </w:rPr>
              <w:t>4</w:t>
            </w:r>
            <w:r>
              <w:rPr>
                <w:b/>
                <w:bCs/>
                <w:color w:val="auto"/>
                <w:sz w:val="24"/>
                <w:szCs w:val="24"/>
              </w:rPr>
              <w:t>-</w:t>
            </w:r>
            <w:r>
              <w:rPr>
                <w:rFonts w:hint="eastAsia"/>
                <w:b/>
                <w:bCs/>
                <w:color w:val="auto"/>
                <w:sz w:val="24"/>
                <w:szCs w:val="24"/>
                <w:lang w:val="en-US" w:eastAsia="zh-CN"/>
              </w:rPr>
              <w:t>1</w:t>
            </w:r>
            <w:r>
              <w:rPr>
                <w:rFonts w:hint="eastAsia" w:ascii="Times New Roman" w:hAnsi="Times New Roman" w:cs="Times New Roman"/>
                <w:b/>
                <w:bCs/>
                <w:color w:val="auto"/>
                <w:sz w:val="24"/>
                <w:szCs w:val="24"/>
                <w:lang w:eastAsia="zh-CN"/>
              </w:rPr>
              <w:t>项目类比情况参照表</w:t>
            </w:r>
          </w:p>
          <w:tbl>
            <w:tblPr>
              <w:tblStyle w:val="36"/>
              <w:tblW w:w="78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980"/>
              <w:gridCol w:w="4912"/>
            </w:tblGrid>
            <w:tr w14:paraId="362BC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46" w:type="dxa"/>
                  <w:tcBorders>
                    <w:tl2br w:val="nil"/>
                    <w:tr2bl w:val="nil"/>
                  </w:tcBorders>
                  <w:noWrap w:val="0"/>
                  <w:vAlign w:val="center"/>
                </w:tcPr>
                <w:p w14:paraId="21DE2C0E">
                  <w:pPr>
                    <w:spacing w:line="240" w:lineRule="atLeast"/>
                    <w:jc w:val="center"/>
                    <w:rPr>
                      <w:rFonts w:hint="default" w:ascii="Times New Roman" w:hAnsi="Times New Roman" w:cs="Times New Roman"/>
                      <w:b/>
                      <w:bCs/>
                      <w:color w:val="auto"/>
                      <w:szCs w:val="21"/>
                      <w:lang w:val="en-US" w:eastAsia="zh-CN"/>
                    </w:rPr>
                  </w:pPr>
                  <w:r>
                    <w:rPr>
                      <w:rFonts w:hint="default" w:ascii="Times New Roman" w:hAnsi="Times New Roman" w:cs="Times New Roman"/>
                      <w:b/>
                      <w:bCs/>
                      <w:color w:val="auto"/>
                      <w:szCs w:val="21"/>
                      <w:lang w:val="en-US" w:eastAsia="zh-CN"/>
                    </w:rPr>
                    <w:t>序号</w:t>
                  </w:r>
                </w:p>
              </w:tc>
              <w:tc>
                <w:tcPr>
                  <w:tcW w:w="1980" w:type="dxa"/>
                  <w:tcBorders>
                    <w:tl2br w:val="nil"/>
                    <w:tr2bl w:val="nil"/>
                  </w:tcBorders>
                  <w:noWrap w:val="0"/>
                  <w:vAlign w:val="center"/>
                </w:tcPr>
                <w:p w14:paraId="715E5D2D">
                  <w:pPr>
                    <w:spacing w:line="240" w:lineRule="atLeast"/>
                    <w:jc w:val="center"/>
                    <w:rPr>
                      <w:rFonts w:hint="default" w:ascii="Times New Roman" w:hAnsi="Times New Roman" w:cs="Times New Roman"/>
                      <w:b/>
                      <w:bCs/>
                      <w:color w:val="auto"/>
                      <w:szCs w:val="21"/>
                      <w:lang w:val="en-US" w:eastAsia="zh-CN"/>
                    </w:rPr>
                  </w:pPr>
                  <w:r>
                    <w:rPr>
                      <w:rFonts w:hint="default" w:ascii="Times New Roman" w:hAnsi="Times New Roman" w:cs="Times New Roman"/>
                      <w:b/>
                      <w:bCs/>
                      <w:color w:val="auto"/>
                      <w:szCs w:val="21"/>
                      <w:lang w:val="en-US" w:eastAsia="zh-CN"/>
                    </w:rPr>
                    <w:t>名称</w:t>
                  </w:r>
                </w:p>
              </w:tc>
              <w:tc>
                <w:tcPr>
                  <w:tcW w:w="4912" w:type="dxa"/>
                  <w:tcBorders>
                    <w:tl2br w:val="nil"/>
                    <w:tr2bl w:val="nil"/>
                  </w:tcBorders>
                  <w:noWrap w:val="0"/>
                  <w:vAlign w:val="center"/>
                </w:tcPr>
                <w:p w14:paraId="078B0A43">
                  <w:pPr>
                    <w:spacing w:line="240" w:lineRule="atLeast"/>
                    <w:jc w:val="center"/>
                    <w:rPr>
                      <w:rFonts w:hint="default" w:ascii="Times New Roman" w:hAnsi="Times New Roman" w:cs="Times New Roman"/>
                      <w:b/>
                      <w:bCs/>
                      <w:color w:val="auto"/>
                      <w:szCs w:val="21"/>
                      <w:lang w:val="en-US" w:eastAsia="zh-CN"/>
                    </w:rPr>
                  </w:pPr>
                  <w:r>
                    <w:rPr>
                      <w:rFonts w:hint="eastAsia" w:cs="Times New Roman"/>
                      <w:b/>
                      <w:bCs/>
                      <w:color w:val="auto"/>
                      <w:szCs w:val="21"/>
                      <w:lang w:val="en-US" w:eastAsia="zh-CN"/>
                    </w:rPr>
                    <w:t>2023年06月20日</w:t>
                  </w:r>
                </w:p>
              </w:tc>
            </w:tr>
            <w:tr w14:paraId="78723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46" w:type="dxa"/>
                  <w:tcBorders>
                    <w:tl2br w:val="nil"/>
                    <w:tr2bl w:val="nil"/>
                  </w:tcBorders>
                  <w:noWrap w:val="0"/>
                  <w:vAlign w:val="center"/>
                </w:tcPr>
                <w:p w14:paraId="081702E7">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w:t>
                  </w:r>
                </w:p>
              </w:tc>
              <w:tc>
                <w:tcPr>
                  <w:tcW w:w="1980" w:type="dxa"/>
                  <w:tcBorders>
                    <w:tl2br w:val="nil"/>
                    <w:tr2bl w:val="nil"/>
                  </w:tcBorders>
                  <w:noWrap w:val="0"/>
                  <w:vAlign w:val="center"/>
                </w:tcPr>
                <w:p w14:paraId="05F12929">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产品名称</w:t>
                  </w:r>
                </w:p>
              </w:tc>
              <w:tc>
                <w:tcPr>
                  <w:tcW w:w="4912" w:type="dxa"/>
                  <w:tcBorders>
                    <w:tl2br w:val="nil"/>
                    <w:tr2bl w:val="nil"/>
                  </w:tcBorders>
                  <w:noWrap w:val="0"/>
                  <w:vAlign w:val="center"/>
                </w:tcPr>
                <w:p w14:paraId="7F67D9F6">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汽车保温材料</w:t>
                  </w:r>
                </w:p>
              </w:tc>
            </w:tr>
            <w:tr w14:paraId="41DE0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6" w:type="dxa"/>
                  <w:tcBorders>
                    <w:tl2br w:val="nil"/>
                    <w:tr2bl w:val="nil"/>
                  </w:tcBorders>
                  <w:noWrap w:val="0"/>
                  <w:vAlign w:val="center"/>
                </w:tcPr>
                <w:p w14:paraId="0A51DFE8">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2</w:t>
                  </w:r>
                </w:p>
              </w:tc>
              <w:tc>
                <w:tcPr>
                  <w:tcW w:w="1980" w:type="dxa"/>
                  <w:tcBorders>
                    <w:tl2br w:val="nil"/>
                    <w:tr2bl w:val="nil"/>
                  </w:tcBorders>
                  <w:noWrap w:val="0"/>
                  <w:vAlign w:val="center"/>
                </w:tcPr>
                <w:p w14:paraId="2A6E5E65">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原辅料名称及用量</w:t>
                  </w:r>
                </w:p>
              </w:tc>
              <w:tc>
                <w:tcPr>
                  <w:tcW w:w="4912" w:type="dxa"/>
                  <w:tcBorders>
                    <w:tl2br w:val="nil"/>
                    <w:tr2bl w:val="nil"/>
                  </w:tcBorders>
                  <w:noWrap w:val="0"/>
                  <w:vAlign w:val="center"/>
                </w:tcPr>
                <w:p w14:paraId="50640876">
                  <w:pPr>
                    <w:spacing w:line="240" w:lineRule="atLeast"/>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发泡剂</w:t>
                  </w:r>
                  <w:r>
                    <w:rPr>
                      <w:rFonts w:hint="default" w:ascii="Times New Roman" w:hAnsi="Times New Roman" w:cs="Times New Roman"/>
                      <w:color w:val="auto"/>
                      <w:szCs w:val="21"/>
                      <w:lang w:val="en-US" w:eastAsia="zh-CN"/>
                    </w:rPr>
                    <w:t>A料：组合聚醚，B料：二苯基甲烷⼆异氰酸酯（MDI），用量</w:t>
                  </w:r>
                  <w:r>
                    <w:rPr>
                      <w:rFonts w:hint="eastAsia" w:cs="Times New Roman"/>
                      <w:color w:val="auto"/>
                      <w:szCs w:val="21"/>
                      <w:lang w:val="en-US" w:eastAsia="zh-CN"/>
                    </w:rPr>
                    <w:t>0.24t</w:t>
                  </w:r>
                </w:p>
              </w:tc>
            </w:tr>
            <w:tr w14:paraId="64144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46" w:type="dxa"/>
                  <w:tcBorders>
                    <w:tl2br w:val="nil"/>
                    <w:tr2bl w:val="nil"/>
                  </w:tcBorders>
                  <w:noWrap w:val="0"/>
                  <w:vAlign w:val="center"/>
                </w:tcPr>
                <w:p w14:paraId="2DE3E11D">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3</w:t>
                  </w:r>
                </w:p>
              </w:tc>
              <w:tc>
                <w:tcPr>
                  <w:tcW w:w="1980" w:type="dxa"/>
                  <w:tcBorders>
                    <w:tl2br w:val="nil"/>
                    <w:tr2bl w:val="nil"/>
                  </w:tcBorders>
                  <w:noWrap w:val="0"/>
                  <w:vAlign w:val="center"/>
                </w:tcPr>
                <w:p w14:paraId="7FD5343D">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污染物产生情况</w:t>
                  </w:r>
                </w:p>
              </w:tc>
              <w:tc>
                <w:tcPr>
                  <w:tcW w:w="4912" w:type="dxa"/>
                  <w:tcBorders>
                    <w:tl2br w:val="nil"/>
                    <w:tr2bl w:val="nil"/>
                  </w:tcBorders>
                  <w:noWrap w:val="0"/>
                  <w:vAlign w:val="center"/>
                </w:tcPr>
                <w:p w14:paraId="0B2BCF41">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非甲烷总烃产生量</w:t>
                  </w:r>
                  <w:r>
                    <w:rPr>
                      <w:rFonts w:hint="eastAsia" w:cs="Times New Roman"/>
                      <w:color w:val="auto"/>
                      <w:szCs w:val="21"/>
                      <w:lang w:val="en-US" w:eastAsia="zh-CN"/>
                    </w:rPr>
                    <w:t>1.304kg</w:t>
                  </w:r>
                </w:p>
              </w:tc>
            </w:tr>
            <w:tr w14:paraId="79E2D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46" w:type="dxa"/>
                  <w:tcBorders>
                    <w:tl2br w:val="nil"/>
                    <w:tr2bl w:val="nil"/>
                  </w:tcBorders>
                  <w:noWrap w:val="0"/>
                  <w:vAlign w:val="center"/>
                </w:tcPr>
                <w:p w14:paraId="53B1CED9">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4</w:t>
                  </w:r>
                </w:p>
              </w:tc>
              <w:tc>
                <w:tcPr>
                  <w:tcW w:w="1980" w:type="dxa"/>
                  <w:tcBorders>
                    <w:tl2br w:val="nil"/>
                    <w:tr2bl w:val="nil"/>
                  </w:tcBorders>
                  <w:noWrap w:val="0"/>
                  <w:vAlign w:val="center"/>
                </w:tcPr>
                <w:p w14:paraId="2D0D3886">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产污系数</w:t>
                  </w:r>
                </w:p>
              </w:tc>
              <w:tc>
                <w:tcPr>
                  <w:tcW w:w="4912" w:type="dxa"/>
                  <w:tcBorders>
                    <w:tl2br w:val="nil"/>
                    <w:tr2bl w:val="nil"/>
                  </w:tcBorders>
                  <w:noWrap w:val="0"/>
                  <w:vAlign w:val="center"/>
                </w:tcPr>
                <w:p w14:paraId="6360BCF4">
                  <w:pPr>
                    <w:spacing w:line="24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5.</w:t>
                  </w:r>
                  <w:r>
                    <w:rPr>
                      <w:rFonts w:hint="eastAsia" w:ascii="Times New Roman" w:hAnsi="Times New Roman" w:cs="Times New Roman"/>
                      <w:color w:val="auto"/>
                      <w:szCs w:val="21"/>
                      <w:lang w:val="en-US" w:eastAsia="zh-CN"/>
                    </w:rPr>
                    <w:t>4</w:t>
                  </w:r>
                  <w:r>
                    <w:rPr>
                      <w:rFonts w:hint="default" w:ascii="Times New Roman" w:hAnsi="Times New Roman" w:cs="Times New Roman"/>
                      <w:color w:val="auto"/>
                      <w:szCs w:val="21"/>
                      <w:lang w:val="en-US" w:eastAsia="zh-CN"/>
                    </w:rPr>
                    <w:t>kg/t-发泡料</w:t>
                  </w:r>
                </w:p>
              </w:tc>
            </w:tr>
          </w:tbl>
          <w:p w14:paraId="425B4D2C">
            <w:pPr>
              <w:ind w:firstLine="201" w:firstLineChars="200"/>
              <w:jc w:val="center"/>
              <w:rPr>
                <w:b/>
                <w:bCs/>
                <w:color w:val="FF0000"/>
                <w:sz w:val="10"/>
                <w:szCs w:val="10"/>
              </w:rPr>
            </w:pPr>
          </w:p>
          <w:p w14:paraId="170868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kern w:val="2"/>
                <w:sz w:val="24"/>
                <w:lang w:val="en-US" w:eastAsia="zh-CN" w:bidi="ar-SA"/>
              </w:rPr>
            </w:pPr>
            <w:r>
              <w:rPr>
                <w:rFonts w:hint="eastAsia" w:ascii="Times New Roman" w:hAnsi="Times New Roman" w:eastAsia="宋体" w:cs="Times New Roman"/>
                <w:color w:val="auto"/>
                <w:kern w:val="2"/>
                <w:sz w:val="24"/>
                <w:lang w:val="en-US" w:eastAsia="zh-CN" w:bidi="ar-SA"/>
              </w:rPr>
              <w:t>本项目生产工艺及发泡剂使用种类相似，故类比可行，本项目发泡剂总用量为</w:t>
            </w:r>
            <w:r>
              <w:rPr>
                <w:rFonts w:hint="eastAsia" w:cs="Times New Roman"/>
                <w:color w:val="auto"/>
                <w:kern w:val="2"/>
                <w:sz w:val="24"/>
                <w:lang w:val="en-US" w:eastAsia="zh-CN" w:bidi="ar-SA"/>
              </w:rPr>
              <w:t>0.042</w:t>
            </w:r>
            <w:r>
              <w:rPr>
                <w:rFonts w:hint="eastAsia" w:ascii="Times New Roman" w:hAnsi="Times New Roman" w:eastAsia="宋体" w:cs="Times New Roman"/>
                <w:color w:val="auto"/>
                <w:kern w:val="2"/>
                <w:sz w:val="24"/>
                <w:lang w:val="en-US" w:eastAsia="zh-CN" w:bidi="ar-SA"/>
              </w:rPr>
              <w:t>t</w:t>
            </w:r>
            <w:r>
              <w:rPr>
                <w:rFonts w:hint="eastAsia" w:cs="Times New Roman"/>
                <w:color w:val="auto"/>
                <w:kern w:val="2"/>
                <w:sz w:val="24"/>
                <w:lang w:val="en-US" w:eastAsia="zh-CN" w:bidi="ar-SA"/>
              </w:rPr>
              <w:t>/a</w:t>
            </w:r>
            <w:r>
              <w:rPr>
                <w:rFonts w:hint="eastAsia" w:ascii="Times New Roman" w:hAnsi="Times New Roman" w:eastAsia="宋体" w:cs="Times New Roman"/>
                <w:color w:val="auto"/>
                <w:kern w:val="2"/>
                <w:sz w:val="24"/>
                <w:lang w:val="en-US" w:eastAsia="zh-CN" w:bidi="ar-SA"/>
              </w:rPr>
              <w:t>，则</w:t>
            </w:r>
            <w:r>
              <w:rPr>
                <w:rFonts w:hint="eastAsia" w:cs="Times New Roman"/>
                <w:color w:val="auto"/>
                <w:kern w:val="2"/>
                <w:sz w:val="24"/>
                <w:lang w:val="en-US" w:eastAsia="zh-CN" w:bidi="ar-SA"/>
              </w:rPr>
              <w:t>非甲烷总烃</w:t>
            </w:r>
            <w:r>
              <w:rPr>
                <w:rFonts w:hint="eastAsia" w:ascii="Times New Roman" w:hAnsi="Times New Roman" w:eastAsia="宋体" w:cs="Times New Roman"/>
                <w:color w:val="auto"/>
                <w:kern w:val="2"/>
                <w:sz w:val="24"/>
                <w:lang w:val="en-US" w:eastAsia="zh-CN" w:bidi="ar-SA"/>
              </w:rPr>
              <w:t>产生量</w:t>
            </w:r>
            <w:r>
              <w:rPr>
                <w:rFonts w:hint="eastAsia" w:cs="Times New Roman"/>
                <w:color w:val="auto"/>
                <w:kern w:val="2"/>
                <w:sz w:val="24"/>
                <w:lang w:val="en-US" w:eastAsia="zh-CN" w:bidi="ar-SA"/>
              </w:rPr>
              <w:t>极小（小于1kg），因此本次评价不定量分析。</w:t>
            </w:r>
          </w:p>
          <w:p w14:paraId="6B6F062A">
            <w:pPr>
              <w:adjustRightInd w:val="0"/>
              <w:snapToGrid w:val="0"/>
              <w:spacing w:line="360" w:lineRule="auto"/>
              <w:ind w:firstLine="480" w:firstLineChars="200"/>
              <w:rPr>
                <w:rFonts w:hint="default" w:ascii="Times New Roman" w:hAnsi="Times New Roman" w:cs="Times New Roman"/>
                <w:color w:val="FF0000"/>
                <w:sz w:val="24"/>
                <w:szCs w:val="24"/>
                <w:lang w:val="en-US" w:eastAsia="zh-CN"/>
              </w:rPr>
            </w:pPr>
            <w:r>
              <w:rPr>
                <w:rFonts w:hint="eastAsia" w:cs="Times New Roman"/>
                <w:color w:val="auto"/>
                <w:sz w:val="24"/>
                <w:szCs w:val="24"/>
                <w:lang w:val="en-US" w:eastAsia="zh-CN"/>
              </w:rPr>
              <w:t>本项目发泡固化剂</w:t>
            </w:r>
            <w:r>
              <w:rPr>
                <w:rFonts w:hint="eastAsia" w:ascii="Times New Roman" w:hAnsi="Times New Roman" w:cs="Times New Roman"/>
                <w:color w:val="auto"/>
                <w:sz w:val="24"/>
                <w:szCs w:val="24"/>
                <w:lang w:val="en-US" w:eastAsia="zh-CN"/>
              </w:rPr>
              <w:t>主要成分为多亚甲基多苯基多异氰酸酯（PAPI）、二苯基甲烷-4,4’-二异氰酸酯（4,4’-MDI），根据其理化性质，多亚甲基多苯基多异氰酸酯（PAPI）为聚合物，常温下为液态，常温常压下性质稳定，沸点为39</w:t>
            </w:r>
            <w:r>
              <w:rPr>
                <w:rFonts w:hint="eastAsia" w:cs="Times New Roman"/>
                <w:color w:val="auto"/>
                <w:sz w:val="24"/>
                <w:szCs w:val="24"/>
                <w:lang w:val="en-US" w:eastAsia="zh-CN"/>
              </w:rPr>
              <w:t>2</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；二苯基甲烷-4,4’-二异氰酸酯常温下为白色结晶性粉末，沸点为</w:t>
            </w:r>
            <w:r>
              <w:rPr>
                <w:rFonts w:hint="eastAsia" w:cs="Times New Roman"/>
                <w:color w:val="auto"/>
                <w:sz w:val="24"/>
                <w:szCs w:val="24"/>
                <w:lang w:val="en-US" w:eastAsia="zh-CN"/>
              </w:rPr>
              <w:t>196</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本</w:t>
            </w:r>
            <w:r>
              <w:rPr>
                <w:rFonts w:hint="eastAsia" w:ascii="Times New Roman" w:hAnsi="Times New Roman" w:cs="Times New Roman"/>
                <w:color w:val="auto"/>
                <w:sz w:val="24"/>
                <w:szCs w:val="24"/>
                <w:lang w:val="en-US" w:eastAsia="zh-CN"/>
              </w:rPr>
              <w:t>项目工艺温度为50</w:t>
            </w:r>
            <w:r>
              <w:rPr>
                <w:rFonts w:hint="eastAsia" w:cs="Times New Roman"/>
                <w:color w:val="auto"/>
                <w:sz w:val="24"/>
                <w:szCs w:val="24"/>
                <w:lang w:val="en-US" w:eastAsia="zh-CN"/>
              </w:rPr>
              <w:t>-80</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远低于其</w:t>
            </w:r>
            <w:r>
              <w:rPr>
                <w:rFonts w:hint="eastAsia" w:ascii="Times New Roman" w:hAnsi="Times New Roman" w:cs="Times New Roman"/>
                <w:color w:val="auto"/>
                <w:sz w:val="24"/>
                <w:szCs w:val="24"/>
                <w:lang w:val="en-US" w:eastAsia="zh-CN"/>
              </w:rPr>
              <w:t>分解温度</w:t>
            </w:r>
            <w:r>
              <w:rPr>
                <w:rFonts w:hint="eastAsia" w:cs="Times New Roman"/>
                <w:color w:val="auto"/>
                <w:sz w:val="24"/>
                <w:szCs w:val="24"/>
                <w:lang w:val="en-US" w:eastAsia="zh-CN"/>
              </w:rPr>
              <w:t>，因此</w:t>
            </w:r>
            <w:r>
              <w:rPr>
                <w:rFonts w:hint="eastAsia" w:ascii="Times New Roman" w:hAnsi="Times New Roman" w:cs="Times New Roman"/>
                <w:color w:val="auto"/>
                <w:sz w:val="24"/>
                <w:szCs w:val="24"/>
                <w:lang w:val="en-US" w:eastAsia="zh-CN"/>
              </w:rPr>
              <w:t>工作状态下仅有极少量</w:t>
            </w:r>
            <w:r>
              <w:rPr>
                <w:rFonts w:hint="eastAsia" w:cs="Times New Roman"/>
                <w:color w:val="auto"/>
                <w:sz w:val="24"/>
                <w:szCs w:val="24"/>
                <w:lang w:val="en-US" w:eastAsia="zh-CN"/>
              </w:rPr>
              <w:t>PAPI、MDI废气挥发</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参考</w:t>
            </w:r>
            <w:r>
              <w:rPr>
                <w:rFonts w:hint="eastAsia" w:ascii="Times New Roman" w:hAnsi="Times New Roman" w:cs="Times New Roman"/>
                <w:color w:val="auto"/>
                <w:sz w:val="24"/>
                <w:szCs w:val="24"/>
                <w:lang w:val="en-US" w:eastAsia="zh-CN"/>
              </w:rPr>
              <w:t>《聚氨酯泡沫塑料生产中TDI废气治理效果</w:t>
            </w:r>
            <w:r>
              <w:rPr>
                <w:rFonts w:hint="eastAsia" w:cs="Times New Roman"/>
                <w:color w:val="auto"/>
                <w:sz w:val="24"/>
                <w:szCs w:val="24"/>
                <w:lang w:val="en-US" w:eastAsia="zh-CN"/>
              </w:rPr>
              <w:t>初探</w:t>
            </w:r>
            <w:r>
              <w:rPr>
                <w:rFonts w:hint="eastAsia" w:ascii="Times New Roman" w:hAnsi="Times New Roman" w:cs="Times New Roman"/>
                <w:color w:val="auto"/>
                <w:sz w:val="24"/>
                <w:szCs w:val="24"/>
                <w:lang w:val="en-US" w:eastAsia="zh-CN"/>
              </w:rPr>
              <w:t>》（金陵石油化工1992第二期P61~P64），生产1t聚氨酯泡沫产品将产生0.5kg的二异氰酸酯</w:t>
            </w:r>
            <w:r>
              <w:rPr>
                <w:rFonts w:hint="eastAsia" w:cs="Times New Roman"/>
                <w:color w:val="auto"/>
                <w:sz w:val="24"/>
                <w:szCs w:val="24"/>
                <w:lang w:val="en-US" w:eastAsia="zh-CN"/>
              </w:rPr>
              <w:t>，本项目发泡固化剂用量为0.022t/a，则PAPI、MDI</w:t>
            </w:r>
            <w:r>
              <w:rPr>
                <w:rFonts w:hint="eastAsia" w:ascii="Times New Roman" w:hAnsi="Times New Roman" w:eastAsia="宋体" w:cs="Times New Roman"/>
                <w:color w:val="auto"/>
                <w:kern w:val="2"/>
                <w:sz w:val="24"/>
                <w:lang w:val="en-US" w:eastAsia="zh-CN" w:bidi="ar-SA"/>
              </w:rPr>
              <w:t>产生量</w:t>
            </w:r>
            <w:r>
              <w:rPr>
                <w:rFonts w:hint="eastAsia" w:cs="Times New Roman"/>
                <w:color w:val="auto"/>
                <w:kern w:val="2"/>
                <w:sz w:val="24"/>
                <w:lang w:val="en-US" w:eastAsia="zh-CN" w:bidi="ar-SA"/>
              </w:rPr>
              <w:t>极小（小于1kg），因此本次评价不定量分析。</w:t>
            </w:r>
          </w:p>
          <w:p w14:paraId="30E66A97">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eastAsiaTheme="minorEastAsia"/>
                <w:color w:val="auto"/>
                <w:sz w:val="24"/>
                <w:szCs w:val="24"/>
              </w:rPr>
              <w:t>发泡过程中物质发生化学反应挥发，会有少量PAPI</w:t>
            </w:r>
            <w:r>
              <w:rPr>
                <w:rFonts w:hint="eastAsia" w:cs="Times New Roman" w:eastAsiaTheme="minorEastAsia"/>
                <w:color w:val="auto"/>
                <w:sz w:val="24"/>
                <w:szCs w:val="24"/>
                <w:lang w:val="en-US" w:eastAsia="zh-CN"/>
              </w:rPr>
              <w:t>和</w:t>
            </w:r>
            <w:r>
              <w:rPr>
                <w:rFonts w:hint="eastAsia" w:ascii="Times New Roman" w:hAnsi="Times New Roman" w:cs="Times New Roman" w:eastAsiaTheme="minorEastAsia"/>
                <w:color w:val="auto"/>
                <w:sz w:val="24"/>
                <w:szCs w:val="24"/>
              </w:rPr>
              <w:t>MDI产生，为酯类物质，有异味</w:t>
            </w:r>
            <w:r>
              <w:rPr>
                <w:rFonts w:hint="eastAsia" w:cs="Times New Roman" w:eastAsiaTheme="minorEastAsia"/>
                <w:color w:val="auto"/>
                <w:sz w:val="24"/>
                <w:szCs w:val="24"/>
                <w:lang w:eastAsia="zh-CN"/>
              </w:rPr>
              <w:t>，</w:t>
            </w:r>
            <w:r>
              <w:rPr>
                <w:rFonts w:hint="eastAsia" w:cs="Times New Roman" w:eastAsiaTheme="minorEastAsia"/>
                <w:color w:val="auto"/>
                <w:sz w:val="24"/>
                <w:szCs w:val="24"/>
                <w:lang w:val="en-US" w:eastAsia="zh-CN"/>
              </w:rPr>
              <w:t>但不属于硫化氢、氨、三甲胺、硫化氢、甲硫醇、甲硫醚、二甲二硫、二硫化碳、苯乙烯等恶臭气体，因此本项目无恶臭气体产生及排放，仅以臭气浓度分析异味污染</w:t>
            </w:r>
            <w:r>
              <w:rPr>
                <w:rFonts w:hint="eastAsia" w:ascii="Times New Roman" w:hAnsi="Times New Roman" w:cs="Times New Roman" w:eastAsiaTheme="minorEastAsia"/>
                <w:color w:val="auto"/>
                <w:sz w:val="24"/>
                <w:szCs w:val="24"/>
              </w:rPr>
              <w:t>。</w:t>
            </w:r>
            <w:r>
              <w:rPr>
                <w:rFonts w:hint="eastAsia" w:ascii="Times New Roman" w:hAnsi="Times New Roman" w:eastAsia="宋体" w:cs="Times New Roman"/>
                <w:color w:val="auto"/>
                <w:kern w:val="2"/>
                <w:sz w:val="24"/>
                <w:szCs w:val="24"/>
                <w:lang w:val="en-US" w:eastAsia="zh-CN" w:bidi="ar-SA"/>
              </w:rPr>
              <w:t>本项目发泡废气经</w:t>
            </w:r>
            <w:r>
              <w:rPr>
                <w:rFonts w:hint="eastAsia" w:cs="Times New Roman"/>
                <w:color w:val="auto"/>
                <w:kern w:val="2"/>
                <w:sz w:val="24"/>
                <w:szCs w:val="24"/>
                <w:lang w:val="en-US" w:eastAsia="zh-CN" w:bidi="ar-SA"/>
              </w:rPr>
              <w:t>风管</w:t>
            </w:r>
            <w:r>
              <w:rPr>
                <w:rFonts w:hint="eastAsia" w:ascii="Times New Roman" w:hAnsi="Times New Roman" w:eastAsia="宋体" w:cs="Times New Roman"/>
                <w:color w:val="auto"/>
                <w:kern w:val="2"/>
                <w:sz w:val="24"/>
                <w:szCs w:val="24"/>
                <w:lang w:val="en-US" w:eastAsia="zh-CN" w:bidi="ar-SA"/>
              </w:rPr>
              <w:t>收集和两级活性炭吸附装置处理后，臭气浓度排放量</w:t>
            </w:r>
            <w:r>
              <w:rPr>
                <w:rFonts w:hint="eastAsia" w:cs="Times New Roman"/>
                <w:color w:val="auto"/>
                <w:kern w:val="2"/>
                <w:sz w:val="24"/>
                <w:szCs w:val="24"/>
                <w:lang w:val="en-US" w:eastAsia="zh-CN" w:bidi="ar-SA"/>
              </w:rPr>
              <w:t>极</w:t>
            </w:r>
            <w:r>
              <w:rPr>
                <w:rFonts w:hint="eastAsia" w:ascii="Times New Roman" w:hAnsi="Times New Roman" w:eastAsia="宋体" w:cs="Times New Roman"/>
                <w:color w:val="auto"/>
                <w:kern w:val="2"/>
                <w:sz w:val="24"/>
                <w:szCs w:val="24"/>
                <w:lang w:val="en-US" w:eastAsia="zh-CN" w:bidi="ar-SA"/>
              </w:rPr>
              <w:t>小。类比《麦格纳座椅（台州）有限公司年产40万件汽车座发泡项目环境保护验收监测报告表》[绿安监测（2019）综字第286号]可知，处理设施出口臭气浓度最大值为174（无量纲），厂界臭气浓度最大值为13（无量纲），因此预计本项目排气简臭气浓度＜</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000</w:t>
            </w:r>
            <w:r>
              <w:rPr>
                <w:rFonts w:hint="eastAsia" w:cs="Times New Roman"/>
                <w:color w:val="auto"/>
                <w:kern w:val="2"/>
                <w:sz w:val="24"/>
                <w:szCs w:val="24"/>
                <w:lang w:val="en-US" w:eastAsia="zh-CN" w:bidi="ar-SA"/>
              </w:rPr>
              <w:t>0</w:t>
            </w:r>
            <w:r>
              <w:rPr>
                <w:rFonts w:hint="eastAsia" w:ascii="Times New Roman" w:hAnsi="Times New Roman" w:eastAsia="宋体" w:cs="Times New Roman"/>
                <w:color w:val="auto"/>
                <w:kern w:val="2"/>
                <w:sz w:val="24"/>
                <w:szCs w:val="24"/>
                <w:lang w:val="en-US" w:eastAsia="zh-CN" w:bidi="ar-SA"/>
              </w:rPr>
              <w:t>（无量纲），厂界臭气浓度＜20（无量纲），满足《恶臭污染物排放标准》（GB14554-93）中限值要求，对周围大气环境影响较小，但仍应加强污染控制管理，减少不正常排放情况的发生，异味污染是可以得到控制的。</w:t>
            </w:r>
          </w:p>
          <w:p w14:paraId="0F133377">
            <w:pPr>
              <w:pStyle w:val="2"/>
              <w:keepNext w:val="0"/>
              <w:keepLines w:val="0"/>
              <w:pageBreakBefore w:val="0"/>
              <w:widowControl w:val="0"/>
              <w:kinsoku/>
              <w:wordWrap/>
              <w:overflowPunct/>
              <w:topLinePunct w:val="0"/>
              <w:autoSpaceDE/>
              <w:autoSpaceDN/>
              <w:bidi w:val="0"/>
              <w:snapToGrid/>
              <w:spacing w:after="0" w:line="360" w:lineRule="auto"/>
              <w:ind w:firstLine="480"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②</w:t>
            </w:r>
            <w:r>
              <w:rPr>
                <w:rFonts w:hint="eastAsia" w:ascii="Times New Roman" w:hAnsi="Times New Roman" w:eastAsia="宋体" w:cs="Times New Roman"/>
                <w:color w:val="auto"/>
                <w:kern w:val="2"/>
                <w:sz w:val="24"/>
                <w:szCs w:val="24"/>
                <w:lang w:val="en-US" w:eastAsia="zh-CN" w:bidi="ar-SA"/>
              </w:rPr>
              <w:t>擦拭废气G3</w:t>
            </w:r>
          </w:p>
          <w:p w14:paraId="37000368">
            <w:pPr>
              <w:pStyle w:val="2"/>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480" w:firstLineChars="200"/>
              <w:jc w:val="both"/>
              <w:textAlignment w:val="auto"/>
              <w:rPr>
                <w:rFonts w:hint="eastAsia" w:cs="Times New Roman"/>
                <w:color w:val="auto"/>
                <w:sz w:val="24"/>
                <w:lang w:val="en-US" w:eastAsia="zh-CN"/>
              </w:rPr>
            </w:pPr>
            <w:r>
              <w:rPr>
                <w:rFonts w:hint="eastAsia" w:cs="Times New Roman"/>
                <w:color w:val="auto"/>
                <w:sz w:val="24"/>
                <w:lang w:val="en-US" w:eastAsia="zh-CN"/>
              </w:rPr>
              <w:t>本项目</w:t>
            </w:r>
            <w:r>
              <w:rPr>
                <w:rFonts w:hint="eastAsia"/>
                <w:color w:val="auto"/>
                <w:sz w:val="24"/>
                <w:szCs w:val="24"/>
                <w:lang w:val="en-US" w:eastAsia="zh-CN"/>
              </w:rPr>
              <w:t>擦拭</w:t>
            </w:r>
            <w:r>
              <w:rPr>
                <w:rFonts w:hint="eastAsia" w:cs="Times New Roman"/>
                <w:color w:val="auto"/>
                <w:sz w:val="24"/>
                <w:lang w:val="en-US" w:eastAsia="zh-CN"/>
              </w:rPr>
              <w:t>工段使用原辅料酒精，酒精用量2L/a（约1.6kg/a），</w:t>
            </w:r>
            <w:r>
              <w:rPr>
                <w:rFonts w:hint="eastAsia"/>
                <w:color w:val="auto"/>
                <w:sz w:val="24"/>
                <w:szCs w:val="24"/>
                <w:lang w:val="en-US" w:eastAsia="zh-CN"/>
              </w:rPr>
              <w:t>酒精擦拭</w:t>
            </w:r>
            <w:r>
              <w:rPr>
                <w:rFonts w:hint="eastAsia" w:cs="Times New Roman"/>
                <w:color w:val="auto"/>
                <w:sz w:val="24"/>
                <w:lang w:val="en-US" w:eastAsia="zh-CN"/>
              </w:rPr>
              <w:t>产生的</w:t>
            </w:r>
            <w:r>
              <w:rPr>
                <w:rFonts w:hint="eastAsia"/>
                <w:color w:val="auto"/>
                <w:sz w:val="24"/>
                <w:szCs w:val="24"/>
                <w:lang w:val="en-US" w:eastAsia="zh-CN"/>
              </w:rPr>
              <w:t>擦拭</w:t>
            </w:r>
            <w:r>
              <w:rPr>
                <w:rFonts w:hint="eastAsia" w:cs="Times New Roman"/>
                <w:color w:val="auto"/>
                <w:sz w:val="24"/>
                <w:lang w:val="en-US" w:eastAsia="zh-CN"/>
              </w:rPr>
              <w:t>废气量极小，且有活性炭吸附装置处理</w:t>
            </w:r>
            <w:r>
              <w:rPr>
                <w:rFonts w:hint="eastAsia" w:ascii="Times New Roman" w:hAnsi="Times New Roman" w:cs="Times New Roman"/>
                <w:color w:val="auto"/>
                <w:sz w:val="24"/>
                <w:lang w:val="en-US" w:eastAsia="zh-CN"/>
              </w:rPr>
              <w:t>，排放量可忽略不计，</w:t>
            </w:r>
            <w:r>
              <w:rPr>
                <w:rFonts w:hint="eastAsia" w:cs="Times New Roman"/>
                <w:color w:val="auto"/>
                <w:sz w:val="24"/>
                <w:lang w:val="en-US" w:eastAsia="zh-CN"/>
              </w:rPr>
              <w:t>本次评价不定量分析。</w:t>
            </w:r>
          </w:p>
          <w:p w14:paraId="0E14E410">
            <w:pPr>
              <w:pStyle w:val="2"/>
              <w:keepNext w:val="0"/>
              <w:keepLines w:val="0"/>
              <w:pageBreakBefore w:val="0"/>
              <w:widowControl w:val="0"/>
              <w:kinsoku/>
              <w:wordWrap/>
              <w:overflowPunct/>
              <w:topLinePunct w:val="0"/>
              <w:autoSpaceDE/>
              <w:autoSpaceDN/>
              <w:bidi w:val="0"/>
              <w:snapToGrid/>
              <w:spacing w:after="0" w:line="360" w:lineRule="auto"/>
              <w:ind w:firstLine="480" w:firstLineChars="200"/>
              <w:jc w:val="both"/>
              <w:textAlignment w:val="auto"/>
              <w:rPr>
                <w:rFonts w:hint="eastAsia" w:cs="Times New Roman"/>
                <w:color w:val="auto"/>
                <w:sz w:val="24"/>
                <w:lang w:eastAsia="zh-CN"/>
              </w:rPr>
            </w:pPr>
            <w:r>
              <w:rPr>
                <w:rFonts w:hint="eastAsia" w:ascii="Times New Roman" w:hAnsi="Times New Roman" w:eastAsia="宋体" w:cs="Times New Roman"/>
                <w:color w:val="auto"/>
                <w:kern w:val="2"/>
                <w:sz w:val="24"/>
                <w:szCs w:val="24"/>
                <w:lang w:val="en-US" w:eastAsia="zh-CN" w:bidi="ar-SA"/>
              </w:rPr>
              <w:t>发泡</w:t>
            </w:r>
            <w:r>
              <w:rPr>
                <w:rFonts w:hint="eastAsia" w:ascii="Times New Roman" w:hAnsi="Times New Roman" w:eastAsia="宋体" w:cs="Times New Roman"/>
                <w:color w:val="auto"/>
                <w:kern w:val="2"/>
                <w:sz w:val="24"/>
                <w:lang w:val="en-US" w:eastAsia="zh-CN" w:bidi="ar-SA"/>
              </w:rPr>
              <w:t>废气</w:t>
            </w:r>
            <w:r>
              <w:rPr>
                <w:rFonts w:hint="eastAsia" w:cs="Times New Roman"/>
                <w:color w:val="auto"/>
                <w:kern w:val="2"/>
                <w:sz w:val="24"/>
                <w:lang w:val="en-US" w:eastAsia="zh-CN" w:bidi="ar-SA"/>
              </w:rPr>
              <w:t>、擦拭废气</w:t>
            </w:r>
            <w:r>
              <w:rPr>
                <w:rFonts w:hint="eastAsia" w:ascii="Times New Roman" w:hAnsi="Times New Roman" w:eastAsia="宋体" w:cs="Times New Roman"/>
                <w:color w:val="auto"/>
                <w:kern w:val="2"/>
                <w:sz w:val="24"/>
                <w:lang w:val="en-US" w:eastAsia="zh-CN" w:bidi="ar-SA"/>
              </w:rPr>
              <w:t>由</w:t>
            </w:r>
            <w:r>
              <w:rPr>
                <w:rFonts w:hint="eastAsia" w:cs="Times New Roman"/>
                <w:color w:val="auto"/>
                <w:kern w:val="2"/>
                <w:sz w:val="24"/>
                <w:lang w:val="en-US" w:eastAsia="zh-CN" w:bidi="ar-SA"/>
              </w:rPr>
              <w:t>风管</w:t>
            </w:r>
            <w:r>
              <w:rPr>
                <w:rFonts w:hint="eastAsia" w:ascii="Times New Roman" w:hAnsi="Times New Roman" w:eastAsia="宋体" w:cs="Times New Roman"/>
                <w:color w:val="auto"/>
                <w:kern w:val="2"/>
                <w:sz w:val="24"/>
                <w:lang w:val="en-US" w:eastAsia="zh-CN" w:bidi="ar-SA"/>
              </w:rPr>
              <w:t>收集后送入TA001废气收集及</w:t>
            </w:r>
            <w:r>
              <w:rPr>
                <w:rFonts w:hint="eastAsia" w:eastAsiaTheme="minorEastAsia"/>
                <w:bCs/>
                <w:color w:val="auto"/>
                <w:sz w:val="24"/>
                <w:szCs w:val="24"/>
                <w:lang w:val="en-US" w:eastAsia="zh-CN"/>
              </w:rPr>
              <w:t>处理系统（</w:t>
            </w:r>
            <w:r>
              <w:rPr>
                <w:rFonts w:hint="eastAsia" w:cs="Times New Roman"/>
                <w:color w:val="auto"/>
                <w:sz w:val="24"/>
                <w:szCs w:val="24"/>
                <w:lang w:eastAsia="zh-CN"/>
              </w:rPr>
              <w:t>两级</w:t>
            </w:r>
            <w:r>
              <w:rPr>
                <w:rFonts w:hint="eastAsia" w:cs="Times New Roman"/>
                <w:color w:val="auto"/>
                <w:sz w:val="24"/>
                <w:szCs w:val="24"/>
                <w:lang w:val="en-US" w:eastAsia="zh-CN"/>
              </w:rPr>
              <w:t>活性炭）</w:t>
            </w:r>
            <w:r>
              <w:rPr>
                <w:rFonts w:hint="default" w:ascii="Times New Roman" w:hAnsi="Times New Roman" w:eastAsia="宋体" w:cs="Times New Roman"/>
                <w:color w:val="auto"/>
                <w:sz w:val="24"/>
                <w:szCs w:val="24"/>
                <w:lang w:eastAsia="zh-CN"/>
              </w:rPr>
              <w:t>处理</w:t>
            </w:r>
            <w:r>
              <w:rPr>
                <w:rFonts w:hint="default" w:ascii="Times New Roman" w:hAnsi="Times New Roman" w:eastAsia="宋体" w:cs="Times New Roman"/>
                <w:color w:val="auto"/>
                <w:sz w:val="24"/>
                <w:szCs w:val="24"/>
              </w:rPr>
              <w:t>，尾气由风机</w:t>
            </w:r>
            <w:r>
              <w:rPr>
                <w:rFonts w:hint="default" w:ascii="Times New Roman" w:hAnsi="Times New Roman" w:eastAsia="宋体" w:cs="Times New Roman"/>
                <w:color w:val="auto"/>
                <w:sz w:val="24"/>
                <w:szCs w:val="24"/>
                <w:lang w:eastAsia="zh-CN"/>
              </w:rPr>
              <w:t>（风量</w:t>
            </w:r>
            <w:r>
              <w:rPr>
                <w:rFonts w:hint="eastAsia" w:cs="Times New Roman"/>
                <w:color w:val="auto"/>
                <w:sz w:val="24"/>
                <w:szCs w:val="24"/>
                <w:lang w:val="en-US" w:eastAsia="zh-CN"/>
              </w:rPr>
              <w:t>4</w:t>
            </w:r>
            <w:r>
              <w:rPr>
                <w:rFonts w:hint="default" w:ascii="Times New Roman" w:hAnsi="Times New Roman" w:cs="Times New Roman"/>
                <w:color w:val="auto"/>
                <w:sz w:val="24"/>
                <w:szCs w:val="24"/>
              </w:rPr>
              <w:t>000m³/h</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引出，最终通过1根</w:t>
            </w:r>
            <w:r>
              <w:rPr>
                <w:rFonts w:hint="eastAsia" w:cs="Times New Roman"/>
                <w:color w:val="auto"/>
                <w:sz w:val="24"/>
                <w:szCs w:val="24"/>
                <w:lang w:val="en-US" w:eastAsia="zh-CN"/>
              </w:rPr>
              <w:t>40米</w:t>
            </w:r>
            <w:r>
              <w:rPr>
                <w:rFonts w:hint="default" w:ascii="Times New Roman" w:hAnsi="Times New Roman" w:eastAsia="宋体" w:cs="Times New Roman"/>
                <w:color w:val="auto"/>
                <w:sz w:val="24"/>
                <w:szCs w:val="24"/>
              </w:rPr>
              <w:t>高排气筒</w:t>
            </w:r>
            <w:r>
              <w:rPr>
                <w:rFonts w:hint="eastAsia" w:ascii="Times New Roman" w:hAnsi="Times New Roman" w:cs="Times New Roman"/>
                <w:color w:val="auto"/>
                <w:sz w:val="24"/>
                <w:szCs w:val="24"/>
                <w:vertAlign w:val="baseline"/>
                <w:lang w:val="en-US" w:eastAsia="zh-CN"/>
              </w:rPr>
              <w:t>（DA00</w:t>
            </w:r>
            <w:r>
              <w:rPr>
                <w:rFonts w:hint="eastAsia" w:cs="Times New Roman"/>
                <w:color w:val="auto"/>
                <w:sz w:val="24"/>
                <w:szCs w:val="24"/>
                <w:vertAlign w:val="baseline"/>
                <w:lang w:val="en-US" w:eastAsia="zh-CN"/>
              </w:rPr>
              <w:t>1</w:t>
            </w:r>
            <w:r>
              <w:rPr>
                <w:rFonts w:hint="eastAsia" w:ascii="Times New Roman" w:hAnsi="Times New Roman" w:cs="Times New Roman"/>
                <w:color w:val="auto"/>
                <w:sz w:val="24"/>
                <w:szCs w:val="24"/>
                <w:vertAlign w:val="baseline"/>
                <w:lang w:val="en-US" w:eastAsia="zh-CN"/>
              </w:rPr>
              <w:t>）</w:t>
            </w:r>
            <w:r>
              <w:rPr>
                <w:rFonts w:hint="default" w:ascii="Times New Roman" w:hAnsi="Times New Roman" w:eastAsia="宋体" w:cs="Times New Roman"/>
                <w:color w:val="auto"/>
                <w:sz w:val="24"/>
                <w:szCs w:val="24"/>
              </w:rPr>
              <w:t>排放</w:t>
            </w:r>
            <w:r>
              <w:rPr>
                <w:rFonts w:hint="default" w:ascii="Times New Roman" w:hAnsi="Times New Roman" w:eastAsia="宋体" w:cs="Times New Roman"/>
                <w:color w:val="auto"/>
                <w:sz w:val="24"/>
                <w:szCs w:val="24"/>
                <w:lang w:eastAsia="zh-CN"/>
              </w:rPr>
              <w:t>。</w:t>
            </w:r>
          </w:p>
          <w:p w14:paraId="3863D24D">
            <w:pPr>
              <w:adjustRightInd w:val="0"/>
              <w:snapToGrid w:val="0"/>
              <w:spacing w:line="360" w:lineRule="auto"/>
              <w:ind w:firstLine="480" w:firstLineChars="200"/>
              <w:rPr>
                <w:rFonts w:hint="eastAsia" w:ascii="Times New Roman" w:hAnsi="Times New Roman" w:eastAsia="宋体" w:cs="Times New Roman"/>
                <w:color w:val="auto"/>
                <w:kern w:val="2"/>
                <w:sz w:val="24"/>
                <w:lang w:val="en-US" w:eastAsia="zh-CN" w:bidi="ar-SA"/>
              </w:rPr>
            </w:pPr>
            <w:r>
              <w:rPr>
                <w:rFonts w:hint="eastAsia" w:ascii="Times New Roman" w:hAnsi="Times New Roman" w:eastAsia="宋体" w:cs="Times New Roman"/>
                <w:color w:val="auto"/>
                <w:kern w:val="2"/>
                <w:sz w:val="24"/>
                <w:lang w:val="en-US" w:eastAsia="zh-CN" w:bidi="ar-SA"/>
              </w:rPr>
              <w:t>（2）无组织废气</w:t>
            </w:r>
          </w:p>
          <w:p w14:paraId="078E620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lang w:val="en-US" w:eastAsia="zh-CN" w:bidi="ar-SA"/>
              </w:rPr>
              <w:t>[1]1#面源（生产车间，焊接烟</w:t>
            </w:r>
            <w:r>
              <w:rPr>
                <w:rFonts w:hint="eastAsia" w:ascii="Times New Roman" w:hAnsi="Times New Roman" w:eastAsia="宋体" w:cs="Times New Roman"/>
                <w:color w:val="auto"/>
                <w:kern w:val="2"/>
                <w:sz w:val="24"/>
                <w:szCs w:val="24"/>
                <w:lang w:val="en-US" w:eastAsia="zh-CN" w:bidi="ar-SA"/>
              </w:rPr>
              <w:t>尘G2，未捕集的发泡废气、擦拭废气）</w:t>
            </w:r>
          </w:p>
          <w:p w14:paraId="73086EE1">
            <w:pPr>
              <w:adjustRightInd w:val="0"/>
              <w:snapToGrid w:val="0"/>
              <w:spacing w:line="360" w:lineRule="auto"/>
              <w:ind w:firstLine="480" w:firstLineChars="200"/>
              <w:rPr>
                <w:rFonts w:hint="default" w:ascii="Times New Roman" w:hAnsi="Times New Roman" w:eastAsia="宋体" w:cs="Times New Roman"/>
                <w:color w:val="0000FF"/>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本项目拟于生产车间内布置</w:t>
            </w:r>
            <w:r>
              <w:rPr>
                <w:rFonts w:hint="eastAsia" w:cs="Times New Roman"/>
                <w:color w:val="auto"/>
                <w:kern w:val="2"/>
                <w:sz w:val="24"/>
                <w:szCs w:val="24"/>
                <w:lang w:val="en-US" w:eastAsia="zh-CN" w:bidi="ar-SA"/>
              </w:rPr>
              <w:t>钎焊焊枪</w:t>
            </w:r>
            <w:r>
              <w:rPr>
                <w:rFonts w:hint="eastAsia" w:ascii="Times New Roman" w:hAnsi="Times New Roman" w:eastAsia="宋体" w:cs="Times New Roman"/>
                <w:color w:val="auto"/>
                <w:kern w:val="2"/>
                <w:sz w:val="24"/>
                <w:szCs w:val="24"/>
                <w:lang w:val="en-US" w:eastAsia="zh-CN" w:bidi="ar-SA"/>
              </w:rPr>
              <w:t>（1</w:t>
            </w:r>
            <w:r>
              <w:rPr>
                <w:rFonts w:hint="eastAsia" w:cs="Times New Roman"/>
                <w:color w:val="auto"/>
                <w:kern w:val="2"/>
                <w:sz w:val="24"/>
                <w:szCs w:val="24"/>
                <w:lang w:val="en-US" w:eastAsia="zh-CN" w:bidi="ar-SA"/>
              </w:rPr>
              <w:t>个</w:t>
            </w: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0"/>
                <w:sz w:val="24"/>
                <w:szCs w:val="24"/>
                <w:lang w:val="en-US" w:eastAsia="zh-CN" w:bidi="ar-SA"/>
              </w:rPr>
              <w:t>焊接过程使用无铅焊丝、丙烷、氧气，产生少量焊接烟尘。</w:t>
            </w:r>
            <w:r>
              <w:rPr>
                <w:rFonts w:hint="default" w:ascii="Times New Roman" w:hAnsi="Times New Roman" w:eastAsia="宋体" w:cs="Times New Roman"/>
                <w:color w:val="auto"/>
                <w:kern w:val="0"/>
                <w:sz w:val="24"/>
                <w:szCs w:val="24"/>
                <w:lang w:val="en-US" w:eastAsia="zh-CN" w:bidi="ar-SA"/>
              </w:rPr>
              <w:t>参考《焊接车间环境污染及控制技术进展》（《上海环境科学出版社》作者：孙大光</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szCs w:val="24"/>
                <w:lang w:val="en-US" w:eastAsia="zh-CN" w:bidi="ar-SA"/>
              </w:rPr>
              <w:t>马小凡），焊接材料的发尘量为</w:t>
            </w:r>
            <w:r>
              <w:rPr>
                <w:rFonts w:hint="eastAsia" w:cs="Times New Roman"/>
                <w:color w:val="auto"/>
                <w:kern w:val="0"/>
                <w:sz w:val="24"/>
                <w:szCs w:val="24"/>
                <w:lang w:val="en-US" w:eastAsia="zh-CN" w:bidi="ar-SA"/>
              </w:rPr>
              <w:t>5</w:t>
            </w:r>
            <w:r>
              <w:rPr>
                <w:rFonts w:hint="default" w:ascii="Times New Roman" w:hAnsi="Times New Roman" w:eastAsia="宋体" w:cs="Times New Roman"/>
                <w:color w:val="auto"/>
                <w:kern w:val="0"/>
                <w:sz w:val="24"/>
                <w:szCs w:val="24"/>
                <w:lang w:val="en-US" w:eastAsia="zh-CN" w:bidi="ar-SA"/>
              </w:rPr>
              <w:t>-8g/kg，本次评价焊材发尘量取8g/kg</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szCs w:val="24"/>
                <w:lang w:val="en-US" w:eastAsia="zh-CN" w:bidi="ar-SA"/>
              </w:rPr>
              <w:t>本项目</w:t>
            </w:r>
            <w:r>
              <w:rPr>
                <w:rFonts w:hint="eastAsia" w:cs="Times New Roman"/>
                <w:color w:val="auto"/>
                <w:kern w:val="0"/>
                <w:sz w:val="24"/>
                <w:szCs w:val="24"/>
                <w:lang w:val="en-US" w:eastAsia="zh-CN" w:bidi="ar-SA"/>
              </w:rPr>
              <w:t>焊接工段无铅焊丝用量50kg/a，则焊接烟尘产生量</w:t>
            </w:r>
            <w:r>
              <w:rPr>
                <w:rFonts w:hint="eastAsia" w:cs="Times New Roman"/>
                <w:color w:val="auto"/>
                <w:kern w:val="2"/>
                <w:sz w:val="24"/>
                <w:lang w:val="en-US" w:eastAsia="zh-CN" w:bidi="ar-SA"/>
              </w:rPr>
              <w:t>极小（小于1kg），因此本次评价不定量分析。</w:t>
            </w:r>
            <w:r>
              <w:rPr>
                <w:rFonts w:hint="eastAsia" w:ascii="Times New Roman" w:hAnsi="Times New Roman" w:eastAsia="宋体" w:cs="Times New Roman"/>
                <w:color w:val="auto"/>
                <w:kern w:val="2"/>
                <w:sz w:val="24"/>
                <w:szCs w:val="24"/>
                <w:lang w:val="en-US" w:eastAsia="zh-CN" w:bidi="ar-SA"/>
              </w:rPr>
              <w:t>焊接烟尘经移动式焊烟净化器处理后与未捕集的发泡废气、擦拭废气无组织排放于生产车间内。</w:t>
            </w:r>
          </w:p>
          <w:p w14:paraId="7DBB95B6">
            <w:pPr>
              <w:spacing w:line="360" w:lineRule="auto"/>
              <w:ind w:firstLine="482" w:firstLineChars="200"/>
              <w:rPr>
                <w:rFonts w:eastAsiaTheme="minorEastAsia"/>
                <w:b/>
                <w:bCs/>
                <w:color w:val="auto"/>
                <w:sz w:val="24"/>
                <w:szCs w:val="24"/>
              </w:rPr>
            </w:pPr>
            <w:r>
              <w:rPr>
                <w:rFonts w:hint="eastAsia" w:eastAsiaTheme="minorEastAsia"/>
                <w:b/>
                <w:bCs/>
                <w:color w:val="auto"/>
                <w:sz w:val="24"/>
                <w:szCs w:val="24"/>
              </w:rPr>
              <w:t>1.2</w:t>
            </w:r>
            <w:r>
              <w:rPr>
                <w:rFonts w:eastAsiaTheme="minorEastAsia"/>
                <w:b/>
                <w:bCs/>
                <w:color w:val="auto"/>
                <w:sz w:val="24"/>
                <w:szCs w:val="24"/>
              </w:rPr>
              <w:t>废</w:t>
            </w:r>
            <w:r>
              <w:rPr>
                <w:rFonts w:hint="eastAsia" w:eastAsiaTheme="minorEastAsia"/>
                <w:b/>
                <w:bCs/>
                <w:color w:val="auto"/>
                <w:sz w:val="24"/>
                <w:szCs w:val="24"/>
              </w:rPr>
              <w:t>气治理</w:t>
            </w:r>
            <w:r>
              <w:rPr>
                <w:rFonts w:eastAsiaTheme="minorEastAsia"/>
                <w:b/>
                <w:bCs/>
                <w:color w:val="auto"/>
                <w:sz w:val="24"/>
                <w:szCs w:val="24"/>
              </w:rPr>
              <w:t>措施</w:t>
            </w:r>
          </w:p>
          <w:p w14:paraId="5FCED5C3">
            <w:pPr>
              <w:widowControl/>
              <w:spacing w:line="360" w:lineRule="auto"/>
              <w:ind w:firstLine="480" w:firstLineChars="200"/>
              <w:rPr>
                <w:rFonts w:hint="eastAsia"/>
                <w:color w:val="auto"/>
                <w:sz w:val="24"/>
                <w:szCs w:val="24"/>
              </w:rPr>
            </w:pPr>
            <w:r>
              <w:rPr>
                <w:rFonts w:hint="eastAsia"/>
                <w:color w:val="auto"/>
                <w:sz w:val="24"/>
                <w:szCs w:val="24"/>
                <w:lang w:val="en-US" w:eastAsia="zh-CN"/>
              </w:rPr>
              <w:t>（1）</w:t>
            </w:r>
            <w:r>
              <w:rPr>
                <w:rFonts w:hint="eastAsia"/>
                <w:color w:val="auto"/>
                <w:sz w:val="24"/>
                <w:szCs w:val="24"/>
              </w:rPr>
              <w:t>废气治理措施</w:t>
            </w:r>
            <w:r>
              <w:rPr>
                <w:color w:val="auto"/>
                <w:sz w:val="24"/>
                <w:szCs w:val="24"/>
              </w:rPr>
              <w:t>评述</w:t>
            </w:r>
          </w:p>
          <w:p w14:paraId="33F9A5A2">
            <w:pPr>
              <w:spacing w:line="360" w:lineRule="auto"/>
              <w:ind w:firstLine="480" w:firstLineChars="200"/>
              <w:rPr>
                <w:rFonts w:hint="eastAsia"/>
                <w:color w:val="auto"/>
                <w:sz w:val="24"/>
                <w:szCs w:val="24"/>
                <w:lang w:val="en-US" w:eastAsia="zh-CN"/>
              </w:rPr>
            </w:pPr>
            <w:r>
              <w:rPr>
                <w:rFonts w:hint="eastAsia" w:cs="Times New Roman"/>
                <w:color w:val="auto"/>
                <w:sz w:val="24"/>
                <w:szCs w:val="24"/>
                <w:lang w:eastAsia="zh-CN"/>
              </w:rPr>
              <w:t>①</w:t>
            </w:r>
            <w:r>
              <w:rPr>
                <w:rFonts w:hint="eastAsia"/>
                <w:color w:val="auto"/>
                <w:sz w:val="24"/>
                <w:szCs w:val="24"/>
                <w:lang w:val="en-US" w:eastAsia="zh-CN"/>
              </w:rPr>
              <w:t>DA001排气筒</w:t>
            </w:r>
          </w:p>
          <w:p w14:paraId="2FA19490">
            <w:pPr>
              <w:pStyle w:val="2"/>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lang w:eastAsia="zh-CN"/>
              </w:rPr>
            </w:pPr>
            <w:r>
              <w:rPr>
                <w:rFonts w:hint="eastAsia"/>
                <w:bCs/>
                <w:color w:val="auto"/>
                <w:sz w:val="24"/>
                <w:lang w:eastAsia="zh-CN"/>
              </w:rPr>
              <w:t>本项目</w:t>
            </w:r>
            <w:r>
              <w:rPr>
                <w:rFonts w:hint="eastAsia" w:eastAsiaTheme="minorEastAsia"/>
                <w:bCs/>
                <w:color w:val="auto"/>
                <w:sz w:val="24"/>
                <w:szCs w:val="24"/>
                <w:lang w:val="en-US" w:eastAsia="zh-CN"/>
              </w:rPr>
              <w:t>发泡废气、擦拭废气由风管收集后送入TA001废气收集及处理系统（</w:t>
            </w:r>
            <w:r>
              <w:rPr>
                <w:rFonts w:hint="eastAsia" w:cs="Times New Roman"/>
                <w:color w:val="auto"/>
                <w:sz w:val="24"/>
                <w:szCs w:val="24"/>
                <w:lang w:eastAsia="zh-CN"/>
              </w:rPr>
              <w:t>两级</w:t>
            </w:r>
            <w:r>
              <w:rPr>
                <w:rFonts w:hint="eastAsia" w:cs="Times New Roman"/>
                <w:color w:val="auto"/>
                <w:sz w:val="24"/>
                <w:szCs w:val="24"/>
                <w:lang w:val="en-US" w:eastAsia="zh-CN"/>
              </w:rPr>
              <w:t>活性炭）</w:t>
            </w:r>
            <w:r>
              <w:rPr>
                <w:rFonts w:hint="default" w:ascii="Times New Roman" w:hAnsi="Times New Roman" w:eastAsia="宋体" w:cs="Times New Roman"/>
                <w:color w:val="auto"/>
                <w:sz w:val="24"/>
                <w:szCs w:val="24"/>
                <w:lang w:eastAsia="zh-CN"/>
              </w:rPr>
              <w:t>处理</w:t>
            </w:r>
            <w:r>
              <w:rPr>
                <w:rFonts w:hint="default" w:ascii="Times New Roman" w:hAnsi="Times New Roman" w:eastAsia="宋体" w:cs="Times New Roman"/>
                <w:color w:val="auto"/>
                <w:sz w:val="24"/>
                <w:szCs w:val="24"/>
              </w:rPr>
              <w:t>，尾气由风机</w:t>
            </w:r>
            <w:r>
              <w:rPr>
                <w:rFonts w:hint="default" w:ascii="Times New Roman" w:hAnsi="Times New Roman" w:eastAsia="宋体" w:cs="Times New Roman"/>
                <w:color w:val="auto"/>
                <w:sz w:val="24"/>
                <w:szCs w:val="24"/>
                <w:lang w:eastAsia="zh-CN"/>
              </w:rPr>
              <w:t>（风量</w:t>
            </w:r>
            <w:r>
              <w:rPr>
                <w:rFonts w:hint="eastAsia" w:cs="Times New Roman"/>
                <w:color w:val="auto"/>
                <w:sz w:val="24"/>
                <w:szCs w:val="24"/>
                <w:lang w:val="en-US" w:eastAsia="zh-CN"/>
              </w:rPr>
              <w:t>4</w:t>
            </w:r>
            <w:r>
              <w:rPr>
                <w:rFonts w:hint="default" w:ascii="Times New Roman" w:hAnsi="Times New Roman" w:cs="Times New Roman"/>
                <w:color w:val="auto"/>
                <w:sz w:val="24"/>
                <w:szCs w:val="24"/>
              </w:rPr>
              <w:t>000m³/h</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引出，最终通过1根</w:t>
            </w:r>
            <w:r>
              <w:rPr>
                <w:rFonts w:hint="eastAsia" w:cs="Times New Roman"/>
                <w:color w:val="auto"/>
                <w:sz w:val="24"/>
                <w:szCs w:val="24"/>
                <w:lang w:val="en-US" w:eastAsia="zh-CN"/>
              </w:rPr>
              <w:t>40米</w:t>
            </w:r>
            <w:r>
              <w:rPr>
                <w:rFonts w:hint="default" w:ascii="Times New Roman" w:hAnsi="Times New Roman" w:eastAsia="宋体" w:cs="Times New Roman"/>
                <w:color w:val="auto"/>
                <w:sz w:val="24"/>
                <w:szCs w:val="24"/>
              </w:rPr>
              <w:t>高排气筒</w:t>
            </w:r>
            <w:r>
              <w:rPr>
                <w:rFonts w:hint="eastAsia" w:ascii="Times New Roman" w:hAnsi="Times New Roman" w:cs="Times New Roman"/>
                <w:color w:val="auto"/>
                <w:sz w:val="24"/>
                <w:szCs w:val="24"/>
                <w:vertAlign w:val="baseline"/>
                <w:lang w:val="en-US" w:eastAsia="zh-CN"/>
              </w:rPr>
              <w:t>（DA00</w:t>
            </w:r>
            <w:r>
              <w:rPr>
                <w:rFonts w:hint="eastAsia" w:cs="Times New Roman"/>
                <w:color w:val="auto"/>
                <w:sz w:val="24"/>
                <w:szCs w:val="24"/>
                <w:vertAlign w:val="baseline"/>
                <w:lang w:val="en-US" w:eastAsia="zh-CN"/>
              </w:rPr>
              <w:t>1</w:t>
            </w:r>
            <w:r>
              <w:rPr>
                <w:rFonts w:hint="eastAsia" w:ascii="Times New Roman" w:hAnsi="Times New Roman" w:cs="Times New Roman"/>
                <w:color w:val="auto"/>
                <w:sz w:val="24"/>
                <w:szCs w:val="24"/>
                <w:vertAlign w:val="baseline"/>
                <w:lang w:val="en-US" w:eastAsia="zh-CN"/>
              </w:rPr>
              <w:t>）</w:t>
            </w:r>
            <w:r>
              <w:rPr>
                <w:rFonts w:hint="default" w:ascii="Times New Roman" w:hAnsi="Times New Roman" w:eastAsia="宋体" w:cs="Times New Roman"/>
                <w:color w:val="auto"/>
                <w:sz w:val="24"/>
                <w:szCs w:val="24"/>
              </w:rPr>
              <w:t>排放</w:t>
            </w:r>
            <w:r>
              <w:rPr>
                <w:rFonts w:hint="default" w:ascii="Times New Roman" w:hAnsi="Times New Roman" w:eastAsia="宋体" w:cs="Times New Roman"/>
                <w:color w:val="auto"/>
                <w:sz w:val="24"/>
                <w:szCs w:val="24"/>
                <w:lang w:eastAsia="zh-CN"/>
              </w:rPr>
              <w:t>。</w:t>
            </w:r>
          </w:p>
          <w:p w14:paraId="58F8CBC2">
            <w:pPr>
              <w:spacing w:line="336" w:lineRule="auto"/>
              <w:ind w:firstLine="480" w:firstLineChars="200"/>
              <w:rPr>
                <w:rFonts w:hint="eastAsia" w:eastAsiaTheme="minorEastAsia"/>
                <w:b/>
                <w:bCs/>
                <w:color w:val="auto"/>
                <w:sz w:val="24"/>
                <w:szCs w:val="24"/>
              </w:rPr>
            </w:pPr>
            <w:r>
              <w:rPr>
                <w:rFonts w:hint="eastAsia"/>
                <w:color w:val="auto"/>
                <w:sz w:val="24"/>
                <w:szCs w:val="24"/>
              </w:rPr>
              <w:t>废气处理工艺见图4</w:t>
            </w:r>
            <w:r>
              <w:rPr>
                <w:color w:val="auto"/>
                <w:sz w:val="24"/>
                <w:szCs w:val="24"/>
              </w:rPr>
              <w:t>-</w:t>
            </w:r>
            <w:r>
              <w:rPr>
                <w:rFonts w:hint="eastAsia"/>
                <w:color w:val="auto"/>
                <w:sz w:val="24"/>
                <w:szCs w:val="24"/>
                <w:lang w:val="en-US" w:eastAsia="zh-CN"/>
              </w:rPr>
              <w:t>1</w:t>
            </w:r>
            <w:r>
              <w:rPr>
                <w:rFonts w:hint="eastAsia"/>
                <w:color w:val="auto"/>
                <w:sz w:val="24"/>
                <w:szCs w:val="24"/>
                <w:lang w:eastAsia="zh-CN"/>
              </w:rPr>
              <w:t>。</w:t>
            </w:r>
          </w:p>
          <w:p w14:paraId="732BC36A">
            <w:pPr>
              <w:spacing w:line="336" w:lineRule="auto"/>
              <w:jc w:val="center"/>
              <w:rPr>
                <w:rFonts w:hint="eastAsia"/>
                <w:b/>
                <w:bCs/>
                <w:color w:val="auto"/>
                <w:sz w:val="24"/>
                <w:lang w:eastAsia="zh-CN"/>
              </w:rPr>
            </w:pPr>
            <w:r>
              <w:rPr>
                <w:rFonts w:hint="eastAsia"/>
                <w:b/>
                <w:bCs/>
                <w:color w:val="auto"/>
                <w:sz w:val="24"/>
                <w:lang w:eastAsia="zh-CN"/>
              </w:rPr>
              <w:drawing>
                <wp:inline distT="0" distB="0" distL="114300" distR="114300">
                  <wp:extent cx="4763135" cy="925830"/>
                  <wp:effectExtent l="0" t="0" r="18415" b="7620"/>
                  <wp:docPr id="5" name="E657119C-6982-421D-8BA7-E74DEB70A7D9-3" descr="C:/Users/Administrator/AppData/Local/Temp/wps.DRKLPG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657119C-6982-421D-8BA7-E74DEB70A7D9-3" descr="C:/Users/Administrator/AppData/Local/Temp/wps.DRKLPGwps"/>
                          <pic:cNvPicPr>
                            <a:picLocks noChangeAspect="1"/>
                          </pic:cNvPicPr>
                        </pic:nvPicPr>
                        <pic:blipFill>
                          <a:blip r:embed="rId14"/>
                          <a:srcRect l="-2013" t="225" b="-1711"/>
                          <a:stretch>
                            <a:fillRect/>
                          </a:stretch>
                        </pic:blipFill>
                        <pic:spPr>
                          <a:xfrm>
                            <a:off x="0" y="0"/>
                            <a:ext cx="4763135" cy="925830"/>
                          </a:xfrm>
                          <a:prstGeom prst="rect">
                            <a:avLst/>
                          </a:prstGeom>
                        </pic:spPr>
                      </pic:pic>
                    </a:graphicData>
                  </a:graphic>
                </wp:inline>
              </w:drawing>
            </w:r>
          </w:p>
          <w:p w14:paraId="31F288D4">
            <w:pPr>
              <w:pStyle w:val="2"/>
              <w:ind w:left="0" w:leftChars="0" w:firstLine="0" w:firstLineChars="0"/>
              <w:jc w:val="center"/>
              <w:rPr>
                <w:rFonts w:hint="eastAsia"/>
                <w:color w:val="auto"/>
                <w:sz w:val="24"/>
                <w:szCs w:val="24"/>
              </w:rPr>
            </w:pPr>
            <w:r>
              <w:rPr>
                <w:b/>
                <w:bCs/>
                <w:color w:val="auto"/>
                <w:sz w:val="24"/>
                <w:szCs w:val="24"/>
              </w:rPr>
              <w:t>图</w:t>
            </w:r>
            <w:r>
              <w:rPr>
                <w:rFonts w:hint="eastAsia"/>
                <w:b/>
                <w:bCs/>
                <w:color w:val="auto"/>
                <w:sz w:val="24"/>
                <w:szCs w:val="24"/>
                <w:lang w:val="en-US" w:eastAsia="zh-CN"/>
              </w:rPr>
              <w:t>4-1 DA001排气筒</w:t>
            </w:r>
            <w:r>
              <w:rPr>
                <w:rFonts w:hint="eastAsia"/>
                <w:b/>
                <w:bCs/>
                <w:color w:val="auto"/>
                <w:sz w:val="24"/>
                <w:szCs w:val="24"/>
              </w:rPr>
              <w:t>废气</w:t>
            </w:r>
            <w:r>
              <w:rPr>
                <w:b/>
                <w:bCs/>
                <w:color w:val="auto"/>
                <w:sz w:val="24"/>
                <w:szCs w:val="24"/>
              </w:rPr>
              <w:t>收集及处理工艺示意图</w:t>
            </w:r>
          </w:p>
          <w:p w14:paraId="6D8146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②</w:t>
            </w:r>
            <w:r>
              <w:rPr>
                <w:rFonts w:hint="eastAsia" w:cs="Times New Roman"/>
                <w:color w:val="auto"/>
                <w:kern w:val="2"/>
                <w:sz w:val="24"/>
                <w:szCs w:val="24"/>
                <w:lang w:val="en-US" w:eastAsia="zh-CN" w:bidi="ar-SA"/>
              </w:rPr>
              <w:t>无组织排放</w:t>
            </w:r>
          </w:p>
          <w:p w14:paraId="71C6E2E5">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lang w:val="en-US" w:eastAsia="zh-CN"/>
              </w:rPr>
            </w:pPr>
            <w:r>
              <w:rPr>
                <w:rFonts w:hint="eastAsia" w:cs="Times New Roman"/>
                <w:bCs/>
                <w:color w:val="auto"/>
                <w:sz w:val="24"/>
                <w:lang w:val="en-US" w:eastAsia="zh-CN"/>
              </w:rPr>
              <w:t>焊接烟尘经移动式焊烟净化器处理后无组织排放于生产车间内</w:t>
            </w:r>
            <w:r>
              <w:rPr>
                <w:rFonts w:hint="eastAsia" w:ascii="Times New Roman" w:hAnsi="Times New Roman" w:cs="Times New Roman"/>
                <w:bCs/>
                <w:color w:val="auto"/>
                <w:sz w:val="24"/>
                <w:lang w:val="en-US" w:eastAsia="zh-CN"/>
              </w:rPr>
              <w:t>。</w:t>
            </w:r>
          </w:p>
          <w:p w14:paraId="001D1DA2">
            <w:pPr>
              <w:spacing w:line="360" w:lineRule="auto"/>
              <w:ind w:firstLine="420" w:firstLineChars="175"/>
              <w:jc w:val="center"/>
              <w:rPr>
                <w:rFonts w:hint="eastAsia" w:cs="Times New Roman"/>
                <w:color w:val="FF0000"/>
                <w:sz w:val="24"/>
                <w:szCs w:val="24"/>
                <w:lang w:val="en-US" w:eastAsia="zh-CN"/>
              </w:rPr>
            </w:pPr>
            <w:r>
              <w:rPr>
                <w:rFonts w:hint="eastAsia" w:cs="Times New Roman"/>
                <w:color w:val="FF0000"/>
                <w:sz w:val="24"/>
                <w:szCs w:val="24"/>
                <w:lang w:val="en-US" w:eastAsia="zh-CN"/>
              </w:rPr>
              <w:drawing>
                <wp:inline distT="0" distB="0" distL="114300" distR="114300">
                  <wp:extent cx="3182620" cy="928370"/>
                  <wp:effectExtent l="0" t="0" r="0" b="5080"/>
                  <wp:docPr id="7" name="E657119C-6982-421D-8BA7-E74DEB70A7D9-4" descr="C:/Users/Administrator/AppData/Local/Temp/wps.vIErFk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657119C-6982-421D-8BA7-E74DEB70A7D9-4" descr="C:/Users/Administrator/AppData/Local/Temp/wps.vIErFkwps"/>
                          <pic:cNvPicPr>
                            <a:picLocks noChangeAspect="1"/>
                          </pic:cNvPicPr>
                        </pic:nvPicPr>
                        <pic:blipFill>
                          <a:blip r:embed="rId15"/>
                          <a:srcRect t="17212" b="12500"/>
                          <a:stretch>
                            <a:fillRect/>
                          </a:stretch>
                        </pic:blipFill>
                        <pic:spPr>
                          <a:xfrm>
                            <a:off x="0" y="0"/>
                            <a:ext cx="3182620" cy="928370"/>
                          </a:xfrm>
                          <a:prstGeom prst="rect">
                            <a:avLst/>
                          </a:prstGeom>
                        </pic:spPr>
                      </pic:pic>
                    </a:graphicData>
                  </a:graphic>
                </wp:inline>
              </w:drawing>
            </w:r>
          </w:p>
          <w:p w14:paraId="26F65861">
            <w:pPr>
              <w:pStyle w:val="2"/>
              <w:ind w:left="0" w:leftChars="0" w:firstLine="0" w:firstLineChars="0"/>
              <w:jc w:val="center"/>
              <w:rPr>
                <w:rFonts w:hint="eastAsia"/>
                <w:color w:val="auto"/>
                <w:sz w:val="24"/>
                <w:szCs w:val="24"/>
              </w:rPr>
            </w:pPr>
            <w:r>
              <w:rPr>
                <w:b/>
                <w:bCs/>
                <w:color w:val="auto"/>
                <w:sz w:val="24"/>
                <w:szCs w:val="24"/>
              </w:rPr>
              <w:t>图</w:t>
            </w:r>
            <w:r>
              <w:rPr>
                <w:rFonts w:hint="eastAsia"/>
                <w:b/>
                <w:bCs/>
                <w:color w:val="auto"/>
                <w:sz w:val="24"/>
                <w:szCs w:val="24"/>
                <w:lang w:val="en-US" w:eastAsia="zh-CN"/>
              </w:rPr>
              <w:t>4-2无组织排放</w:t>
            </w:r>
            <w:r>
              <w:rPr>
                <w:rFonts w:hint="eastAsia"/>
                <w:b/>
                <w:bCs/>
                <w:color w:val="auto"/>
                <w:sz w:val="24"/>
                <w:szCs w:val="24"/>
              </w:rPr>
              <w:t>废气</w:t>
            </w:r>
            <w:r>
              <w:rPr>
                <w:b/>
                <w:bCs/>
                <w:color w:val="auto"/>
                <w:sz w:val="24"/>
                <w:szCs w:val="24"/>
              </w:rPr>
              <w:t>收集及处理工艺示意图</w:t>
            </w:r>
          </w:p>
          <w:p w14:paraId="735289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（2）废气收集、处理设施可行性分析</w:t>
            </w:r>
          </w:p>
          <w:p w14:paraId="60EED352">
            <w:pPr>
              <w:widowControl/>
              <w:spacing w:line="360" w:lineRule="auto"/>
              <w:ind w:firstLine="480" w:firstLineChars="200"/>
              <w:rPr>
                <w:rFonts w:hint="default" w:ascii="Times New Roman" w:hAnsi="Times New Roman" w:cs="Times New Roman"/>
                <w:color w:val="auto"/>
                <w:sz w:val="24"/>
                <w:szCs w:val="24"/>
              </w:rPr>
            </w:pPr>
            <w:r>
              <w:rPr>
                <w:rFonts w:hint="eastAsia" w:cs="Times New Roman"/>
                <w:color w:val="auto"/>
                <w:sz w:val="24"/>
                <w:szCs w:val="24"/>
                <w:lang w:eastAsia="zh-CN"/>
              </w:rPr>
              <w:t>①</w:t>
            </w:r>
            <w:r>
              <w:rPr>
                <w:rFonts w:hint="eastAsia" w:ascii="Times New Roman" w:hAnsi="Times New Roman" w:cs="Times New Roman"/>
                <w:color w:val="auto"/>
                <w:sz w:val="24"/>
                <w:szCs w:val="24"/>
              </w:rPr>
              <w:t>废气收集技术可行性分析</w:t>
            </w:r>
          </w:p>
          <w:p w14:paraId="376076DC">
            <w:pPr>
              <w:widowControl/>
              <w:spacing w:line="360" w:lineRule="auto"/>
              <w:ind w:firstLine="480" w:firstLineChars="200"/>
              <w:rPr>
                <w:color w:val="auto"/>
                <w:sz w:val="24"/>
                <w:szCs w:val="24"/>
              </w:rPr>
            </w:pPr>
            <w:r>
              <w:rPr>
                <w:rFonts w:hint="eastAsia" w:cs="Times New Roman" w:eastAsiaTheme="minorEastAsia"/>
                <w:color w:val="auto"/>
                <w:sz w:val="24"/>
                <w:lang w:val="en-US" w:eastAsia="zh-CN"/>
              </w:rPr>
              <w:t>发泡机、擦拭工台</w:t>
            </w:r>
            <w:r>
              <w:rPr>
                <w:rFonts w:hint="eastAsia" w:eastAsiaTheme="minorEastAsia"/>
                <w:color w:val="auto"/>
                <w:sz w:val="24"/>
                <w:lang w:eastAsia="zh-CN"/>
              </w:rPr>
              <w:t>通过与</w:t>
            </w:r>
            <w:r>
              <w:rPr>
                <w:rFonts w:hint="eastAsia" w:eastAsiaTheme="minorEastAsia"/>
                <w:color w:val="auto"/>
                <w:sz w:val="24"/>
                <w:lang w:val="en-US" w:eastAsia="zh-CN"/>
              </w:rPr>
              <w:t>设备</w:t>
            </w:r>
            <w:r>
              <w:rPr>
                <w:rFonts w:hint="eastAsia" w:eastAsiaTheme="minorEastAsia"/>
                <w:color w:val="auto"/>
                <w:sz w:val="24"/>
                <w:lang w:eastAsia="zh-CN"/>
              </w:rPr>
              <w:t>顶部相连的风管收集废气。</w:t>
            </w:r>
            <w:r>
              <w:rPr>
                <w:color w:val="auto"/>
                <w:sz w:val="24"/>
                <w:szCs w:val="24"/>
              </w:rPr>
              <w:t>按照《环境工程设计手册》（湖南科学技术出版社），直接有固定排放口与风管连接的依据以下经验公式计算得出设备所需的风量L。</w:t>
            </w:r>
          </w:p>
          <w:p w14:paraId="631DEC86">
            <w:pPr>
              <w:widowControl/>
              <w:spacing w:line="360" w:lineRule="auto"/>
              <w:jc w:val="center"/>
              <w:rPr>
                <w:color w:val="auto"/>
                <w:sz w:val="24"/>
                <w:szCs w:val="24"/>
              </w:rPr>
            </w:pPr>
            <w:r>
              <w:rPr>
                <w:rFonts w:hint="eastAsia"/>
                <w:color w:val="auto"/>
                <w:sz w:val="24"/>
                <w:szCs w:val="24"/>
              </w:rPr>
              <w:t>Q=3600πR</w:t>
            </w:r>
            <w:r>
              <w:rPr>
                <w:rFonts w:hint="eastAsia"/>
                <w:color w:val="auto"/>
                <w:sz w:val="24"/>
                <w:szCs w:val="24"/>
                <w:vertAlign w:val="superscript"/>
              </w:rPr>
              <w:t>2</w:t>
            </w:r>
            <w:r>
              <w:rPr>
                <w:rFonts w:hint="eastAsia"/>
                <w:color w:val="auto"/>
                <w:sz w:val="24"/>
                <w:szCs w:val="24"/>
              </w:rPr>
              <w:t>v</w:t>
            </w:r>
          </w:p>
          <w:p w14:paraId="68435A52">
            <w:pPr>
              <w:widowControl/>
              <w:spacing w:line="360" w:lineRule="auto"/>
              <w:ind w:firstLine="480" w:firstLineChars="200"/>
              <w:rPr>
                <w:color w:val="auto"/>
                <w:sz w:val="24"/>
                <w:szCs w:val="24"/>
              </w:rPr>
            </w:pPr>
            <w:r>
              <w:rPr>
                <w:color w:val="auto"/>
                <w:sz w:val="24"/>
                <w:szCs w:val="24"/>
              </w:rPr>
              <w:t>其中：</w:t>
            </w:r>
            <w:r>
              <w:rPr>
                <w:rFonts w:hint="eastAsia"/>
                <w:color w:val="auto"/>
                <w:sz w:val="24"/>
                <w:szCs w:val="24"/>
              </w:rPr>
              <w:t>R</w:t>
            </w:r>
            <w:r>
              <w:rPr>
                <w:color w:val="auto"/>
                <w:sz w:val="24"/>
                <w:szCs w:val="24"/>
              </w:rPr>
              <w:t>—风管</w:t>
            </w:r>
            <w:r>
              <w:rPr>
                <w:rFonts w:hint="eastAsia"/>
                <w:color w:val="auto"/>
                <w:sz w:val="24"/>
                <w:szCs w:val="24"/>
              </w:rPr>
              <w:t>半</w:t>
            </w:r>
            <w:r>
              <w:rPr>
                <w:color w:val="auto"/>
                <w:sz w:val="24"/>
                <w:szCs w:val="24"/>
              </w:rPr>
              <w:t>径，m；</w:t>
            </w:r>
          </w:p>
          <w:p w14:paraId="548567D8">
            <w:pPr>
              <w:widowControl/>
              <w:spacing w:line="360" w:lineRule="auto"/>
              <w:ind w:firstLine="720" w:firstLineChars="300"/>
              <w:jc w:val="left"/>
              <w:rPr>
                <w:color w:val="auto"/>
                <w:sz w:val="24"/>
                <w:szCs w:val="24"/>
              </w:rPr>
            </w:pPr>
            <w:r>
              <w:rPr>
                <w:color w:val="auto"/>
                <w:sz w:val="24"/>
                <w:szCs w:val="24"/>
              </w:rPr>
              <w:t>v—断面平均风速，m/s；</w:t>
            </w:r>
          </w:p>
          <w:p w14:paraId="18C5F0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auto"/>
                <w:sz w:val="24"/>
              </w:rPr>
            </w:pPr>
            <w:r>
              <w:rPr>
                <w:rFonts w:hint="eastAsia" w:ascii="Times New Roman" w:hAnsi="Times New Roman" w:cs="Times New Roman" w:eastAsiaTheme="minorEastAsia"/>
                <w:color w:val="auto"/>
                <w:kern w:val="2"/>
                <w:sz w:val="24"/>
                <w:szCs w:val="20"/>
                <w:lang w:val="en-US" w:eastAsia="zh-CN" w:bidi="ar-SA"/>
              </w:rPr>
              <w:t>本项目风管直径为0.16m，断面平均风速约10.5m/s。根据以上公式计算，</w:t>
            </w:r>
            <w:r>
              <w:rPr>
                <w:rFonts w:hint="eastAsia" w:eastAsiaTheme="minorEastAsia"/>
                <w:color w:val="auto"/>
                <w:sz w:val="24"/>
                <w:lang w:val="en-US" w:eastAsia="zh-CN"/>
              </w:rPr>
              <w:t>单个</w:t>
            </w:r>
            <w:r>
              <w:rPr>
                <w:rFonts w:hint="eastAsia" w:eastAsiaTheme="minorEastAsia"/>
                <w:color w:val="auto"/>
                <w:sz w:val="24"/>
                <w:lang w:eastAsia="zh-CN"/>
              </w:rPr>
              <w:t>风</w:t>
            </w:r>
            <w:r>
              <w:rPr>
                <w:rFonts w:hint="eastAsia" w:eastAsiaTheme="minorEastAsia"/>
                <w:color w:val="auto"/>
                <w:sz w:val="24"/>
              </w:rPr>
              <w:t>量</w:t>
            </w:r>
            <w:r>
              <w:rPr>
                <w:rFonts w:hint="eastAsia" w:eastAsiaTheme="minorEastAsia"/>
                <w:color w:val="auto"/>
                <w:sz w:val="24"/>
                <w:lang w:eastAsia="zh-CN"/>
              </w:rPr>
              <w:t>约</w:t>
            </w:r>
            <w:r>
              <w:rPr>
                <w:rFonts w:hint="eastAsia" w:eastAsiaTheme="minorEastAsia"/>
                <w:color w:val="auto"/>
                <w:sz w:val="24"/>
              </w:rPr>
              <w:t>为</w:t>
            </w:r>
            <w:r>
              <w:rPr>
                <w:rFonts w:hint="eastAsia" w:eastAsiaTheme="minorEastAsia"/>
                <w:color w:val="auto"/>
                <w:sz w:val="24"/>
                <w:lang w:val="en-US" w:eastAsia="zh-CN"/>
              </w:rPr>
              <w:t>760</w:t>
            </w:r>
            <w:r>
              <w:rPr>
                <w:rFonts w:hint="eastAsia" w:eastAsiaTheme="minorEastAsia"/>
                <w:color w:val="auto"/>
                <w:sz w:val="24"/>
              </w:rPr>
              <w:t>m</w:t>
            </w:r>
            <w:r>
              <w:rPr>
                <w:rFonts w:hint="eastAsia" w:eastAsiaTheme="minorEastAsia"/>
                <w:color w:val="auto"/>
                <w:sz w:val="24"/>
                <w:vertAlign w:val="superscript"/>
              </w:rPr>
              <w:t>3</w:t>
            </w:r>
            <w:r>
              <w:rPr>
                <w:rFonts w:hint="eastAsia" w:eastAsiaTheme="minorEastAsia"/>
                <w:color w:val="auto"/>
                <w:sz w:val="24"/>
              </w:rPr>
              <w:t>/h</w:t>
            </w:r>
            <w:r>
              <w:rPr>
                <w:rFonts w:hint="eastAsia" w:eastAsiaTheme="minorEastAsia"/>
                <w:color w:val="auto"/>
                <w:sz w:val="24"/>
                <w:lang w:eastAsia="zh-CN"/>
              </w:rPr>
              <w:t>，</w:t>
            </w:r>
            <w:r>
              <w:rPr>
                <w:rFonts w:hint="eastAsia" w:eastAsiaTheme="minorEastAsia"/>
                <w:color w:val="auto"/>
                <w:sz w:val="24"/>
                <w:lang w:val="en-US" w:eastAsia="zh-CN"/>
              </w:rPr>
              <w:t>本项目建成后，共2台设备通过风管收集废气，则需风量为1520m</w:t>
            </w:r>
            <w:r>
              <w:rPr>
                <w:rFonts w:hint="eastAsia" w:eastAsiaTheme="minorEastAsia"/>
                <w:color w:val="auto"/>
                <w:sz w:val="24"/>
                <w:vertAlign w:val="superscript"/>
              </w:rPr>
              <w:t>3</w:t>
            </w:r>
            <w:r>
              <w:rPr>
                <w:rFonts w:hint="eastAsia" w:eastAsiaTheme="minorEastAsia"/>
                <w:color w:val="auto"/>
                <w:sz w:val="24"/>
              </w:rPr>
              <w:t>/h</w:t>
            </w:r>
            <w:r>
              <w:rPr>
                <w:rFonts w:hint="eastAsia" w:eastAsiaTheme="minorEastAsia"/>
                <w:color w:val="auto"/>
                <w:sz w:val="24"/>
                <w:vertAlign w:val="baseline"/>
                <w:lang w:val="en-US" w:eastAsia="zh-CN"/>
              </w:rPr>
              <w:t>，</w:t>
            </w:r>
            <w:r>
              <w:rPr>
                <w:rFonts w:hint="eastAsia" w:eastAsiaTheme="minorEastAsia"/>
                <w:color w:val="auto"/>
                <w:sz w:val="24"/>
              </w:rPr>
              <w:t>考虑到漏风等损失，DA00</w:t>
            </w:r>
            <w:r>
              <w:rPr>
                <w:rFonts w:hint="eastAsia" w:eastAsiaTheme="minorEastAsia"/>
                <w:color w:val="auto"/>
                <w:sz w:val="24"/>
                <w:lang w:val="en-US" w:eastAsia="zh-CN"/>
              </w:rPr>
              <w:t>1</w:t>
            </w:r>
            <w:r>
              <w:rPr>
                <w:rFonts w:hint="eastAsia" w:eastAsiaTheme="minorEastAsia"/>
                <w:color w:val="auto"/>
                <w:sz w:val="24"/>
              </w:rPr>
              <w:t>排气筒配备风量为</w:t>
            </w:r>
            <w:r>
              <w:rPr>
                <w:rFonts w:hint="eastAsia" w:eastAsiaTheme="minorEastAsia"/>
                <w:color w:val="auto"/>
                <w:sz w:val="24"/>
                <w:lang w:val="en-US" w:eastAsia="zh-CN"/>
              </w:rPr>
              <w:t>40</w:t>
            </w:r>
            <w:r>
              <w:rPr>
                <w:rFonts w:hint="eastAsia" w:eastAsiaTheme="minorEastAsia"/>
                <w:color w:val="auto"/>
                <w:sz w:val="24"/>
              </w:rPr>
              <w:t>00m</w:t>
            </w:r>
            <w:r>
              <w:rPr>
                <w:rFonts w:hint="eastAsia" w:eastAsiaTheme="minorEastAsia"/>
                <w:color w:val="auto"/>
                <w:sz w:val="24"/>
                <w:vertAlign w:val="superscript"/>
              </w:rPr>
              <w:t>3</w:t>
            </w:r>
            <w:r>
              <w:rPr>
                <w:rFonts w:hint="eastAsia" w:eastAsiaTheme="minorEastAsia"/>
                <w:color w:val="auto"/>
                <w:sz w:val="24"/>
              </w:rPr>
              <w:t>/h的变频引风机，可以满足废气的收集要求。</w:t>
            </w:r>
          </w:p>
          <w:p w14:paraId="23315E27">
            <w:pPr>
              <w:keepNext w:val="0"/>
              <w:keepLines w:val="0"/>
              <w:pageBreakBefore w:val="0"/>
              <w:widowControl/>
              <w:kinsoku/>
              <w:wordWrap/>
              <w:overflowPunct/>
              <w:topLinePunct w:val="0"/>
              <w:autoSpaceDE/>
              <w:autoSpaceDN/>
              <w:bidi w:val="0"/>
              <w:spacing w:line="360" w:lineRule="auto"/>
              <w:ind w:left="0" w:leftChars="0" w:firstLine="480" w:firstLineChars="200"/>
              <w:jc w:val="both"/>
              <w:textAlignment w:val="auto"/>
              <w:rPr>
                <w:rFonts w:hint="eastAsia" w:ascii="Times New Roman" w:hAnsi="Times New Roman" w:eastAsia="宋体" w:cs="Times New Roman"/>
                <w:b/>
                <w:bCs/>
                <w:color w:val="auto"/>
                <w:sz w:val="24"/>
                <w:lang w:val="en-US" w:eastAsia="zh-CN"/>
              </w:rPr>
            </w:pPr>
            <w:r>
              <w:rPr>
                <w:rFonts w:hint="eastAsia"/>
                <w:color w:val="auto"/>
                <w:sz w:val="24"/>
                <w:szCs w:val="24"/>
                <w:lang w:eastAsia="zh-CN"/>
              </w:rPr>
              <w:t>②</w:t>
            </w:r>
            <w:r>
              <w:rPr>
                <w:rFonts w:hint="eastAsia"/>
                <w:color w:val="auto"/>
                <w:sz w:val="24"/>
                <w:szCs w:val="24"/>
              </w:rPr>
              <w:t>废气处理设施可行性</w:t>
            </w:r>
            <w:r>
              <w:rPr>
                <w:rFonts w:hint="eastAsia"/>
                <w:color w:val="auto"/>
                <w:sz w:val="24"/>
                <w:szCs w:val="24"/>
                <w:lang w:val="en-US" w:eastAsia="zh-CN"/>
              </w:rPr>
              <w:t>分析</w:t>
            </w:r>
          </w:p>
          <w:p w14:paraId="09CCBBA1">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b w:val="0"/>
                <w:bCs w:val="0"/>
                <w:color w:val="auto"/>
                <w:sz w:val="24"/>
                <w:szCs w:val="24"/>
                <w:lang w:val="en-US" w:eastAsia="zh-CN"/>
              </w:rPr>
            </w:pPr>
            <w:r>
              <w:rPr>
                <w:rFonts w:hint="eastAsia"/>
                <w:b w:val="0"/>
                <w:bCs w:val="0"/>
                <w:color w:val="auto"/>
                <w:sz w:val="24"/>
                <w:szCs w:val="24"/>
                <w:lang w:val="en-US" w:eastAsia="zh-CN"/>
              </w:rPr>
              <w:t xml:space="preserve">&lt;1&gt;活性炭吸附装置 </w:t>
            </w:r>
          </w:p>
          <w:p w14:paraId="7B6AECF9">
            <w:pPr>
              <w:keepNext w:val="0"/>
              <w:keepLines w:val="0"/>
              <w:pageBreakBefore w:val="0"/>
              <w:kinsoku/>
              <w:wordWrap/>
              <w:overflowPunct/>
              <w:topLinePunct w:val="0"/>
              <w:autoSpaceDE/>
              <w:autoSpaceDN/>
              <w:bidi w:val="0"/>
              <w:spacing w:line="360" w:lineRule="auto"/>
              <w:ind w:left="0" w:leftChars="0" w:firstLine="482" w:firstLineChars="200"/>
              <w:jc w:val="both"/>
              <w:textAlignment w:val="auto"/>
              <w:rPr>
                <w:rFonts w:ascii="Times New Roman" w:hAnsi="Times New Roman" w:eastAsia="宋体" w:cs="Times New Roman"/>
                <w:color w:val="auto"/>
                <w:sz w:val="24"/>
                <w:szCs w:val="24"/>
              </w:rPr>
            </w:pPr>
            <w:r>
              <w:rPr>
                <w:b/>
                <w:bCs/>
                <w:color w:val="auto"/>
                <w:sz w:val="24"/>
                <w:szCs w:val="24"/>
              </w:rPr>
              <w:t>活性炭吸附装置</w:t>
            </w:r>
            <w:r>
              <w:rPr>
                <w:color w:val="auto"/>
                <w:sz w:val="24"/>
                <w:szCs w:val="24"/>
              </w:rPr>
              <w:t>：活性炭吸附是利用活性炭的多孔性，存在吸引力的原理而开发的。由于固体表面上存在着未平衡饱和的分子力或化学键力，因此当此固体表面与气体接触时，就能吸引气体分子，使其浓集并保持在固体表面，这种现象就是吸附现象。本工艺所采用的活性炭吸附法就是利用固体表面的这种性质，当废气与大表面积的多孔性活性炭相接触，废气中的污染物被吸附在活性炭固体表面，从而与气体混合</w:t>
            </w:r>
            <w:r>
              <w:rPr>
                <w:rFonts w:ascii="Times New Roman" w:hAnsi="Times New Roman" w:eastAsia="宋体" w:cs="Times New Roman"/>
                <w:color w:val="auto"/>
                <w:sz w:val="24"/>
                <w:szCs w:val="24"/>
              </w:rPr>
              <w:t>物分离，达到净化的目的。</w:t>
            </w:r>
          </w:p>
          <w:p w14:paraId="0E4ABA33">
            <w:pPr>
              <w:spacing w:line="360" w:lineRule="auto"/>
              <w:jc w:val="center"/>
              <w:rPr>
                <w:b/>
                <w:color w:val="auto"/>
                <w:sz w:val="24"/>
                <w:szCs w:val="24"/>
              </w:rPr>
            </w:pPr>
            <w:r>
              <w:rPr>
                <w:rFonts w:hint="eastAsia"/>
                <w:b/>
                <w:color w:val="auto"/>
                <w:sz w:val="24"/>
                <w:szCs w:val="24"/>
              </w:rPr>
              <w:t>表4</w:t>
            </w:r>
            <w:r>
              <w:rPr>
                <w:rFonts w:hint="eastAsia"/>
                <w:b/>
                <w:color w:val="auto"/>
                <w:sz w:val="24"/>
                <w:szCs w:val="24"/>
                <w:lang w:val="en-US" w:eastAsia="zh-CN"/>
              </w:rPr>
              <w:t>-5</w:t>
            </w:r>
            <w:r>
              <w:rPr>
                <w:rFonts w:hint="eastAsia"/>
                <w:b/>
                <w:color w:val="auto"/>
                <w:sz w:val="24"/>
                <w:szCs w:val="24"/>
              </w:rPr>
              <w:t>废气处理设施主要参数</w:t>
            </w:r>
          </w:p>
          <w:tbl>
            <w:tblPr>
              <w:tblStyle w:val="36"/>
              <w:tblW w:w="505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271"/>
              <w:gridCol w:w="4145"/>
              <w:gridCol w:w="665"/>
              <w:gridCol w:w="657"/>
            </w:tblGrid>
            <w:tr w14:paraId="316E4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82" w:type="pct"/>
                  <w:tcBorders>
                    <w:tl2br w:val="nil"/>
                    <w:tr2bl w:val="nil"/>
                  </w:tcBorders>
                  <w:vAlign w:val="center"/>
                </w:tcPr>
                <w:p w14:paraId="194BCFA6">
                  <w:pPr>
                    <w:adjustRightInd w:val="0"/>
                    <w:snapToGrid w:val="0"/>
                    <w:jc w:val="center"/>
                    <w:rPr>
                      <w:rFonts w:hint="default" w:eastAsia="宋体"/>
                      <w:b/>
                      <w:bCs/>
                      <w:color w:val="auto"/>
                      <w:szCs w:val="21"/>
                      <w:lang w:val="en-US" w:eastAsia="zh-CN"/>
                    </w:rPr>
                  </w:pPr>
                  <w:r>
                    <w:rPr>
                      <w:rFonts w:hint="eastAsia"/>
                      <w:b/>
                      <w:bCs/>
                      <w:color w:val="auto"/>
                      <w:szCs w:val="21"/>
                      <w:lang w:val="en-US" w:eastAsia="zh-CN"/>
                    </w:rPr>
                    <w:t>对应排气筒编号</w:t>
                  </w:r>
                </w:p>
              </w:tc>
              <w:tc>
                <w:tcPr>
                  <w:tcW w:w="814" w:type="pct"/>
                  <w:tcBorders>
                    <w:tl2br w:val="nil"/>
                    <w:tr2bl w:val="nil"/>
                  </w:tcBorders>
                  <w:vAlign w:val="center"/>
                </w:tcPr>
                <w:p w14:paraId="49151CBA">
                  <w:pPr>
                    <w:adjustRightInd w:val="0"/>
                    <w:snapToGrid w:val="0"/>
                    <w:jc w:val="center"/>
                    <w:rPr>
                      <w:b/>
                      <w:bCs/>
                      <w:color w:val="auto"/>
                      <w:szCs w:val="21"/>
                    </w:rPr>
                  </w:pPr>
                  <w:r>
                    <w:rPr>
                      <w:rFonts w:hint="eastAsia"/>
                      <w:b/>
                      <w:bCs/>
                      <w:color w:val="auto"/>
                      <w:szCs w:val="21"/>
                    </w:rPr>
                    <w:t>设备名称</w:t>
                  </w:r>
                </w:p>
              </w:tc>
              <w:tc>
                <w:tcPr>
                  <w:tcW w:w="2656" w:type="pct"/>
                  <w:tcBorders>
                    <w:tl2br w:val="nil"/>
                    <w:tr2bl w:val="nil"/>
                  </w:tcBorders>
                  <w:vAlign w:val="center"/>
                </w:tcPr>
                <w:p w14:paraId="630AD657">
                  <w:pPr>
                    <w:adjustRightInd w:val="0"/>
                    <w:snapToGrid w:val="0"/>
                    <w:jc w:val="center"/>
                    <w:rPr>
                      <w:b/>
                      <w:bCs/>
                      <w:color w:val="auto"/>
                      <w:szCs w:val="21"/>
                    </w:rPr>
                  </w:pPr>
                  <w:r>
                    <w:rPr>
                      <w:rFonts w:hint="eastAsia"/>
                      <w:b/>
                      <w:bCs/>
                      <w:color w:val="auto"/>
                      <w:szCs w:val="21"/>
                    </w:rPr>
                    <w:t>规格型号</w:t>
                  </w:r>
                </w:p>
              </w:tc>
              <w:tc>
                <w:tcPr>
                  <w:tcW w:w="426" w:type="pct"/>
                  <w:tcBorders>
                    <w:tl2br w:val="nil"/>
                    <w:tr2bl w:val="nil"/>
                  </w:tcBorders>
                  <w:vAlign w:val="center"/>
                </w:tcPr>
                <w:p w14:paraId="16D991F8">
                  <w:pPr>
                    <w:adjustRightInd w:val="0"/>
                    <w:snapToGrid w:val="0"/>
                    <w:jc w:val="center"/>
                    <w:rPr>
                      <w:b/>
                      <w:bCs/>
                      <w:color w:val="auto"/>
                      <w:szCs w:val="21"/>
                    </w:rPr>
                  </w:pPr>
                  <w:r>
                    <w:rPr>
                      <w:rFonts w:hint="eastAsia"/>
                      <w:b/>
                      <w:bCs/>
                      <w:color w:val="auto"/>
                      <w:szCs w:val="21"/>
                    </w:rPr>
                    <w:t>数量</w:t>
                  </w:r>
                </w:p>
              </w:tc>
              <w:tc>
                <w:tcPr>
                  <w:tcW w:w="420" w:type="pct"/>
                  <w:tcBorders>
                    <w:tl2br w:val="nil"/>
                    <w:tr2bl w:val="nil"/>
                  </w:tcBorders>
                  <w:vAlign w:val="center"/>
                </w:tcPr>
                <w:p w14:paraId="7F59C29A">
                  <w:pPr>
                    <w:adjustRightInd w:val="0"/>
                    <w:snapToGrid w:val="0"/>
                    <w:jc w:val="center"/>
                    <w:rPr>
                      <w:b/>
                      <w:bCs/>
                      <w:color w:val="auto"/>
                      <w:szCs w:val="21"/>
                    </w:rPr>
                  </w:pPr>
                  <w:r>
                    <w:rPr>
                      <w:rFonts w:hint="eastAsia"/>
                      <w:b/>
                      <w:bCs/>
                      <w:color w:val="auto"/>
                      <w:szCs w:val="21"/>
                    </w:rPr>
                    <w:t>备注</w:t>
                  </w:r>
                </w:p>
              </w:tc>
            </w:tr>
            <w:tr w14:paraId="33D90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82" w:type="pct"/>
                  <w:vMerge w:val="restart"/>
                  <w:tcBorders>
                    <w:tl2br w:val="nil"/>
                    <w:tr2bl w:val="nil"/>
                  </w:tcBorders>
                  <w:vAlign w:val="center"/>
                </w:tcPr>
                <w:p w14:paraId="370E8851">
                  <w:pPr>
                    <w:adjustRightInd w:val="0"/>
                    <w:snapToGrid w:val="0"/>
                    <w:jc w:val="center"/>
                    <w:rPr>
                      <w:rFonts w:hint="default" w:eastAsia="宋体"/>
                      <w:color w:val="auto"/>
                      <w:szCs w:val="21"/>
                      <w:lang w:val="en-US" w:eastAsia="zh-CN"/>
                    </w:rPr>
                  </w:pPr>
                  <w:r>
                    <w:rPr>
                      <w:rFonts w:hint="eastAsia"/>
                      <w:color w:val="auto"/>
                      <w:szCs w:val="21"/>
                      <w:lang w:val="en-US" w:eastAsia="zh-CN"/>
                    </w:rPr>
                    <w:t>DA001</w:t>
                  </w:r>
                </w:p>
              </w:tc>
              <w:tc>
                <w:tcPr>
                  <w:tcW w:w="814" w:type="pct"/>
                  <w:vMerge w:val="restart"/>
                  <w:tcBorders>
                    <w:tl2br w:val="nil"/>
                    <w:tr2bl w:val="nil"/>
                  </w:tcBorders>
                  <w:vAlign w:val="center"/>
                </w:tcPr>
                <w:p w14:paraId="3B41225E">
                  <w:pPr>
                    <w:adjustRightInd w:val="0"/>
                    <w:snapToGrid w:val="0"/>
                    <w:jc w:val="center"/>
                    <w:rPr>
                      <w:color w:val="auto"/>
                      <w:szCs w:val="21"/>
                    </w:rPr>
                  </w:pPr>
                  <w:r>
                    <w:rPr>
                      <w:rFonts w:hint="eastAsia"/>
                      <w:color w:val="auto"/>
                      <w:szCs w:val="21"/>
                    </w:rPr>
                    <w:t>1#活性炭吸附装置</w:t>
                  </w:r>
                </w:p>
              </w:tc>
              <w:tc>
                <w:tcPr>
                  <w:tcW w:w="2656" w:type="pct"/>
                  <w:tcBorders>
                    <w:tl2br w:val="nil"/>
                    <w:tr2bl w:val="nil"/>
                  </w:tcBorders>
                  <w:vAlign w:val="center"/>
                </w:tcPr>
                <w:p w14:paraId="66DE5FBE">
                  <w:pPr>
                    <w:adjustRightInd w:val="0"/>
                    <w:snapToGrid w:val="0"/>
                    <w:jc w:val="center"/>
                    <w:rPr>
                      <w:color w:val="FF0000"/>
                      <w:szCs w:val="21"/>
                    </w:rPr>
                  </w:pPr>
                  <w:r>
                    <w:rPr>
                      <w:rFonts w:hint="eastAsia"/>
                      <w:color w:val="auto"/>
                      <w:szCs w:val="21"/>
                    </w:rPr>
                    <w:t>型式：卧式</w:t>
                  </w:r>
                </w:p>
              </w:tc>
              <w:tc>
                <w:tcPr>
                  <w:tcW w:w="426" w:type="pct"/>
                  <w:vMerge w:val="restart"/>
                  <w:tcBorders>
                    <w:tl2br w:val="nil"/>
                    <w:tr2bl w:val="nil"/>
                  </w:tcBorders>
                  <w:vAlign w:val="center"/>
                </w:tcPr>
                <w:p w14:paraId="5775CDC8">
                  <w:pPr>
                    <w:adjustRightInd w:val="0"/>
                    <w:snapToGrid w:val="0"/>
                    <w:jc w:val="center"/>
                    <w:rPr>
                      <w:color w:val="auto"/>
                      <w:szCs w:val="21"/>
                    </w:rPr>
                  </w:pPr>
                  <w:r>
                    <w:rPr>
                      <w:rFonts w:hint="eastAsia"/>
                      <w:color w:val="auto"/>
                      <w:szCs w:val="21"/>
                    </w:rPr>
                    <w:t>1台</w:t>
                  </w:r>
                </w:p>
              </w:tc>
              <w:tc>
                <w:tcPr>
                  <w:tcW w:w="420" w:type="pct"/>
                  <w:vMerge w:val="restart"/>
                  <w:tcBorders>
                    <w:tl2br w:val="nil"/>
                    <w:tr2bl w:val="nil"/>
                  </w:tcBorders>
                  <w:vAlign w:val="center"/>
                </w:tcPr>
                <w:p w14:paraId="2EC389F9">
                  <w:pPr>
                    <w:adjustRightInd w:val="0"/>
                    <w:snapToGrid w:val="0"/>
                    <w:jc w:val="center"/>
                    <w:rPr>
                      <w:color w:val="auto"/>
                      <w:szCs w:val="21"/>
                    </w:rPr>
                  </w:pPr>
                  <w:r>
                    <w:rPr>
                      <w:rFonts w:hint="eastAsia"/>
                      <w:color w:val="auto"/>
                      <w:szCs w:val="21"/>
                    </w:rPr>
                    <w:t>定制</w:t>
                  </w:r>
                </w:p>
              </w:tc>
            </w:tr>
            <w:tr w14:paraId="6C9C9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82" w:type="pct"/>
                  <w:vMerge w:val="continue"/>
                  <w:tcBorders>
                    <w:tl2br w:val="nil"/>
                    <w:tr2bl w:val="nil"/>
                  </w:tcBorders>
                  <w:vAlign w:val="center"/>
                </w:tcPr>
                <w:p w14:paraId="04A35823">
                  <w:pPr>
                    <w:adjustRightInd w:val="0"/>
                    <w:snapToGrid w:val="0"/>
                    <w:jc w:val="center"/>
                    <w:rPr>
                      <w:color w:val="auto"/>
                      <w:szCs w:val="21"/>
                    </w:rPr>
                  </w:pPr>
                </w:p>
              </w:tc>
              <w:tc>
                <w:tcPr>
                  <w:tcW w:w="814" w:type="pct"/>
                  <w:vMerge w:val="continue"/>
                  <w:tcBorders>
                    <w:tl2br w:val="nil"/>
                    <w:tr2bl w:val="nil"/>
                  </w:tcBorders>
                  <w:vAlign w:val="center"/>
                </w:tcPr>
                <w:p w14:paraId="598F1AE4">
                  <w:pPr>
                    <w:adjustRightInd w:val="0"/>
                    <w:snapToGrid w:val="0"/>
                    <w:jc w:val="center"/>
                    <w:rPr>
                      <w:color w:val="auto"/>
                      <w:szCs w:val="21"/>
                    </w:rPr>
                  </w:pPr>
                </w:p>
              </w:tc>
              <w:tc>
                <w:tcPr>
                  <w:tcW w:w="2656" w:type="pct"/>
                  <w:tcBorders>
                    <w:tl2br w:val="nil"/>
                    <w:tr2bl w:val="nil"/>
                  </w:tcBorders>
                  <w:vAlign w:val="center"/>
                </w:tcPr>
                <w:p w14:paraId="5562B49E">
                  <w:pPr>
                    <w:adjustRightInd w:val="0"/>
                    <w:snapToGrid w:val="0"/>
                    <w:jc w:val="center"/>
                    <w:rPr>
                      <w:color w:val="FF0000"/>
                      <w:szCs w:val="21"/>
                    </w:rPr>
                  </w:pPr>
                  <w:r>
                    <w:rPr>
                      <w:rFonts w:hint="eastAsia"/>
                      <w:color w:val="auto"/>
                      <w:szCs w:val="21"/>
                    </w:rPr>
                    <w:t>规格/mm：</w:t>
                  </w:r>
                  <w:r>
                    <w:rPr>
                      <w:rFonts w:hint="eastAsia"/>
                      <w:color w:val="auto"/>
                      <w:szCs w:val="21"/>
                      <w:lang w:val="en-US" w:eastAsia="zh-CN"/>
                    </w:rPr>
                    <w:t>110</w:t>
                  </w:r>
                  <w:r>
                    <w:rPr>
                      <w:rFonts w:hint="eastAsia"/>
                      <w:color w:val="auto"/>
                      <w:szCs w:val="21"/>
                    </w:rPr>
                    <w:t>0*</w:t>
                  </w:r>
                  <w:r>
                    <w:rPr>
                      <w:rFonts w:hint="eastAsia"/>
                      <w:color w:val="auto"/>
                      <w:szCs w:val="21"/>
                      <w:lang w:val="en-US" w:eastAsia="zh-CN"/>
                    </w:rPr>
                    <w:t>6</w:t>
                  </w:r>
                  <w:r>
                    <w:rPr>
                      <w:rFonts w:hint="eastAsia"/>
                      <w:color w:val="auto"/>
                      <w:szCs w:val="21"/>
                    </w:rPr>
                    <w:t>00*</w:t>
                  </w:r>
                  <w:r>
                    <w:rPr>
                      <w:rFonts w:hint="eastAsia"/>
                      <w:color w:val="auto"/>
                      <w:szCs w:val="21"/>
                      <w:lang w:val="en-US" w:eastAsia="zh-CN"/>
                    </w:rPr>
                    <w:t>110</w:t>
                  </w:r>
                  <w:r>
                    <w:rPr>
                      <w:rFonts w:hint="eastAsia"/>
                      <w:color w:val="auto"/>
                      <w:szCs w:val="21"/>
                    </w:rPr>
                    <w:t>0</w:t>
                  </w:r>
                </w:p>
              </w:tc>
              <w:tc>
                <w:tcPr>
                  <w:tcW w:w="426" w:type="pct"/>
                  <w:vMerge w:val="continue"/>
                  <w:tcBorders>
                    <w:tl2br w:val="nil"/>
                    <w:tr2bl w:val="nil"/>
                  </w:tcBorders>
                  <w:vAlign w:val="center"/>
                </w:tcPr>
                <w:p w14:paraId="2A428D5A">
                  <w:pPr>
                    <w:adjustRightInd w:val="0"/>
                    <w:snapToGrid w:val="0"/>
                    <w:jc w:val="center"/>
                    <w:rPr>
                      <w:color w:val="auto"/>
                      <w:szCs w:val="21"/>
                    </w:rPr>
                  </w:pPr>
                </w:p>
              </w:tc>
              <w:tc>
                <w:tcPr>
                  <w:tcW w:w="420" w:type="pct"/>
                  <w:vMerge w:val="continue"/>
                  <w:tcBorders>
                    <w:tl2br w:val="nil"/>
                    <w:tr2bl w:val="nil"/>
                  </w:tcBorders>
                  <w:vAlign w:val="center"/>
                </w:tcPr>
                <w:p w14:paraId="1E1A29DF">
                  <w:pPr>
                    <w:adjustRightInd w:val="0"/>
                    <w:snapToGrid w:val="0"/>
                    <w:jc w:val="center"/>
                    <w:rPr>
                      <w:color w:val="auto"/>
                      <w:szCs w:val="21"/>
                    </w:rPr>
                  </w:pPr>
                </w:p>
              </w:tc>
            </w:tr>
            <w:tr w14:paraId="0E870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82" w:type="pct"/>
                  <w:vMerge w:val="continue"/>
                  <w:tcBorders>
                    <w:tl2br w:val="nil"/>
                    <w:tr2bl w:val="nil"/>
                  </w:tcBorders>
                  <w:vAlign w:val="center"/>
                </w:tcPr>
                <w:p w14:paraId="760EABE1">
                  <w:pPr>
                    <w:adjustRightInd w:val="0"/>
                    <w:snapToGrid w:val="0"/>
                    <w:jc w:val="center"/>
                    <w:rPr>
                      <w:color w:val="auto"/>
                      <w:szCs w:val="21"/>
                    </w:rPr>
                  </w:pPr>
                </w:p>
              </w:tc>
              <w:tc>
                <w:tcPr>
                  <w:tcW w:w="814" w:type="pct"/>
                  <w:vMerge w:val="continue"/>
                  <w:tcBorders>
                    <w:tl2br w:val="nil"/>
                    <w:tr2bl w:val="nil"/>
                  </w:tcBorders>
                  <w:vAlign w:val="center"/>
                </w:tcPr>
                <w:p w14:paraId="374165A3">
                  <w:pPr>
                    <w:adjustRightInd w:val="0"/>
                    <w:snapToGrid w:val="0"/>
                    <w:jc w:val="center"/>
                    <w:rPr>
                      <w:color w:val="auto"/>
                      <w:szCs w:val="21"/>
                    </w:rPr>
                  </w:pPr>
                </w:p>
              </w:tc>
              <w:tc>
                <w:tcPr>
                  <w:tcW w:w="2656" w:type="pct"/>
                  <w:tcBorders>
                    <w:tl2br w:val="nil"/>
                    <w:tr2bl w:val="nil"/>
                  </w:tcBorders>
                  <w:vAlign w:val="center"/>
                </w:tcPr>
                <w:p w14:paraId="241165DA">
                  <w:pPr>
                    <w:adjustRightInd w:val="0"/>
                    <w:snapToGrid w:val="0"/>
                    <w:jc w:val="center"/>
                    <w:rPr>
                      <w:color w:val="auto"/>
                      <w:szCs w:val="21"/>
                    </w:rPr>
                  </w:pPr>
                  <w:r>
                    <w:rPr>
                      <w:rFonts w:hint="eastAsia"/>
                      <w:color w:val="auto"/>
                      <w:szCs w:val="21"/>
                    </w:rPr>
                    <w:t>活性炭种类：</w:t>
                  </w:r>
                  <w:r>
                    <w:rPr>
                      <w:rFonts w:hint="eastAsia"/>
                      <w:color w:val="auto"/>
                      <w:szCs w:val="21"/>
                      <w:lang w:val="en-US" w:eastAsia="zh-CN"/>
                    </w:rPr>
                    <w:t>蜂窝</w:t>
                  </w:r>
                  <w:r>
                    <w:rPr>
                      <w:rFonts w:hint="eastAsia"/>
                      <w:color w:val="auto"/>
                      <w:szCs w:val="21"/>
                    </w:rPr>
                    <w:t>活性炭</w:t>
                  </w:r>
                </w:p>
              </w:tc>
              <w:tc>
                <w:tcPr>
                  <w:tcW w:w="426" w:type="pct"/>
                  <w:vMerge w:val="continue"/>
                  <w:tcBorders>
                    <w:tl2br w:val="nil"/>
                    <w:tr2bl w:val="nil"/>
                  </w:tcBorders>
                  <w:vAlign w:val="center"/>
                </w:tcPr>
                <w:p w14:paraId="353CF098">
                  <w:pPr>
                    <w:adjustRightInd w:val="0"/>
                    <w:snapToGrid w:val="0"/>
                    <w:jc w:val="center"/>
                    <w:rPr>
                      <w:color w:val="auto"/>
                      <w:szCs w:val="21"/>
                    </w:rPr>
                  </w:pPr>
                </w:p>
              </w:tc>
              <w:tc>
                <w:tcPr>
                  <w:tcW w:w="420" w:type="pct"/>
                  <w:vMerge w:val="continue"/>
                  <w:tcBorders>
                    <w:tl2br w:val="nil"/>
                    <w:tr2bl w:val="nil"/>
                  </w:tcBorders>
                  <w:vAlign w:val="center"/>
                </w:tcPr>
                <w:p w14:paraId="5AF1F4DC">
                  <w:pPr>
                    <w:adjustRightInd w:val="0"/>
                    <w:snapToGrid w:val="0"/>
                    <w:jc w:val="center"/>
                    <w:rPr>
                      <w:color w:val="auto"/>
                      <w:szCs w:val="21"/>
                    </w:rPr>
                  </w:pPr>
                </w:p>
              </w:tc>
            </w:tr>
            <w:tr w14:paraId="6EF03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82" w:type="pct"/>
                  <w:vMerge w:val="continue"/>
                  <w:tcBorders>
                    <w:tl2br w:val="nil"/>
                    <w:tr2bl w:val="nil"/>
                  </w:tcBorders>
                  <w:vAlign w:val="center"/>
                </w:tcPr>
                <w:p w14:paraId="425E403A">
                  <w:pPr>
                    <w:adjustRightInd w:val="0"/>
                    <w:snapToGrid w:val="0"/>
                    <w:jc w:val="center"/>
                    <w:rPr>
                      <w:color w:val="auto"/>
                      <w:szCs w:val="21"/>
                    </w:rPr>
                  </w:pPr>
                </w:p>
              </w:tc>
              <w:tc>
                <w:tcPr>
                  <w:tcW w:w="814" w:type="pct"/>
                  <w:vMerge w:val="continue"/>
                  <w:tcBorders>
                    <w:tl2br w:val="nil"/>
                    <w:tr2bl w:val="nil"/>
                  </w:tcBorders>
                  <w:vAlign w:val="center"/>
                </w:tcPr>
                <w:p w14:paraId="2AB8AAB8">
                  <w:pPr>
                    <w:adjustRightInd w:val="0"/>
                    <w:snapToGrid w:val="0"/>
                    <w:jc w:val="center"/>
                    <w:rPr>
                      <w:color w:val="auto"/>
                      <w:szCs w:val="21"/>
                    </w:rPr>
                  </w:pPr>
                </w:p>
              </w:tc>
              <w:tc>
                <w:tcPr>
                  <w:tcW w:w="2656" w:type="pct"/>
                  <w:tcBorders>
                    <w:tl2br w:val="nil"/>
                    <w:tr2bl w:val="nil"/>
                  </w:tcBorders>
                  <w:vAlign w:val="center"/>
                </w:tcPr>
                <w:p w14:paraId="395F2F33">
                  <w:pPr>
                    <w:adjustRightInd w:val="0"/>
                    <w:snapToGrid w:val="0"/>
                    <w:jc w:val="center"/>
                    <w:rPr>
                      <w:color w:val="auto"/>
                      <w:szCs w:val="21"/>
                    </w:rPr>
                  </w:pPr>
                  <w:r>
                    <w:rPr>
                      <w:rFonts w:hint="eastAsia"/>
                      <w:color w:val="auto"/>
                      <w:szCs w:val="21"/>
                    </w:rPr>
                    <w:t>活性炭装填量：</w:t>
                  </w:r>
                  <w:r>
                    <w:rPr>
                      <w:rFonts w:hint="eastAsia"/>
                      <w:color w:val="auto"/>
                      <w:szCs w:val="21"/>
                      <w:lang w:val="en-US" w:eastAsia="zh-CN"/>
                    </w:rPr>
                    <w:t>100</w:t>
                  </w:r>
                  <w:r>
                    <w:rPr>
                      <w:rFonts w:hint="eastAsia"/>
                      <w:color w:val="auto"/>
                      <w:szCs w:val="21"/>
                    </w:rPr>
                    <w:t>kg</w:t>
                  </w:r>
                </w:p>
              </w:tc>
              <w:tc>
                <w:tcPr>
                  <w:tcW w:w="426" w:type="pct"/>
                  <w:vMerge w:val="continue"/>
                  <w:tcBorders>
                    <w:tl2br w:val="nil"/>
                    <w:tr2bl w:val="nil"/>
                  </w:tcBorders>
                  <w:vAlign w:val="center"/>
                </w:tcPr>
                <w:p w14:paraId="449288A1">
                  <w:pPr>
                    <w:adjustRightInd w:val="0"/>
                    <w:snapToGrid w:val="0"/>
                    <w:jc w:val="center"/>
                    <w:rPr>
                      <w:color w:val="auto"/>
                      <w:szCs w:val="21"/>
                    </w:rPr>
                  </w:pPr>
                </w:p>
              </w:tc>
              <w:tc>
                <w:tcPr>
                  <w:tcW w:w="420" w:type="pct"/>
                  <w:vMerge w:val="continue"/>
                  <w:tcBorders>
                    <w:tl2br w:val="nil"/>
                    <w:tr2bl w:val="nil"/>
                  </w:tcBorders>
                  <w:vAlign w:val="center"/>
                </w:tcPr>
                <w:p w14:paraId="0D499F76">
                  <w:pPr>
                    <w:adjustRightInd w:val="0"/>
                    <w:snapToGrid w:val="0"/>
                    <w:jc w:val="center"/>
                    <w:rPr>
                      <w:color w:val="auto"/>
                      <w:szCs w:val="21"/>
                    </w:rPr>
                  </w:pPr>
                </w:p>
              </w:tc>
            </w:tr>
            <w:tr w14:paraId="3FC75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82" w:type="pct"/>
                  <w:vMerge w:val="continue"/>
                  <w:tcBorders>
                    <w:tl2br w:val="nil"/>
                    <w:tr2bl w:val="nil"/>
                  </w:tcBorders>
                  <w:vAlign w:val="center"/>
                </w:tcPr>
                <w:p w14:paraId="16CCD644">
                  <w:pPr>
                    <w:adjustRightInd w:val="0"/>
                    <w:snapToGrid w:val="0"/>
                    <w:jc w:val="center"/>
                    <w:rPr>
                      <w:color w:val="auto"/>
                      <w:szCs w:val="21"/>
                    </w:rPr>
                  </w:pPr>
                </w:p>
              </w:tc>
              <w:tc>
                <w:tcPr>
                  <w:tcW w:w="814" w:type="pct"/>
                  <w:vMerge w:val="continue"/>
                  <w:tcBorders>
                    <w:tl2br w:val="nil"/>
                    <w:tr2bl w:val="nil"/>
                  </w:tcBorders>
                  <w:vAlign w:val="center"/>
                </w:tcPr>
                <w:p w14:paraId="16A453C3">
                  <w:pPr>
                    <w:adjustRightInd w:val="0"/>
                    <w:snapToGrid w:val="0"/>
                    <w:jc w:val="center"/>
                    <w:rPr>
                      <w:color w:val="auto"/>
                      <w:szCs w:val="21"/>
                    </w:rPr>
                  </w:pPr>
                </w:p>
              </w:tc>
              <w:tc>
                <w:tcPr>
                  <w:tcW w:w="2656" w:type="pct"/>
                  <w:tcBorders>
                    <w:tl2br w:val="nil"/>
                    <w:tr2bl w:val="nil"/>
                  </w:tcBorders>
                  <w:vAlign w:val="center"/>
                </w:tcPr>
                <w:p w14:paraId="02D380A8">
                  <w:pPr>
                    <w:adjustRightInd w:val="0"/>
                    <w:snapToGrid w:val="0"/>
                    <w:jc w:val="center"/>
                    <w:rPr>
                      <w:rFonts w:hint="default" w:eastAsia="宋体"/>
                      <w:color w:val="auto"/>
                      <w:szCs w:val="21"/>
                      <w:lang w:val="en-US" w:eastAsia="zh-CN"/>
                    </w:rPr>
                  </w:pPr>
                  <w:r>
                    <w:rPr>
                      <w:rFonts w:hint="eastAsia"/>
                      <w:color w:val="auto"/>
                      <w:szCs w:val="21"/>
                    </w:rPr>
                    <w:t>活性炭更换周期：1次/</w:t>
                  </w:r>
                  <w:r>
                    <w:rPr>
                      <w:rFonts w:hint="eastAsia"/>
                      <w:color w:val="auto"/>
                      <w:szCs w:val="21"/>
                      <w:lang w:val="en-US" w:eastAsia="zh-CN"/>
                    </w:rPr>
                    <w:t>90天</w:t>
                  </w:r>
                </w:p>
              </w:tc>
              <w:tc>
                <w:tcPr>
                  <w:tcW w:w="426" w:type="pct"/>
                  <w:vMerge w:val="continue"/>
                  <w:tcBorders>
                    <w:tl2br w:val="nil"/>
                    <w:tr2bl w:val="nil"/>
                  </w:tcBorders>
                  <w:vAlign w:val="center"/>
                </w:tcPr>
                <w:p w14:paraId="407B3FD8">
                  <w:pPr>
                    <w:adjustRightInd w:val="0"/>
                    <w:snapToGrid w:val="0"/>
                    <w:jc w:val="center"/>
                    <w:rPr>
                      <w:color w:val="auto"/>
                      <w:szCs w:val="21"/>
                    </w:rPr>
                  </w:pPr>
                </w:p>
              </w:tc>
              <w:tc>
                <w:tcPr>
                  <w:tcW w:w="420" w:type="pct"/>
                  <w:vMerge w:val="continue"/>
                  <w:tcBorders>
                    <w:tl2br w:val="nil"/>
                    <w:tr2bl w:val="nil"/>
                  </w:tcBorders>
                  <w:vAlign w:val="center"/>
                </w:tcPr>
                <w:p w14:paraId="2888AC8E">
                  <w:pPr>
                    <w:adjustRightInd w:val="0"/>
                    <w:snapToGrid w:val="0"/>
                    <w:jc w:val="center"/>
                    <w:rPr>
                      <w:color w:val="auto"/>
                      <w:szCs w:val="21"/>
                    </w:rPr>
                  </w:pPr>
                </w:p>
              </w:tc>
            </w:tr>
            <w:tr w14:paraId="42543D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82" w:type="pct"/>
                  <w:vMerge w:val="continue"/>
                  <w:tcBorders>
                    <w:tl2br w:val="nil"/>
                    <w:tr2bl w:val="nil"/>
                  </w:tcBorders>
                  <w:vAlign w:val="center"/>
                </w:tcPr>
                <w:p w14:paraId="672F9A92">
                  <w:pPr>
                    <w:adjustRightInd w:val="0"/>
                    <w:snapToGrid w:val="0"/>
                    <w:jc w:val="center"/>
                    <w:rPr>
                      <w:color w:val="auto"/>
                      <w:szCs w:val="21"/>
                    </w:rPr>
                  </w:pPr>
                </w:p>
              </w:tc>
              <w:tc>
                <w:tcPr>
                  <w:tcW w:w="814" w:type="pct"/>
                  <w:vMerge w:val="continue"/>
                  <w:tcBorders>
                    <w:tl2br w:val="nil"/>
                    <w:tr2bl w:val="nil"/>
                  </w:tcBorders>
                  <w:vAlign w:val="center"/>
                </w:tcPr>
                <w:p w14:paraId="6A154A6F">
                  <w:pPr>
                    <w:adjustRightInd w:val="0"/>
                    <w:snapToGrid w:val="0"/>
                    <w:jc w:val="center"/>
                    <w:rPr>
                      <w:color w:val="auto"/>
                      <w:szCs w:val="21"/>
                    </w:rPr>
                  </w:pPr>
                </w:p>
              </w:tc>
              <w:tc>
                <w:tcPr>
                  <w:tcW w:w="2656" w:type="pct"/>
                  <w:tcBorders>
                    <w:tl2br w:val="nil"/>
                    <w:tr2bl w:val="nil"/>
                  </w:tcBorders>
                  <w:vAlign w:val="center"/>
                </w:tcPr>
                <w:p w14:paraId="16F32F1A">
                  <w:pPr>
                    <w:adjustRightInd w:val="0"/>
                    <w:snapToGrid w:val="0"/>
                    <w:jc w:val="center"/>
                    <w:rPr>
                      <w:color w:val="auto"/>
                      <w:szCs w:val="21"/>
                    </w:rPr>
                  </w:pPr>
                  <w:r>
                    <w:rPr>
                      <w:rFonts w:hint="eastAsia"/>
                      <w:color w:val="auto"/>
                      <w:szCs w:val="21"/>
                    </w:rPr>
                    <w:t>处理风量：</w:t>
                  </w:r>
                  <w:r>
                    <w:rPr>
                      <w:rFonts w:hint="eastAsia"/>
                      <w:color w:val="auto"/>
                      <w:szCs w:val="21"/>
                      <w:lang w:val="en-US" w:eastAsia="zh-CN"/>
                    </w:rPr>
                    <w:t>40</w:t>
                  </w:r>
                  <w:r>
                    <w:rPr>
                      <w:rFonts w:hint="eastAsia"/>
                      <w:color w:val="auto"/>
                      <w:szCs w:val="21"/>
                    </w:rPr>
                    <w:t>00m</w:t>
                  </w:r>
                  <w:r>
                    <w:rPr>
                      <w:rFonts w:hint="eastAsia"/>
                      <w:color w:val="auto"/>
                      <w:szCs w:val="21"/>
                      <w:vertAlign w:val="superscript"/>
                    </w:rPr>
                    <w:t>3</w:t>
                  </w:r>
                  <w:r>
                    <w:rPr>
                      <w:rFonts w:hint="eastAsia"/>
                      <w:color w:val="auto"/>
                      <w:szCs w:val="21"/>
                    </w:rPr>
                    <w:t>/h</w:t>
                  </w:r>
                </w:p>
              </w:tc>
              <w:tc>
                <w:tcPr>
                  <w:tcW w:w="426" w:type="pct"/>
                  <w:vMerge w:val="continue"/>
                  <w:tcBorders>
                    <w:tl2br w:val="nil"/>
                    <w:tr2bl w:val="nil"/>
                  </w:tcBorders>
                  <w:vAlign w:val="center"/>
                </w:tcPr>
                <w:p w14:paraId="52FE117C">
                  <w:pPr>
                    <w:adjustRightInd w:val="0"/>
                    <w:snapToGrid w:val="0"/>
                    <w:jc w:val="center"/>
                    <w:rPr>
                      <w:color w:val="auto"/>
                      <w:szCs w:val="21"/>
                    </w:rPr>
                  </w:pPr>
                </w:p>
              </w:tc>
              <w:tc>
                <w:tcPr>
                  <w:tcW w:w="420" w:type="pct"/>
                  <w:vMerge w:val="continue"/>
                  <w:tcBorders>
                    <w:tl2br w:val="nil"/>
                    <w:tr2bl w:val="nil"/>
                  </w:tcBorders>
                  <w:vAlign w:val="center"/>
                </w:tcPr>
                <w:p w14:paraId="48A167AF">
                  <w:pPr>
                    <w:adjustRightInd w:val="0"/>
                    <w:snapToGrid w:val="0"/>
                    <w:jc w:val="center"/>
                    <w:rPr>
                      <w:color w:val="auto"/>
                      <w:szCs w:val="21"/>
                    </w:rPr>
                  </w:pPr>
                </w:p>
              </w:tc>
            </w:tr>
            <w:tr w14:paraId="52944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82" w:type="pct"/>
                  <w:vMerge w:val="continue"/>
                  <w:tcBorders>
                    <w:tl2br w:val="nil"/>
                    <w:tr2bl w:val="nil"/>
                  </w:tcBorders>
                  <w:vAlign w:val="center"/>
                </w:tcPr>
                <w:p w14:paraId="3C3E3E52">
                  <w:pPr>
                    <w:adjustRightInd w:val="0"/>
                    <w:snapToGrid w:val="0"/>
                    <w:jc w:val="center"/>
                    <w:rPr>
                      <w:color w:val="auto"/>
                      <w:szCs w:val="21"/>
                    </w:rPr>
                  </w:pPr>
                </w:p>
              </w:tc>
              <w:tc>
                <w:tcPr>
                  <w:tcW w:w="814" w:type="pct"/>
                  <w:vMerge w:val="continue"/>
                  <w:tcBorders>
                    <w:tl2br w:val="nil"/>
                    <w:tr2bl w:val="nil"/>
                  </w:tcBorders>
                  <w:vAlign w:val="center"/>
                </w:tcPr>
                <w:p w14:paraId="2DA9C852">
                  <w:pPr>
                    <w:adjustRightInd w:val="0"/>
                    <w:snapToGrid w:val="0"/>
                    <w:jc w:val="center"/>
                    <w:rPr>
                      <w:color w:val="auto"/>
                      <w:szCs w:val="21"/>
                    </w:rPr>
                  </w:pPr>
                </w:p>
              </w:tc>
              <w:tc>
                <w:tcPr>
                  <w:tcW w:w="2656" w:type="pct"/>
                  <w:tcBorders>
                    <w:tl2br w:val="nil"/>
                    <w:tr2bl w:val="nil"/>
                  </w:tcBorders>
                  <w:vAlign w:val="center"/>
                </w:tcPr>
                <w:p w14:paraId="3A723641">
                  <w:pPr>
                    <w:adjustRightInd w:val="0"/>
                    <w:snapToGrid w:val="0"/>
                    <w:jc w:val="center"/>
                    <w:rPr>
                      <w:rFonts w:hint="eastAsia" w:eastAsia="宋体"/>
                      <w:color w:val="auto"/>
                      <w:szCs w:val="21"/>
                      <w:lang w:eastAsia="zh-CN"/>
                    </w:rPr>
                  </w:pPr>
                  <w:r>
                    <w:rPr>
                      <w:rFonts w:hint="eastAsia"/>
                      <w:color w:val="auto"/>
                      <w:szCs w:val="21"/>
                    </w:rPr>
                    <w:t>停留时间：1s</w:t>
                  </w:r>
                </w:p>
              </w:tc>
              <w:tc>
                <w:tcPr>
                  <w:tcW w:w="426" w:type="pct"/>
                  <w:vMerge w:val="continue"/>
                  <w:tcBorders>
                    <w:tl2br w:val="nil"/>
                    <w:tr2bl w:val="nil"/>
                  </w:tcBorders>
                  <w:vAlign w:val="center"/>
                </w:tcPr>
                <w:p w14:paraId="69E5D463">
                  <w:pPr>
                    <w:adjustRightInd w:val="0"/>
                    <w:snapToGrid w:val="0"/>
                    <w:jc w:val="center"/>
                    <w:rPr>
                      <w:color w:val="auto"/>
                      <w:szCs w:val="21"/>
                    </w:rPr>
                  </w:pPr>
                </w:p>
              </w:tc>
              <w:tc>
                <w:tcPr>
                  <w:tcW w:w="420" w:type="pct"/>
                  <w:vMerge w:val="continue"/>
                  <w:tcBorders>
                    <w:tl2br w:val="nil"/>
                    <w:tr2bl w:val="nil"/>
                  </w:tcBorders>
                  <w:vAlign w:val="center"/>
                </w:tcPr>
                <w:p w14:paraId="1EAA7FED">
                  <w:pPr>
                    <w:adjustRightInd w:val="0"/>
                    <w:snapToGrid w:val="0"/>
                    <w:jc w:val="center"/>
                    <w:rPr>
                      <w:color w:val="auto"/>
                      <w:szCs w:val="21"/>
                    </w:rPr>
                  </w:pPr>
                </w:p>
              </w:tc>
            </w:tr>
            <w:tr w14:paraId="030F8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82" w:type="pct"/>
                  <w:vMerge w:val="continue"/>
                  <w:tcBorders>
                    <w:tl2br w:val="nil"/>
                    <w:tr2bl w:val="nil"/>
                  </w:tcBorders>
                  <w:vAlign w:val="center"/>
                </w:tcPr>
                <w:p w14:paraId="10657682">
                  <w:pPr>
                    <w:adjustRightInd w:val="0"/>
                    <w:snapToGrid w:val="0"/>
                    <w:jc w:val="center"/>
                    <w:rPr>
                      <w:color w:val="auto"/>
                      <w:szCs w:val="21"/>
                    </w:rPr>
                  </w:pPr>
                </w:p>
              </w:tc>
              <w:tc>
                <w:tcPr>
                  <w:tcW w:w="814" w:type="pct"/>
                  <w:vMerge w:val="continue"/>
                  <w:tcBorders>
                    <w:tl2br w:val="nil"/>
                    <w:tr2bl w:val="nil"/>
                  </w:tcBorders>
                  <w:vAlign w:val="center"/>
                </w:tcPr>
                <w:p w14:paraId="0F4A9EFB">
                  <w:pPr>
                    <w:adjustRightInd w:val="0"/>
                    <w:snapToGrid w:val="0"/>
                    <w:jc w:val="center"/>
                    <w:rPr>
                      <w:color w:val="auto"/>
                      <w:szCs w:val="21"/>
                    </w:rPr>
                  </w:pPr>
                </w:p>
              </w:tc>
              <w:tc>
                <w:tcPr>
                  <w:tcW w:w="2656" w:type="pct"/>
                  <w:tcBorders>
                    <w:tl2br w:val="nil"/>
                    <w:tr2bl w:val="nil"/>
                  </w:tcBorders>
                  <w:vAlign w:val="center"/>
                </w:tcPr>
                <w:p w14:paraId="0134F3CF">
                  <w:pPr>
                    <w:adjustRightInd w:val="0"/>
                    <w:snapToGrid w:val="0"/>
                    <w:jc w:val="center"/>
                    <w:rPr>
                      <w:rFonts w:hint="eastAsia" w:eastAsia="宋体"/>
                      <w:color w:val="auto"/>
                      <w:szCs w:val="21"/>
                      <w:lang w:eastAsia="zh-CN"/>
                    </w:rPr>
                  </w:pPr>
                  <w:r>
                    <w:rPr>
                      <w:rFonts w:hint="eastAsia"/>
                      <w:color w:val="auto"/>
                      <w:szCs w:val="21"/>
                    </w:rPr>
                    <w:t>进口温度：</w:t>
                  </w:r>
                  <w:r>
                    <w:rPr>
                      <w:rFonts w:hint="eastAsia"/>
                      <w:color w:val="auto"/>
                      <w:szCs w:val="21"/>
                      <w:lang w:val="en-US" w:eastAsia="zh-CN"/>
                    </w:rPr>
                    <w:t>30</w:t>
                  </w:r>
                  <w:r>
                    <w:rPr>
                      <w:rFonts w:hint="default" w:ascii="Times New Roman" w:hAnsi="Times New Roman" w:cs="Times New Roman"/>
                      <w:color w:val="auto"/>
                      <w:szCs w:val="21"/>
                      <w:lang w:eastAsia="zh-CN"/>
                    </w:rPr>
                    <w:t>℃</w:t>
                  </w:r>
                </w:p>
              </w:tc>
              <w:tc>
                <w:tcPr>
                  <w:tcW w:w="426" w:type="pct"/>
                  <w:vMerge w:val="continue"/>
                  <w:tcBorders>
                    <w:tl2br w:val="nil"/>
                    <w:tr2bl w:val="nil"/>
                  </w:tcBorders>
                  <w:vAlign w:val="center"/>
                </w:tcPr>
                <w:p w14:paraId="017A224C">
                  <w:pPr>
                    <w:adjustRightInd w:val="0"/>
                    <w:snapToGrid w:val="0"/>
                    <w:jc w:val="center"/>
                    <w:rPr>
                      <w:color w:val="auto"/>
                      <w:szCs w:val="21"/>
                    </w:rPr>
                  </w:pPr>
                </w:p>
              </w:tc>
              <w:tc>
                <w:tcPr>
                  <w:tcW w:w="420" w:type="pct"/>
                  <w:vMerge w:val="continue"/>
                  <w:tcBorders>
                    <w:tl2br w:val="nil"/>
                    <w:tr2bl w:val="nil"/>
                  </w:tcBorders>
                  <w:vAlign w:val="center"/>
                </w:tcPr>
                <w:p w14:paraId="18E01293">
                  <w:pPr>
                    <w:adjustRightInd w:val="0"/>
                    <w:snapToGrid w:val="0"/>
                    <w:jc w:val="center"/>
                    <w:rPr>
                      <w:color w:val="auto"/>
                      <w:szCs w:val="21"/>
                    </w:rPr>
                  </w:pPr>
                </w:p>
              </w:tc>
            </w:tr>
            <w:tr w14:paraId="69A83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82" w:type="pct"/>
                  <w:vMerge w:val="continue"/>
                  <w:tcBorders>
                    <w:tl2br w:val="nil"/>
                    <w:tr2bl w:val="nil"/>
                  </w:tcBorders>
                  <w:vAlign w:val="center"/>
                </w:tcPr>
                <w:p w14:paraId="53EE2544">
                  <w:pPr>
                    <w:adjustRightInd w:val="0"/>
                    <w:snapToGrid w:val="0"/>
                    <w:jc w:val="center"/>
                    <w:rPr>
                      <w:rFonts w:hint="eastAsia" w:eastAsia="宋体"/>
                      <w:color w:val="auto"/>
                      <w:szCs w:val="21"/>
                      <w:lang w:eastAsia="zh-CN"/>
                    </w:rPr>
                  </w:pPr>
                </w:p>
              </w:tc>
              <w:tc>
                <w:tcPr>
                  <w:tcW w:w="814" w:type="pct"/>
                  <w:vMerge w:val="restart"/>
                  <w:tcBorders>
                    <w:tl2br w:val="nil"/>
                    <w:tr2bl w:val="nil"/>
                  </w:tcBorders>
                  <w:vAlign w:val="center"/>
                </w:tcPr>
                <w:p w14:paraId="5083A2B4">
                  <w:pPr>
                    <w:adjustRightInd w:val="0"/>
                    <w:snapToGrid w:val="0"/>
                    <w:jc w:val="center"/>
                    <w:rPr>
                      <w:color w:val="auto"/>
                      <w:szCs w:val="21"/>
                    </w:rPr>
                  </w:pPr>
                  <w:r>
                    <w:rPr>
                      <w:rFonts w:hint="eastAsia"/>
                      <w:color w:val="auto"/>
                      <w:szCs w:val="21"/>
                    </w:rPr>
                    <w:t>2#活性炭吸附装置</w:t>
                  </w:r>
                </w:p>
              </w:tc>
              <w:tc>
                <w:tcPr>
                  <w:tcW w:w="2656" w:type="pct"/>
                  <w:tcBorders>
                    <w:tl2br w:val="nil"/>
                    <w:tr2bl w:val="nil"/>
                  </w:tcBorders>
                  <w:shd w:val="clear" w:color="auto" w:fill="auto"/>
                  <w:vAlign w:val="center"/>
                </w:tcPr>
                <w:p w14:paraId="4AEBA8C3">
                  <w:pPr>
                    <w:adjustRightInd w:val="0"/>
                    <w:snapToGrid w:val="0"/>
                    <w:jc w:val="center"/>
                    <w:rPr>
                      <w:rFonts w:ascii="Times New Roman" w:hAnsi="Times New Roman" w:eastAsia="宋体" w:cs="Times New Roman"/>
                      <w:color w:val="FF0000"/>
                      <w:kern w:val="2"/>
                      <w:sz w:val="21"/>
                      <w:szCs w:val="21"/>
                      <w:lang w:val="en-US" w:eastAsia="zh-CN" w:bidi="ar-SA"/>
                    </w:rPr>
                  </w:pPr>
                  <w:r>
                    <w:rPr>
                      <w:rFonts w:hint="eastAsia"/>
                      <w:color w:val="auto"/>
                      <w:szCs w:val="21"/>
                    </w:rPr>
                    <w:t>型式：卧式</w:t>
                  </w:r>
                </w:p>
              </w:tc>
              <w:tc>
                <w:tcPr>
                  <w:tcW w:w="426" w:type="pct"/>
                  <w:vMerge w:val="restart"/>
                  <w:tcBorders>
                    <w:tl2br w:val="nil"/>
                    <w:tr2bl w:val="nil"/>
                  </w:tcBorders>
                  <w:vAlign w:val="center"/>
                </w:tcPr>
                <w:p w14:paraId="411E3D93">
                  <w:pPr>
                    <w:adjustRightInd w:val="0"/>
                    <w:snapToGrid w:val="0"/>
                    <w:jc w:val="center"/>
                    <w:rPr>
                      <w:color w:val="auto"/>
                      <w:szCs w:val="21"/>
                    </w:rPr>
                  </w:pPr>
                  <w:r>
                    <w:rPr>
                      <w:rFonts w:hint="eastAsia"/>
                      <w:color w:val="auto"/>
                      <w:szCs w:val="21"/>
                    </w:rPr>
                    <w:t>1台</w:t>
                  </w:r>
                </w:p>
              </w:tc>
              <w:tc>
                <w:tcPr>
                  <w:tcW w:w="420" w:type="pct"/>
                  <w:vMerge w:val="restart"/>
                  <w:tcBorders>
                    <w:tl2br w:val="nil"/>
                    <w:tr2bl w:val="nil"/>
                  </w:tcBorders>
                  <w:vAlign w:val="center"/>
                </w:tcPr>
                <w:p w14:paraId="17954992">
                  <w:pPr>
                    <w:adjustRightInd w:val="0"/>
                    <w:snapToGrid w:val="0"/>
                    <w:jc w:val="center"/>
                    <w:rPr>
                      <w:color w:val="auto"/>
                      <w:szCs w:val="21"/>
                    </w:rPr>
                  </w:pPr>
                  <w:r>
                    <w:rPr>
                      <w:rFonts w:hint="eastAsia"/>
                      <w:color w:val="auto"/>
                      <w:szCs w:val="21"/>
                    </w:rPr>
                    <w:t>定制</w:t>
                  </w:r>
                </w:p>
              </w:tc>
            </w:tr>
            <w:tr w14:paraId="31644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82" w:type="pct"/>
                  <w:vMerge w:val="continue"/>
                  <w:tcBorders>
                    <w:tl2br w:val="nil"/>
                    <w:tr2bl w:val="nil"/>
                  </w:tcBorders>
                  <w:vAlign w:val="center"/>
                </w:tcPr>
                <w:p w14:paraId="31B83B35">
                  <w:pPr>
                    <w:adjustRightInd w:val="0"/>
                    <w:snapToGrid w:val="0"/>
                    <w:jc w:val="center"/>
                    <w:rPr>
                      <w:color w:val="FF0000"/>
                      <w:szCs w:val="21"/>
                    </w:rPr>
                  </w:pPr>
                </w:p>
              </w:tc>
              <w:tc>
                <w:tcPr>
                  <w:tcW w:w="814" w:type="pct"/>
                  <w:vMerge w:val="continue"/>
                  <w:tcBorders>
                    <w:tl2br w:val="nil"/>
                    <w:tr2bl w:val="nil"/>
                  </w:tcBorders>
                  <w:vAlign w:val="center"/>
                </w:tcPr>
                <w:p w14:paraId="41713EB1">
                  <w:pPr>
                    <w:adjustRightInd w:val="0"/>
                    <w:snapToGrid w:val="0"/>
                    <w:jc w:val="center"/>
                    <w:rPr>
                      <w:color w:val="FF0000"/>
                      <w:szCs w:val="21"/>
                    </w:rPr>
                  </w:pPr>
                </w:p>
              </w:tc>
              <w:tc>
                <w:tcPr>
                  <w:tcW w:w="2656" w:type="pct"/>
                  <w:tcBorders>
                    <w:tl2br w:val="nil"/>
                    <w:tr2bl w:val="nil"/>
                  </w:tcBorders>
                  <w:shd w:val="clear" w:color="auto" w:fill="auto"/>
                  <w:vAlign w:val="center"/>
                </w:tcPr>
                <w:p w14:paraId="509353B6">
                  <w:pPr>
                    <w:adjustRightInd w:val="0"/>
                    <w:snapToGrid w:val="0"/>
                    <w:jc w:val="center"/>
                    <w:rPr>
                      <w:rFonts w:ascii="Times New Roman" w:hAnsi="Times New Roman" w:eastAsia="宋体" w:cs="Times New Roman"/>
                      <w:color w:val="FF0000"/>
                      <w:kern w:val="2"/>
                      <w:sz w:val="21"/>
                      <w:szCs w:val="21"/>
                      <w:lang w:val="en-US" w:eastAsia="zh-CN" w:bidi="ar-SA"/>
                    </w:rPr>
                  </w:pPr>
                  <w:r>
                    <w:rPr>
                      <w:rFonts w:hint="eastAsia"/>
                      <w:color w:val="auto"/>
                      <w:szCs w:val="21"/>
                    </w:rPr>
                    <w:t>规格/mm：</w:t>
                  </w:r>
                  <w:r>
                    <w:rPr>
                      <w:rFonts w:hint="eastAsia"/>
                      <w:color w:val="auto"/>
                      <w:szCs w:val="21"/>
                      <w:lang w:val="en-US" w:eastAsia="zh-CN"/>
                    </w:rPr>
                    <w:t>110</w:t>
                  </w:r>
                  <w:r>
                    <w:rPr>
                      <w:rFonts w:hint="eastAsia"/>
                      <w:color w:val="auto"/>
                      <w:szCs w:val="21"/>
                    </w:rPr>
                    <w:t>0*</w:t>
                  </w:r>
                  <w:r>
                    <w:rPr>
                      <w:rFonts w:hint="eastAsia"/>
                      <w:color w:val="auto"/>
                      <w:szCs w:val="21"/>
                      <w:lang w:val="en-US" w:eastAsia="zh-CN"/>
                    </w:rPr>
                    <w:t>6</w:t>
                  </w:r>
                  <w:r>
                    <w:rPr>
                      <w:rFonts w:hint="eastAsia"/>
                      <w:color w:val="auto"/>
                      <w:szCs w:val="21"/>
                    </w:rPr>
                    <w:t>00*</w:t>
                  </w:r>
                  <w:r>
                    <w:rPr>
                      <w:rFonts w:hint="eastAsia"/>
                      <w:color w:val="auto"/>
                      <w:szCs w:val="21"/>
                      <w:lang w:val="en-US" w:eastAsia="zh-CN"/>
                    </w:rPr>
                    <w:t>110</w:t>
                  </w:r>
                  <w:r>
                    <w:rPr>
                      <w:rFonts w:hint="eastAsia"/>
                      <w:color w:val="auto"/>
                      <w:szCs w:val="21"/>
                    </w:rPr>
                    <w:t>0</w:t>
                  </w:r>
                </w:p>
              </w:tc>
              <w:tc>
                <w:tcPr>
                  <w:tcW w:w="426" w:type="pct"/>
                  <w:vMerge w:val="continue"/>
                  <w:tcBorders>
                    <w:tl2br w:val="nil"/>
                    <w:tr2bl w:val="nil"/>
                  </w:tcBorders>
                  <w:vAlign w:val="center"/>
                </w:tcPr>
                <w:p w14:paraId="0C54EE8F">
                  <w:pPr>
                    <w:adjustRightInd w:val="0"/>
                    <w:snapToGrid w:val="0"/>
                    <w:jc w:val="center"/>
                    <w:rPr>
                      <w:color w:val="FF0000"/>
                      <w:szCs w:val="21"/>
                    </w:rPr>
                  </w:pPr>
                </w:p>
              </w:tc>
              <w:tc>
                <w:tcPr>
                  <w:tcW w:w="420" w:type="pct"/>
                  <w:vMerge w:val="continue"/>
                  <w:tcBorders>
                    <w:tl2br w:val="nil"/>
                    <w:tr2bl w:val="nil"/>
                  </w:tcBorders>
                  <w:vAlign w:val="center"/>
                </w:tcPr>
                <w:p w14:paraId="3DC28B9E">
                  <w:pPr>
                    <w:adjustRightInd w:val="0"/>
                    <w:snapToGrid w:val="0"/>
                    <w:jc w:val="center"/>
                    <w:rPr>
                      <w:color w:val="FF0000"/>
                      <w:szCs w:val="21"/>
                    </w:rPr>
                  </w:pPr>
                </w:p>
              </w:tc>
            </w:tr>
            <w:tr w14:paraId="7072D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82" w:type="pct"/>
                  <w:vMerge w:val="continue"/>
                  <w:tcBorders>
                    <w:tl2br w:val="nil"/>
                    <w:tr2bl w:val="nil"/>
                  </w:tcBorders>
                  <w:vAlign w:val="center"/>
                </w:tcPr>
                <w:p w14:paraId="0B5B8D3F">
                  <w:pPr>
                    <w:adjustRightInd w:val="0"/>
                    <w:snapToGrid w:val="0"/>
                    <w:jc w:val="center"/>
                    <w:rPr>
                      <w:color w:val="FF0000"/>
                      <w:szCs w:val="21"/>
                    </w:rPr>
                  </w:pPr>
                </w:p>
              </w:tc>
              <w:tc>
                <w:tcPr>
                  <w:tcW w:w="814" w:type="pct"/>
                  <w:vMerge w:val="continue"/>
                  <w:tcBorders>
                    <w:tl2br w:val="nil"/>
                    <w:tr2bl w:val="nil"/>
                  </w:tcBorders>
                  <w:vAlign w:val="center"/>
                </w:tcPr>
                <w:p w14:paraId="115995E1">
                  <w:pPr>
                    <w:adjustRightInd w:val="0"/>
                    <w:snapToGrid w:val="0"/>
                    <w:jc w:val="center"/>
                    <w:rPr>
                      <w:color w:val="FF0000"/>
                      <w:szCs w:val="21"/>
                    </w:rPr>
                  </w:pPr>
                </w:p>
              </w:tc>
              <w:tc>
                <w:tcPr>
                  <w:tcW w:w="2656" w:type="pct"/>
                  <w:tcBorders>
                    <w:tl2br w:val="nil"/>
                    <w:tr2bl w:val="nil"/>
                  </w:tcBorders>
                  <w:shd w:val="clear" w:color="auto" w:fill="auto"/>
                  <w:vAlign w:val="center"/>
                </w:tcPr>
                <w:p w14:paraId="5660D506">
                  <w:pPr>
                    <w:adjustRightInd w:val="0"/>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活性炭种类：</w:t>
                  </w:r>
                  <w:r>
                    <w:rPr>
                      <w:rFonts w:hint="eastAsia"/>
                      <w:color w:val="auto"/>
                      <w:szCs w:val="21"/>
                      <w:lang w:val="en-US" w:eastAsia="zh-CN"/>
                    </w:rPr>
                    <w:t>蜂窝</w:t>
                  </w:r>
                  <w:r>
                    <w:rPr>
                      <w:rFonts w:hint="eastAsia"/>
                      <w:color w:val="auto"/>
                      <w:szCs w:val="21"/>
                    </w:rPr>
                    <w:t>活性炭</w:t>
                  </w:r>
                </w:p>
              </w:tc>
              <w:tc>
                <w:tcPr>
                  <w:tcW w:w="426" w:type="pct"/>
                  <w:vMerge w:val="continue"/>
                  <w:tcBorders>
                    <w:tl2br w:val="nil"/>
                    <w:tr2bl w:val="nil"/>
                  </w:tcBorders>
                  <w:vAlign w:val="center"/>
                </w:tcPr>
                <w:p w14:paraId="5BFBDE49">
                  <w:pPr>
                    <w:adjustRightInd w:val="0"/>
                    <w:snapToGrid w:val="0"/>
                    <w:jc w:val="center"/>
                    <w:rPr>
                      <w:color w:val="FF0000"/>
                      <w:szCs w:val="21"/>
                    </w:rPr>
                  </w:pPr>
                </w:p>
              </w:tc>
              <w:tc>
                <w:tcPr>
                  <w:tcW w:w="420" w:type="pct"/>
                  <w:vMerge w:val="continue"/>
                  <w:tcBorders>
                    <w:tl2br w:val="nil"/>
                    <w:tr2bl w:val="nil"/>
                  </w:tcBorders>
                  <w:vAlign w:val="center"/>
                </w:tcPr>
                <w:p w14:paraId="79925697">
                  <w:pPr>
                    <w:adjustRightInd w:val="0"/>
                    <w:snapToGrid w:val="0"/>
                    <w:jc w:val="center"/>
                    <w:rPr>
                      <w:color w:val="FF0000"/>
                      <w:szCs w:val="21"/>
                    </w:rPr>
                  </w:pPr>
                </w:p>
              </w:tc>
            </w:tr>
            <w:tr w14:paraId="04CD8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82" w:type="pct"/>
                  <w:vMerge w:val="continue"/>
                  <w:tcBorders>
                    <w:tl2br w:val="nil"/>
                    <w:tr2bl w:val="nil"/>
                  </w:tcBorders>
                  <w:vAlign w:val="center"/>
                </w:tcPr>
                <w:p w14:paraId="3A9A6FFE">
                  <w:pPr>
                    <w:adjustRightInd w:val="0"/>
                    <w:snapToGrid w:val="0"/>
                    <w:jc w:val="center"/>
                    <w:rPr>
                      <w:color w:val="FF0000"/>
                      <w:szCs w:val="21"/>
                    </w:rPr>
                  </w:pPr>
                </w:p>
              </w:tc>
              <w:tc>
                <w:tcPr>
                  <w:tcW w:w="814" w:type="pct"/>
                  <w:vMerge w:val="continue"/>
                  <w:tcBorders>
                    <w:tl2br w:val="nil"/>
                    <w:tr2bl w:val="nil"/>
                  </w:tcBorders>
                  <w:vAlign w:val="center"/>
                </w:tcPr>
                <w:p w14:paraId="78D13002">
                  <w:pPr>
                    <w:adjustRightInd w:val="0"/>
                    <w:snapToGrid w:val="0"/>
                    <w:jc w:val="center"/>
                    <w:rPr>
                      <w:color w:val="FF0000"/>
                      <w:szCs w:val="21"/>
                    </w:rPr>
                  </w:pPr>
                </w:p>
              </w:tc>
              <w:tc>
                <w:tcPr>
                  <w:tcW w:w="2656" w:type="pct"/>
                  <w:tcBorders>
                    <w:tl2br w:val="nil"/>
                    <w:tr2bl w:val="nil"/>
                  </w:tcBorders>
                  <w:shd w:val="clear" w:color="auto" w:fill="auto"/>
                  <w:vAlign w:val="center"/>
                </w:tcPr>
                <w:p w14:paraId="4A3AABFF">
                  <w:pPr>
                    <w:adjustRightInd w:val="0"/>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活性炭装填量：</w:t>
                  </w:r>
                  <w:r>
                    <w:rPr>
                      <w:rFonts w:hint="eastAsia"/>
                      <w:color w:val="auto"/>
                      <w:szCs w:val="21"/>
                      <w:lang w:val="en-US" w:eastAsia="zh-CN"/>
                    </w:rPr>
                    <w:t>100</w:t>
                  </w:r>
                  <w:r>
                    <w:rPr>
                      <w:rFonts w:hint="eastAsia"/>
                      <w:color w:val="auto"/>
                      <w:szCs w:val="21"/>
                    </w:rPr>
                    <w:t>kg</w:t>
                  </w:r>
                </w:p>
              </w:tc>
              <w:tc>
                <w:tcPr>
                  <w:tcW w:w="426" w:type="pct"/>
                  <w:vMerge w:val="continue"/>
                  <w:tcBorders>
                    <w:tl2br w:val="nil"/>
                    <w:tr2bl w:val="nil"/>
                  </w:tcBorders>
                  <w:vAlign w:val="center"/>
                </w:tcPr>
                <w:p w14:paraId="35AD97DA">
                  <w:pPr>
                    <w:adjustRightInd w:val="0"/>
                    <w:snapToGrid w:val="0"/>
                    <w:jc w:val="center"/>
                    <w:rPr>
                      <w:color w:val="FF0000"/>
                      <w:szCs w:val="21"/>
                    </w:rPr>
                  </w:pPr>
                </w:p>
              </w:tc>
              <w:tc>
                <w:tcPr>
                  <w:tcW w:w="420" w:type="pct"/>
                  <w:vMerge w:val="continue"/>
                  <w:tcBorders>
                    <w:tl2br w:val="nil"/>
                    <w:tr2bl w:val="nil"/>
                  </w:tcBorders>
                  <w:vAlign w:val="center"/>
                </w:tcPr>
                <w:p w14:paraId="6FA4FC08">
                  <w:pPr>
                    <w:adjustRightInd w:val="0"/>
                    <w:snapToGrid w:val="0"/>
                    <w:jc w:val="center"/>
                    <w:rPr>
                      <w:color w:val="FF0000"/>
                      <w:szCs w:val="21"/>
                    </w:rPr>
                  </w:pPr>
                </w:p>
              </w:tc>
            </w:tr>
            <w:tr w14:paraId="5AC0F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82" w:type="pct"/>
                  <w:vMerge w:val="continue"/>
                  <w:tcBorders>
                    <w:tl2br w:val="nil"/>
                    <w:tr2bl w:val="nil"/>
                  </w:tcBorders>
                  <w:vAlign w:val="center"/>
                </w:tcPr>
                <w:p w14:paraId="67EC4768">
                  <w:pPr>
                    <w:adjustRightInd w:val="0"/>
                    <w:snapToGrid w:val="0"/>
                    <w:jc w:val="center"/>
                    <w:rPr>
                      <w:color w:val="FF0000"/>
                      <w:szCs w:val="21"/>
                    </w:rPr>
                  </w:pPr>
                </w:p>
              </w:tc>
              <w:tc>
                <w:tcPr>
                  <w:tcW w:w="814" w:type="pct"/>
                  <w:vMerge w:val="continue"/>
                  <w:tcBorders>
                    <w:tl2br w:val="nil"/>
                    <w:tr2bl w:val="nil"/>
                  </w:tcBorders>
                  <w:vAlign w:val="center"/>
                </w:tcPr>
                <w:p w14:paraId="4F435A3B">
                  <w:pPr>
                    <w:adjustRightInd w:val="0"/>
                    <w:snapToGrid w:val="0"/>
                    <w:jc w:val="center"/>
                    <w:rPr>
                      <w:color w:val="FF0000"/>
                      <w:szCs w:val="21"/>
                    </w:rPr>
                  </w:pPr>
                </w:p>
              </w:tc>
              <w:tc>
                <w:tcPr>
                  <w:tcW w:w="2656" w:type="pct"/>
                  <w:tcBorders>
                    <w:tl2br w:val="nil"/>
                    <w:tr2bl w:val="nil"/>
                  </w:tcBorders>
                  <w:shd w:val="clear" w:color="auto" w:fill="auto"/>
                  <w:vAlign w:val="center"/>
                </w:tcPr>
                <w:p w14:paraId="75F0609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活性炭更换周期：1次/</w:t>
                  </w:r>
                  <w:r>
                    <w:rPr>
                      <w:rFonts w:hint="eastAsia"/>
                      <w:color w:val="auto"/>
                      <w:szCs w:val="21"/>
                      <w:lang w:val="en-US" w:eastAsia="zh-CN"/>
                    </w:rPr>
                    <w:t>90天</w:t>
                  </w:r>
                </w:p>
              </w:tc>
              <w:tc>
                <w:tcPr>
                  <w:tcW w:w="426" w:type="pct"/>
                  <w:vMerge w:val="continue"/>
                  <w:tcBorders>
                    <w:tl2br w:val="nil"/>
                    <w:tr2bl w:val="nil"/>
                  </w:tcBorders>
                  <w:vAlign w:val="center"/>
                </w:tcPr>
                <w:p w14:paraId="03E82D0D">
                  <w:pPr>
                    <w:adjustRightInd w:val="0"/>
                    <w:snapToGrid w:val="0"/>
                    <w:jc w:val="center"/>
                    <w:rPr>
                      <w:color w:val="FF0000"/>
                      <w:szCs w:val="21"/>
                    </w:rPr>
                  </w:pPr>
                </w:p>
              </w:tc>
              <w:tc>
                <w:tcPr>
                  <w:tcW w:w="420" w:type="pct"/>
                  <w:vMerge w:val="continue"/>
                  <w:tcBorders>
                    <w:tl2br w:val="nil"/>
                    <w:tr2bl w:val="nil"/>
                  </w:tcBorders>
                  <w:vAlign w:val="center"/>
                </w:tcPr>
                <w:p w14:paraId="2CBA2890">
                  <w:pPr>
                    <w:adjustRightInd w:val="0"/>
                    <w:snapToGrid w:val="0"/>
                    <w:jc w:val="center"/>
                    <w:rPr>
                      <w:color w:val="FF0000"/>
                      <w:szCs w:val="21"/>
                    </w:rPr>
                  </w:pPr>
                </w:p>
              </w:tc>
            </w:tr>
            <w:tr w14:paraId="13F8DB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82" w:type="pct"/>
                  <w:vMerge w:val="continue"/>
                  <w:tcBorders>
                    <w:tl2br w:val="nil"/>
                    <w:tr2bl w:val="nil"/>
                  </w:tcBorders>
                  <w:vAlign w:val="center"/>
                </w:tcPr>
                <w:p w14:paraId="5F8938C2">
                  <w:pPr>
                    <w:adjustRightInd w:val="0"/>
                    <w:snapToGrid w:val="0"/>
                    <w:jc w:val="center"/>
                    <w:rPr>
                      <w:color w:val="FF0000"/>
                      <w:szCs w:val="21"/>
                    </w:rPr>
                  </w:pPr>
                </w:p>
              </w:tc>
              <w:tc>
                <w:tcPr>
                  <w:tcW w:w="814" w:type="pct"/>
                  <w:vMerge w:val="continue"/>
                  <w:tcBorders>
                    <w:tl2br w:val="nil"/>
                    <w:tr2bl w:val="nil"/>
                  </w:tcBorders>
                  <w:vAlign w:val="center"/>
                </w:tcPr>
                <w:p w14:paraId="5F4EB2A6">
                  <w:pPr>
                    <w:adjustRightInd w:val="0"/>
                    <w:snapToGrid w:val="0"/>
                    <w:jc w:val="center"/>
                    <w:rPr>
                      <w:color w:val="FF0000"/>
                      <w:szCs w:val="21"/>
                    </w:rPr>
                  </w:pPr>
                </w:p>
              </w:tc>
              <w:tc>
                <w:tcPr>
                  <w:tcW w:w="2656" w:type="pct"/>
                  <w:tcBorders>
                    <w:tl2br w:val="nil"/>
                    <w:tr2bl w:val="nil"/>
                  </w:tcBorders>
                  <w:shd w:val="clear" w:color="auto" w:fill="auto"/>
                  <w:vAlign w:val="center"/>
                </w:tcPr>
                <w:p w14:paraId="3E6BE115">
                  <w:pPr>
                    <w:adjustRightInd w:val="0"/>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处理风量：</w:t>
                  </w:r>
                  <w:r>
                    <w:rPr>
                      <w:rFonts w:hint="eastAsia"/>
                      <w:color w:val="auto"/>
                      <w:szCs w:val="21"/>
                      <w:lang w:val="en-US" w:eastAsia="zh-CN"/>
                    </w:rPr>
                    <w:t>40</w:t>
                  </w:r>
                  <w:r>
                    <w:rPr>
                      <w:rFonts w:hint="eastAsia"/>
                      <w:color w:val="auto"/>
                      <w:szCs w:val="21"/>
                    </w:rPr>
                    <w:t>00m</w:t>
                  </w:r>
                  <w:r>
                    <w:rPr>
                      <w:rFonts w:hint="eastAsia"/>
                      <w:color w:val="auto"/>
                      <w:szCs w:val="21"/>
                      <w:vertAlign w:val="superscript"/>
                    </w:rPr>
                    <w:t>3</w:t>
                  </w:r>
                  <w:r>
                    <w:rPr>
                      <w:rFonts w:hint="eastAsia"/>
                      <w:color w:val="auto"/>
                      <w:szCs w:val="21"/>
                    </w:rPr>
                    <w:t>/h</w:t>
                  </w:r>
                </w:p>
              </w:tc>
              <w:tc>
                <w:tcPr>
                  <w:tcW w:w="426" w:type="pct"/>
                  <w:vMerge w:val="continue"/>
                  <w:tcBorders>
                    <w:tl2br w:val="nil"/>
                    <w:tr2bl w:val="nil"/>
                  </w:tcBorders>
                  <w:vAlign w:val="center"/>
                </w:tcPr>
                <w:p w14:paraId="69EFCED7">
                  <w:pPr>
                    <w:adjustRightInd w:val="0"/>
                    <w:snapToGrid w:val="0"/>
                    <w:jc w:val="center"/>
                    <w:rPr>
                      <w:color w:val="FF0000"/>
                      <w:szCs w:val="21"/>
                    </w:rPr>
                  </w:pPr>
                </w:p>
              </w:tc>
              <w:tc>
                <w:tcPr>
                  <w:tcW w:w="420" w:type="pct"/>
                  <w:vMerge w:val="continue"/>
                  <w:tcBorders>
                    <w:tl2br w:val="nil"/>
                    <w:tr2bl w:val="nil"/>
                  </w:tcBorders>
                  <w:vAlign w:val="center"/>
                </w:tcPr>
                <w:p w14:paraId="4DE7FDE3">
                  <w:pPr>
                    <w:adjustRightInd w:val="0"/>
                    <w:snapToGrid w:val="0"/>
                    <w:jc w:val="center"/>
                    <w:rPr>
                      <w:color w:val="FF0000"/>
                      <w:szCs w:val="21"/>
                    </w:rPr>
                  </w:pPr>
                </w:p>
              </w:tc>
            </w:tr>
            <w:tr w14:paraId="7D03B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82" w:type="pct"/>
                  <w:vMerge w:val="continue"/>
                  <w:tcBorders>
                    <w:tl2br w:val="nil"/>
                    <w:tr2bl w:val="nil"/>
                  </w:tcBorders>
                  <w:vAlign w:val="center"/>
                </w:tcPr>
                <w:p w14:paraId="094C5195">
                  <w:pPr>
                    <w:adjustRightInd w:val="0"/>
                    <w:snapToGrid w:val="0"/>
                    <w:jc w:val="center"/>
                    <w:rPr>
                      <w:color w:val="FF0000"/>
                      <w:szCs w:val="21"/>
                    </w:rPr>
                  </w:pPr>
                </w:p>
              </w:tc>
              <w:tc>
                <w:tcPr>
                  <w:tcW w:w="814" w:type="pct"/>
                  <w:vMerge w:val="continue"/>
                  <w:tcBorders>
                    <w:tl2br w:val="nil"/>
                    <w:tr2bl w:val="nil"/>
                  </w:tcBorders>
                  <w:vAlign w:val="center"/>
                </w:tcPr>
                <w:p w14:paraId="3C7C1F58">
                  <w:pPr>
                    <w:adjustRightInd w:val="0"/>
                    <w:snapToGrid w:val="0"/>
                    <w:jc w:val="center"/>
                    <w:rPr>
                      <w:color w:val="FF0000"/>
                      <w:szCs w:val="21"/>
                    </w:rPr>
                  </w:pPr>
                </w:p>
              </w:tc>
              <w:tc>
                <w:tcPr>
                  <w:tcW w:w="2656" w:type="pct"/>
                  <w:tcBorders>
                    <w:tl2br w:val="nil"/>
                    <w:tr2bl w:val="nil"/>
                  </w:tcBorders>
                  <w:shd w:val="clear" w:color="auto" w:fill="auto"/>
                  <w:vAlign w:val="center"/>
                </w:tcPr>
                <w:p w14:paraId="7F94BAB7">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停留时间：1s</w:t>
                  </w:r>
                </w:p>
              </w:tc>
              <w:tc>
                <w:tcPr>
                  <w:tcW w:w="426" w:type="pct"/>
                  <w:vMerge w:val="continue"/>
                  <w:tcBorders>
                    <w:tl2br w:val="nil"/>
                    <w:tr2bl w:val="nil"/>
                  </w:tcBorders>
                  <w:vAlign w:val="center"/>
                </w:tcPr>
                <w:p w14:paraId="20233572">
                  <w:pPr>
                    <w:adjustRightInd w:val="0"/>
                    <w:snapToGrid w:val="0"/>
                    <w:jc w:val="center"/>
                    <w:rPr>
                      <w:color w:val="FF0000"/>
                      <w:szCs w:val="21"/>
                    </w:rPr>
                  </w:pPr>
                </w:p>
              </w:tc>
              <w:tc>
                <w:tcPr>
                  <w:tcW w:w="420" w:type="pct"/>
                  <w:vMerge w:val="continue"/>
                  <w:tcBorders>
                    <w:tl2br w:val="nil"/>
                    <w:tr2bl w:val="nil"/>
                  </w:tcBorders>
                  <w:vAlign w:val="center"/>
                </w:tcPr>
                <w:p w14:paraId="63F918F5">
                  <w:pPr>
                    <w:adjustRightInd w:val="0"/>
                    <w:snapToGrid w:val="0"/>
                    <w:jc w:val="center"/>
                    <w:rPr>
                      <w:color w:val="FF0000"/>
                      <w:szCs w:val="21"/>
                    </w:rPr>
                  </w:pPr>
                </w:p>
              </w:tc>
            </w:tr>
            <w:tr w14:paraId="6E317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82" w:type="pct"/>
                  <w:vMerge w:val="continue"/>
                  <w:tcBorders>
                    <w:tl2br w:val="nil"/>
                    <w:tr2bl w:val="nil"/>
                  </w:tcBorders>
                  <w:vAlign w:val="center"/>
                </w:tcPr>
                <w:p w14:paraId="7067A57C">
                  <w:pPr>
                    <w:adjustRightInd w:val="0"/>
                    <w:snapToGrid w:val="0"/>
                    <w:jc w:val="center"/>
                    <w:rPr>
                      <w:color w:val="FF0000"/>
                      <w:szCs w:val="21"/>
                    </w:rPr>
                  </w:pPr>
                </w:p>
              </w:tc>
              <w:tc>
                <w:tcPr>
                  <w:tcW w:w="814" w:type="pct"/>
                  <w:vMerge w:val="continue"/>
                  <w:tcBorders>
                    <w:tl2br w:val="nil"/>
                    <w:tr2bl w:val="nil"/>
                  </w:tcBorders>
                  <w:vAlign w:val="center"/>
                </w:tcPr>
                <w:p w14:paraId="142CC2CA">
                  <w:pPr>
                    <w:adjustRightInd w:val="0"/>
                    <w:snapToGrid w:val="0"/>
                    <w:jc w:val="center"/>
                    <w:rPr>
                      <w:color w:val="FF0000"/>
                      <w:szCs w:val="21"/>
                    </w:rPr>
                  </w:pPr>
                </w:p>
              </w:tc>
              <w:tc>
                <w:tcPr>
                  <w:tcW w:w="2656" w:type="pct"/>
                  <w:tcBorders>
                    <w:tl2br w:val="nil"/>
                    <w:tr2bl w:val="nil"/>
                  </w:tcBorders>
                  <w:shd w:val="clear" w:color="auto" w:fill="auto"/>
                  <w:vAlign w:val="center"/>
                </w:tcPr>
                <w:p w14:paraId="221D8B44">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进口温度：</w:t>
                  </w:r>
                  <w:r>
                    <w:rPr>
                      <w:rFonts w:hint="eastAsia"/>
                      <w:color w:val="auto"/>
                      <w:szCs w:val="21"/>
                      <w:lang w:val="en-US" w:eastAsia="zh-CN"/>
                    </w:rPr>
                    <w:t>30</w:t>
                  </w:r>
                  <w:r>
                    <w:rPr>
                      <w:rFonts w:hint="default" w:ascii="Times New Roman" w:hAnsi="Times New Roman" w:cs="Times New Roman"/>
                      <w:color w:val="auto"/>
                      <w:szCs w:val="21"/>
                      <w:lang w:eastAsia="zh-CN"/>
                    </w:rPr>
                    <w:t>℃</w:t>
                  </w:r>
                </w:p>
              </w:tc>
              <w:tc>
                <w:tcPr>
                  <w:tcW w:w="426" w:type="pct"/>
                  <w:vMerge w:val="continue"/>
                  <w:tcBorders>
                    <w:tl2br w:val="nil"/>
                    <w:tr2bl w:val="nil"/>
                  </w:tcBorders>
                  <w:vAlign w:val="center"/>
                </w:tcPr>
                <w:p w14:paraId="7C1FE64A">
                  <w:pPr>
                    <w:adjustRightInd w:val="0"/>
                    <w:snapToGrid w:val="0"/>
                    <w:jc w:val="center"/>
                    <w:rPr>
                      <w:color w:val="FF0000"/>
                      <w:szCs w:val="21"/>
                    </w:rPr>
                  </w:pPr>
                </w:p>
              </w:tc>
              <w:tc>
                <w:tcPr>
                  <w:tcW w:w="420" w:type="pct"/>
                  <w:vMerge w:val="continue"/>
                  <w:tcBorders>
                    <w:tl2br w:val="nil"/>
                    <w:tr2bl w:val="nil"/>
                  </w:tcBorders>
                  <w:vAlign w:val="center"/>
                </w:tcPr>
                <w:p w14:paraId="5C041631">
                  <w:pPr>
                    <w:adjustRightInd w:val="0"/>
                    <w:snapToGrid w:val="0"/>
                    <w:jc w:val="center"/>
                    <w:rPr>
                      <w:color w:val="FF0000"/>
                      <w:szCs w:val="21"/>
                    </w:rPr>
                  </w:pPr>
                </w:p>
              </w:tc>
            </w:tr>
          </w:tbl>
          <w:p w14:paraId="59C92000">
            <w:pPr>
              <w:ind w:left="420" w:leftChars="200"/>
              <w:rPr>
                <w:b/>
                <w:bCs/>
                <w:color w:val="FF0000"/>
                <w:sz w:val="10"/>
                <w:szCs w:val="10"/>
              </w:rPr>
            </w:pPr>
          </w:p>
          <w:p w14:paraId="572A8B78">
            <w:pPr>
              <w:widowControl/>
              <w:spacing w:line="360" w:lineRule="auto"/>
              <w:ind w:firstLine="480" w:firstLineChars="200"/>
              <w:rPr>
                <w:rFonts w:hint="eastAsia" w:ascii="宋体" w:hAnsi="宋体" w:eastAsia="宋体"/>
                <w:b/>
                <w:bCs/>
                <w:color w:val="auto"/>
                <w:sz w:val="24"/>
                <w:szCs w:val="24"/>
                <w:lang w:eastAsia="zh-CN"/>
              </w:rPr>
            </w:pPr>
            <w:r>
              <w:rPr>
                <w:rFonts w:hint="eastAsia"/>
                <w:color w:val="auto"/>
                <w:sz w:val="24"/>
                <w:szCs w:val="24"/>
                <w:lang w:val="en-US" w:eastAsia="zh-CN"/>
              </w:rPr>
              <w:t>废气处理设施</w:t>
            </w:r>
            <w:r>
              <w:rPr>
                <w:rFonts w:hint="eastAsia"/>
                <w:color w:val="auto"/>
                <w:sz w:val="24"/>
                <w:szCs w:val="24"/>
              </w:rPr>
              <w:t>与《省生态环境厅关于深入开展涉VOCs治理重点工作核查的通知》（苏环办〔2022〕218号）相符性分析</w:t>
            </w:r>
            <w:r>
              <w:rPr>
                <w:rFonts w:hint="eastAsia"/>
                <w:color w:val="auto"/>
                <w:sz w:val="24"/>
                <w:szCs w:val="24"/>
                <w:lang w:eastAsia="zh-CN"/>
              </w:rPr>
              <w:t>：</w:t>
            </w:r>
          </w:p>
          <w:p w14:paraId="0B081437">
            <w:pPr>
              <w:widowControl/>
              <w:spacing w:line="360" w:lineRule="auto"/>
              <w:jc w:val="center"/>
              <w:rPr>
                <w:rFonts w:ascii="宋体" w:hAnsi="宋体"/>
                <w:b/>
                <w:bCs/>
                <w:color w:val="auto"/>
                <w:sz w:val="24"/>
                <w:szCs w:val="24"/>
              </w:rPr>
            </w:pPr>
          </w:p>
          <w:p w14:paraId="32ED98F2">
            <w:pPr>
              <w:widowControl/>
              <w:spacing w:line="360" w:lineRule="auto"/>
              <w:jc w:val="center"/>
              <w:rPr>
                <w:rFonts w:ascii="宋体" w:hAnsi="宋体"/>
                <w:b/>
                <w:bCs/>
                <w:color w:val="auto"/>
                <w:sz w:val="24"/>
                <w:szCs w:val="24"/>
              </w:rPr>
            </w:pPr>
          </w:p>
          <w:p w14:paraId="6349B343">
            <w:pPr>
              <w:widowControl/>
              <w:spacing w:line="360" w:lineRule="auto"/>
              <w:jc w:val="center"/>
              <w:rPr>
                <w:rFonts w:ascii="宋体" w:hAnsi="宋体"/>
                <w:b/>
                <w:bCs/>
                <w:color w:val="auto"/>
                <w:sz w:val="24"/>
                <w:szCs w:val="24"/>
              </w:rPr>
            </w:pPr>
          </w:p>
          <w:p w14:paraId="59475768">
            <w:pPr>
              <w:widowControl/>
              <w:spacing w:line="360" w:lineRule="auto"/>
              <w:jc w:val="center"/>
              <w:rPr>
                <w:b/>
                <w:bCs/>
                <w:color w:val="auto"/>
              </w:rPr>
            </w:pPr>
            <w:r>
              <w:rPr>
                <w:rFonts w:ascii="宋体" w:hAnsi="宋体"/>
                <w:b/>
                <w:bCs/>
                <w:color w:val="auto"/>
                <w:sz w:val="24"/>
                <w:szCs w:val="24"/>
              </w:rPr>
              <w:t>表</w:t>
            </w:r>
            <w:r>
              <w:rPr>
                <w:rFonts w:hint="eastAsia"/>
                <w:b/>
                <w:bCs/>
                <w:color w:val="auto"/>
                <w:sz w:val="24"/>
                <w:szCs w:val="24"/>
                <w:lang w:val="en-US" w:eastAsia="zh-CN"/>
              </w:rPr>
              <w:t>4-8</w:t>
            </w:r>
            <w:r>
              <w:rPr>
                <w:rFonts w:hint="eastAsia" w:ascii="宋体" w:hAnsi="宋体"/>
                <w:b/>
                <w:bCs/>
                <w:color w:val="auto"/>
                <w:sz w:val="24"/>
                <w:szCs w:val="24"/>
              </w:rPr>
              <w:t>与苏环办〔</w:t>
            </w:r>
            <w:r>
              <w:rPr>
                <w:rFonts w:hint="eastAsia"/>
                <w:b/>
                <w:bCs/>
                <w:color w:val="auto"/>
                <w:sz w:val="24"/>
                <w:szCs w:val="24"/>
              </w:rPr>
              <w:t>2022</w:t>
            </w:r>
            <w:r>
              <w:rPr>
                <w:rFonts w:hint="eastAsia" w:ascii="宋体" w:hAnsi="宋体"/>
                <w:b/>
                <w:bCs/>
                <w:color w:val="auto"/>
                <w:sz w:val="24"/>
                <w:szCs w:val="24"/>
              </w:rPr>
              <w:t>〕</w:t>
            </w:r>
            <w:r>
              <w:rPr>
                <w:rFonts w:hint="eastAsia"/>
                <w:b/>
                <w:bCs/>
                <w:color w:val="auto"/>
                <w:sz w:val="24"/>
                <w:szCs w:val="24"/>
              </w:rPr>
              <w:t>218</w:t>
            </w:r>
            <w:r>
              <w:rPr>
                <w:rFonts w:hint="eastAsia" w:ascii="宋体" w:hAnsi="宋体"/>
                <w:b/>
                <w:bCs/>
                <w:color w:val="auto"/>
                <w:sz w:val="24"/>
                <w:szCs w:val="24"/>
              </w:rPr>
              <w:t>号文相符性对照表</w:t>
            </w:r>
          </w:p>
          <w:tbl>
            <w:tblPr>
              <w:tblStyle w:val="36"/>
              <w:tblW w:w="78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7"/>
              <w:gridCol w:w="832"/>
              <w:gridCol w:w="3300"/>
              <w:gridCol w:w="2591"/>
              <w:gridCol w:w="678"/>
            </w:tblGrid>
            <w:tr w14:paraId="26CFC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 w:type="pct"/>
                  <w:tcBorders>
                    <w:top w:val="single" w:color="auto" w:sz="12" w:space="0"/>
                    <w:left w:val="single" w:color="auto" w:sz="12" w:space="0"/>
                    <w:bottom w:val="single" w:color="auto" w:sz="4" w:space="0"/>
                    <w:right w:val="single" w:color="auto" w:sz="4" w:space="0"/>
                  </w:tcBorders>
                  <w:vAlign w:val="center"/>
                </w:tcPr>
                <w:p w14:paraId="68022630">
                  <w:pPr>
                    <w:widowControl/>
                    <w:snapToGrid w:val="0"/>
                    <w:jc w:val="center"/>
                    <w:rPr>
                      <w:b/>
                      <w:bCs/>
                      <w:color w:val="auto"/>
                      <w:szCs w:val="21"/>
                    </w:rPr>
                  </w:pPr>
                  <w:r>
                    <w:rPr>
                      <w:rFonts w:hint="eastAsia"/>
                      <w:b/>
                      <w:bCs/>
                      <w:color w:val="auto"/>
                      <w:szCs w:val="21"/>
                    </w:rPr>
                    <w:t>序号</w:t>
                  </w:r>
                </w:p>
              </w:tc>
              <w:tc>
                <w:tcPr>
                  <w:tcW w:w="2642" w:type="pct"/>
                  <w:gridSpan w:val="2"/>
                  <w:tcBorders>
                    <w:top w:val="single" w:color="auto" w:sz="12" w:space="0"/>
                    <w:left w:val="single" w:color="auto" w:sz="4" w:space="0"/>
                    <w:bottom w:val="single" w:color="auto" w:sz="4" w:space="0"/>
                    <w:right w:val="single" w:color="auto" w:sz="4" w:space="0"/>
                  </w:tcBorders>
                  <w:vAlign w:val="center"/>
                </w:tcPr>
                <w:p w14:paraId="5DB47C26">
                  <w:pPr>
                    <w:autoSpaceDE w:val="0"/>
                    <w:autoSpaceDN w:val="0"/>
                    <w:adjustRightInd w:val="0"/>
                    <w:snapToGrid w:val="0"/>
                    <w:jc w:val="center"/>
                    <w:rPr>
                      <w:b/>
                      <w:bCs/>
                      <w:color w:val="auto"/>
                      <w:kern w:val="0"/>
                      <w:szCs w:val="21"/>
                    </w:rPr>
                  </w:pPr>
                  <w:r>
                    <w:rPr>
                      <w:rFonts w:hint="eastAsia"/>
                      <w:b/>
                      <w:bCs/>
                      <w:color w:val="auto"/>
                      <w:kern w:val="0"/>
                      <w:szCs w:val="21"/>
                    </w:rPr>
                    <w:t>基本要求</w:t>
                  </w:r>
                </w:p>
              </w:tc>
              <w:tc>
                <w:tcPr>
                  <w:tcW w:w="1657" w:type="pct"/>
                  <w:tcBorders>
                    <w:top w:val="single" w:color="auto" w:sz="12" w:space="0"/>
                    <w:left w:val="single" w:color="auto" w:sz="4" w:space="0"/>
                    <w:bottom w:val="single" w:color="auto" w:sz="4" w:space="0"/>
                    <w:right w:val="single" w:color="auto" w:sz="4" w:space="0"/>
                  </w:tcBorders>
                  <w:vAlign w:val="center"/>
                </w:tcPr>
                <w:p w14:paraId="4D2A5C45">
                  <w:pPr>
                    <w:autoSpaceDE w:val="0"/>
                    <w:autoSpaceDN w:val="0"/>
                    <w:adjustRightInd w:val="0"/>
                    <w:snapToGrid w:val="0"/>
                    <w:jc w:val="center"/>
                    <w:rPr>
                      <w:b/>
                      <w:bCs/>
                      <w:color w:val="auto"/>
                      <w:kern w:val="0"/>
                      <w:szCs w:val="21"/>
                    </w:rPr>
                  </w:pPr>
                  <w:r>
                    <w:rPr>
                      <w:rFonts w:hint="eastAsia"/>
                      <w:b/>
                      <w:bCs/>
                      <w:color w:val="auto"/>
                      <w:kern w:val="0"/>
                      <w:szCs w:val="21"/>
                    </w:rPr>
                    <w:t>相符性分析</w:t>
                  </w:r>
                </w:p>
              </w:tc>
              <w:tc>
                <w:tcPr>
                  <w:tcW w:w="433" w:type="pct"/>
                  <w:tcBorders>
                    <w:top w:val="single" w:color="auto" w:sz="12" w:space="0"/>
                    <w:left w:val="single" w:color="auto" w:sz="4" w:space="0"/>
                    <w:bottom w:val="single" w:color="auto" w:sz="4" w:space="0"/>
                    <w:right w:val="single" w:color="auto" w:sz="12" w:space="0"/>
                  </w:tcBorders>
                  <w:vAlign w:val="center"/>
                </w:tcPr>
                <w:p w14:paraId="266D3283">
                  <w:pPr>
                    <w:autoSpaceDE w:val="0"/>
                    <w:autoSpaceDN w:val="0"/>
                    <w:adjustRightInd w:val="0"/>
                    <w:snapToGrid w:val="0"/>
                    <w:jc w:val="center"/>
                    <w:rPr>
                      <w:b/>
                      <w:bCs/>
                      <w:color w:val="auto"/>
                      <w:kern w:val="0"/>
                      <w:szCs w:val="21"/>
                    </w:rPr>
                  </w:pPr>
                  <w:r>
                    <w:rPr>
                      <w:rFonts w:hint="eastAsia" w:ascii="宋体" w:hAnsi="宋体"/>
                      <w:b/>
                      <w:bCs/>
                      <w:color w:val="auto"/>
                      <w:szCs w:val="21"/>
                    </w:rPr>
                    <w:t>是否相符</w:t>
                  </w:r>
                </w:p>
              </w:tc>
            </w:tr>
            <w:tr w14:paraId="307A0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266" w:type="pct"/>
                  <w:tcBorders>
                    <w:top w:val="single" w:color="auto" w:sz="4" w:space="0"/>
                    <w:left w:val="single" w:color="auto" w:sz="12" w:space="0"/>
                    <w:bottom w:val="single" w:color="auto" w:sz="4" w:space="0"/>
                    <w:right w:val="single" w:color="auto" w:sz="4" w:space="0"/>
                  </w:tcBorders>
                  <w:vAlign w:val="center"/>
                </w:tcPr>
                <w:p w14:paraId="1D7DF6A2">
                  <w:pPr>
                    <w:widowControl/>
                    <w:snapToGrid w:val="0"/>
                    <w:jc w:val="center"/>
                    <w:rPr>
                      <w:color w:val="auto"/>
                      <w:szCs w:val="21"/>
                    </w:rPr>
                  </w:pPr>
                  <w:r>
                    <w:rPr>
                      <w:rFonts w:hint="eastAsia"/>
                      <w:color w:val="auto"/>
                      <w:szCs w:val="21"/>
                    </w:rPr>
                    <w:t>1</w:t>
                  </w:r>
                </w:p>
              </w:tc>
              <w:tc>
                <w:tcPr>
                  <w:tcW w:w="532" w:type="pct"/>
                  <w:tcBorders>
                    <w:top w:val="single" w:color="auto" w:sz="4" w:space="0"/>
                    <w:left w:val="single" w:color="auto" w:sz="4" w:space="0"/>
                    <w:bottom w:val="single" w:color="auto" w:sz="4" w:space="0"/>
                    <w:right w:val="single" w:color="auto" w:sz="4" w:space="0"/>
                  </w:tcBorders>
                  <w:vAlign w:val="center"/>
                </w:tcPr>
                <w:p w14:paraId="3BD572A5">
                  <w:pPr>
                    <w:widowControl/>
                    <w:snapToGrid w:val="0"/>
                    <w:jc w:val="center"/>
                    <w:rPr>
                      <w:color w:val="auto"/>
                      <w:szCs w:val="21"/>
                    </w:rPr>
                  </w:pPr>
                  <w:r>
                    <w:rPr>
                      <w:rFonts w:hint="eastAsia"/>
                      <w:color w:val="auto"/>
                      <w:szCs w:val="21"/>
                    </w:rPr>
                    <w:t>一、设计风量</w:t>
                  </w:r>
                </w:p>
              </w:tc>
              <w:tc>
                <w:tcPr>
                  <w:tcW w:w="2110" w:type="pct"/>
                  <w:tcBorders>
                    <w:top w:val="single" w:color="auto" w:sz="4" w:space="0"/>
                    <w:left w:val="single" w:color="auto" w:sz="4" w:space="0"/>
                    <w:bottom w:val="single" w:color="auto" w:sz="4" w:space="0"/>
                    <w:right w:val="single" w:color="auto" w:sz="4" w:space="0"/>
                  </w:tcBorders>
                  <w:vAlign w:val="center"/>
                </w:tcPr>
                <w:p w14:paraId="27D50461">
                  <w:pPr>
                    <w:widowControl/>
                    <w:snapToGrid w:val="0"/>
                    <w:jc w:val="center"/>
                    <w:rPr>
                      <w:color w:val="auto"/>
                      <w:szCs w:val="21"/>
                    </w:rPr>
                  </w:pPr>
                  <w:r>
                    <w:rPr>
                      <w:rFonts w:hint="eastAsia"/>
                      <w:color w:val="auto"/>
                      <w:szCs w:val="21"/>
                    </w:rPr>
                    <w:t>涉VOCs</w:t>
                  </w:r>
                  <w:r>
                    <w:rPr>
                      <w:rFonts w:hint="eastAsia" w:ascii="宋体" w:hAnsi="宋体"/>
                      <w:color w:val="auto"/>
                      <w:szCs w:val="21"/>
                    </w:rPr>
                    <w:t>排放工序应在密闭空间中操作或采用全密闭集气罩收集，无法密闭采用局部集气罩的，应根据废气排放特点合理选择收集点位，按《排风罩的分类和技术条件》（</w:t>
                  </w:r>
                  <w:r>
                    <w:rPr>
                      <w:rFonts w:hint="eastAsia"/>
                      <w:color w:val="auto"/>
                      <w:szCs w:val="21"/>
                    </w:rPr>
                    <w:t>GB/T16758</w:t>
                  </w:r>
                  <w:r>
                    <w:rPr>
                      <w:rFonts w:hint="eastAsia" w:ascii="宋体" w:hAnsi="宋体"/>
                      <w:color w:val="auto"/>
                      <w:szCs w:val="21"/>
                    </w:rPr>
                    <w:t>）规定，设置能有效收集废气的集气罩，距集气罩开口面最远处的</w:t>
                  </w:r>
                  <w:r>
                    <w:rPr>
                      <w:rFonts w:hint="eastAsia"/>
                      <w:color w:val="auto"/>
                      <w:szCs w:val="21"/>
                    </w:rPr>
                    <w:t>VOCs</w:t>
                  </w:r>
                  <w:r>
                    <w:rPr>
                      <w:rFonts w:hint="eastAsia" w:ascii="宋体" w:hAnsi="宋体"/>
                      <w:color w:val="auto"/>
                      <w:szCs w:val="21"/>
                    </w:rPr>
                    <w:t>无组织排放位置，控制风速不低于</w:t>
                  </w:r>
                  <w:r>
                    <w:rPr>
                      <w:rFonts w:hint="eastAsia"/>
                      <w:color w:val="auto"/>
                      <w:szCs w:val="21"/>
                    </w:rPr>
                    <w:t>0.3</w:t>
                  </w:r>
                  <w:r>
                    <w:rPr>
                      <w:rFonts w:hint="eastAsia" w:ascii="宋体" w:hAnsi="宋体"/>
                      <w:color w:val="auto"/>
                      <w:szCs w:val="21"/>
                    </w:rPr>
                    <w:t>米</w:t>
                  </w:r>
                  <w:r>
                    <w:rPr>
                      <w:rFonts w:hint="eastAsia"/>
                      <w:color w:val="auto"/>
                      <w:szCs w:val="21"/>
                    </w:rPr>
                    <w:t>/</w:t>
                  </w:r>
                  <w:r>
                    <w:rPr>
                      <w:rFonts w:hint="eastAsia" w:ascii="宋体" w:hAnsi="宋体"/>
                      <w:color w:val="auto"/>
                      <w:szCs w:val="21"/>
                    </w:rPr>
                    <w:t>秒。</w:t>
                  </w:r>
                </w:p>
              </w:tc>
              <w:tc>
                <w:tcPr>
                  <w:tcW w:w="1657" w:type="pct"/>
                  <w:tcBorders>
                    <w:top w:val="single" w:color="auto" w:sz="4" w:space="0"/>
                    <w:left w:val="single" w:color="auto" w:sz="4" w:space="0"/>
                    <w:bottom w:val="single" w:color="auto" w:sz="4" w:space="0"/>
                    <w:right w:val="single" w:color="auto" w:sz="4" w:space="0"/>
                  </w:tcBorders>
                  <w:vAlign w:val="center"/>
                </w:tcPr>
                <w:p w14:paraId="481A5A19">
                  <w:pPr>
                    <w:widowControl/>
                    <w:snapToGrid w:val="0"/>
                    <w:jc w:val="center"/>
                    <w:rPr>
                      <w:color w:val="auto"/>
                      <w:szCs w:val="21"/>
                    </w:rPr>
                  </w:pPr>
                  <w:r>
                    <w:rPr>
                      <w:rFonts w:hint="eastAsia"/>
                      <w:color w:val="auto"/>
                      <w:szCs w:val="21"/>
                      <w:lang w:val="en-US" w:eastAsia="zh-CN"/>
                    </w:rPr>
                    <w:t>本项目涉VOCs排放的发泡机、擦拭工台</w:t>
                  </w:r>
                  <w:r>
                    <w:rPr>
                      <w:rFonts w:hint="eastAsia" w:ascii="宋体" w:hAnsi="宋体"/>
                      <w:color w:val="auto"/>
                      <w:szCs w:val="21"/>
                      <w:lang w:val="en-US" w:eastAsia="zh-CN"/>
                    </w:rPr>
                    <w:t>通过设备</w:t>
                  </w:r>
                  <w:r>
                    <w:rPr>
                      <w:rFonts w:hint="eastAsia"/>
                      <w:color w:val="auto"/>
                      <w:szCs w:val="21"/>
                      <w:lang w:val="en-US" w:eastAsia="zh-CN"/>
                    </w:rPr>
                    <w:t>顶部的风管收集。</w:t>
                  </w:r>
                </w:p>
              </w:tc>
              <w:tc>
                <w:tcPr>
                  <w:tcW w:w="433" w:type="pct"/>
                  <w:tcBorders>
                    <w:top w:val="single" w:color="auto" w:sz="4" w:space="0"/>
                    <w:left w:val="single" w:color="auto" w:sz="4" w:space="0"/>
                    <w:bottom w:val="single" w:color="auto" w:sz="4" w:space="0"/>
                    <w:right w:val="single" w:color="auto" w:sz="12" w:space="0"/>
                  </w:tcBorders>
                  <w:vAlign w:val="center"/>
                </w:tcPr>
                <w:p w14:paraId="6BE82F51">
                  <w:pPr>
                    <w:widowControl/>
                    <w:snapToGrid w:val="0"/>
                    <w:jc w:val="center"/>
                    <w:rPr>
                      <w:color w:val="auto"/>
                      <w:szCs w:val="21"/>
                    </w:rPr>
                  </w:pPr>
                  <w:r>
                    <w:rPr>
                      <w:rFonts w:hint="eastAsia"/>
                      <w:color w:val="auto"/>
                      <w:szCs w:val="21"/>
                    </w:rPr>
                    <w:t>是</w:t>
                  </w:r>
                </w:p>
              </w:tc>
            </w:tr>
            <w:tr w14:paraId="103C7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266" w:type="pct"/>
                  <w:tcBorders>
                    <w:top w:val="single" w:color="auto" w:sz="4" w:space="0"/>
                    <w:left w:val="single" w:color="auto" w:sz="12" w:space="0"/>
                    <w:bottom w:val="single" w:color="auto" w:sz="4" w:space="0"/>
                    <w:right w:val="single" w:color="auto" w:sz="4" w:space="0"/>
                  </w:tcBorders>
                  <w:vAlign w:val="center"/>
                </w:tcPr>
                <w:p w14:paraId="6EDBD055">
                  <w:pPr>
                    <w:widowControl/>
                    <w:snapToGrid w:val="0"/>
                    <w:jc w:val="center"/>
                    <w:rPr>
                      <w:color w:val="auto"/>
                      <w:szCs w:val="21"/>
                    </w:rPr>
                  </w:pPr>
                  <w:r>
                    <w:rPr>
                      <w:rFonts w:hint="eastAsia"/>
                      <w:color w:val="auto"/>
                      <w:szCs w:val="21"/>
                    </w:rPr>
                    <w:t>2</w:t>
                  </w:r>
                </w:p>
              </w:tc>
              <w:tc>
                <w:tcPr>
                  <w:tcW w:w="532" w:type="pct"/>
                  <w:tcBorders>
                    <w:top w:val="single" w:color="auto" w:sz="4" w:space="0"/>
                    <w:left w:val="single" w:color="auto" w:sz="4" w:space="0"/>
                    <w:bottom w:val="single" w:color="auto" w:sz="4" w:space="0"/>
                    <w:right w:val="single" w:color="auto" w:sz="4" w:space="0"/>
                  </w:tcBorders>
                  <w:vAlign w:val="center"/>
                </w:tcPr>
                <w:p w14:paraId="38173F67">
                  <w:pPr>
                    <w:widowControl/>
                    <w:snapToGrid w:val="0"/>
                    <w:jc w:val="center"/>
                    <w:rPr>
                      <w:color w:val="auto"/>
                      <w:szCs w:val="21"/>
                    </w:rPr>
                  </w:pPr>
                  <w:r>
                    <w:rPr>
                      <w:rFonts w:hint="eastAsia"/>
                      <w:color w:val="auto"/>
                      <w:szCs w:val="21"/>
                    </w:rPr>
                    <w:t>三、气体流速</w:t>
                  </w:r>
                </w:p>
              </w:tc>
              <w:tc>
                <w:tcPr>
                  <w:tcW w:w="2110" w:type="pct"/>
                  <w:tcBorders>
                    <w:top w:val="single" w:color="auto" w:sz="4" w:space="0"/>
                    <w:left w:val="single" w:color="auto" w:sz="4" w:space="0"/>
                    <w:bottom w:val="single" w:color="auto" w:sz="4" w:space="0"/>
                    <w:right w:val="single" w:color="auto" w:sz="4" w:space="0"/>
                  </w:tcBorders>
                  <w:vAlign w:val="center"/>
                </w:tcPr>
                <w:p w14:paraId="6FCFB4AB">
                  <w:pPr>
                    <w:widowControl/>
                    <w:snapToGrid w:val="0"/>
                    <w:jc w:val="center"/>
                    <w:rPr>
                      <w:color w:val="auto"/>
                      <w:szCs w:val="21"/>
                    </w:rPr>
                  </w:pPr>
                  <w:r>
                    <w:rPr>
                      <w:rFonts w:hint="eastAsia"/>
                      <w:color w:val="auto"/>
                      <w:szCs w:val="21"/>
                    </w:rPr>
                    <w:t>采用颗粒活性炭时，气体流速宜低于0.60m/s</w:t>
                  </w:r>
                  <w:r>
                    <w:rPr>
                      <w:rFonts w:hint="eastAsia" w:ascii="宋体" w:hAnsi="宋体"/>
                      <w:color w:val="auto"/>
                      <w:szCs w:val="21"/>
                    </w:rPr>
                    <w:t>，装填厚度不得低于</w:t>
                  </w:r>
                  <w:r>
                    <w:rPr>
                      <w:rFonts w:hint="eastAsia"/>
                      <w:color w:val="auto"/>
                      <w:szCs w:val="21"/>
                    </w:rPr>
                    <w:t>0.4m</w:t>
                  </w:r>
                  <w:r>
                    <w:rPr>
                      <w:rFonts w:hint="eastAsia" w:ascii="宋体" w:hAnsi="宋体"/>
                      <w:color w:val="auto"/>
                      <w:szCs w:val="21"/>
                    </w:rPr>
                    <w:t>。活性炭应装填齐整，避免气流短路；采用活性炭纤维时，气体流速宜低于</w:t>
                  </w:r>
                  <w:r>
                    <w:rPr>
                      <w:rFonts w:hint="eastAsia"/>
                      <w:color w:val="auto"/>
                      <w:szCs w:val="21"/>
                    </w:rPr>
                    <w:t>0.15m/s</w:t>
                  </w:r>
                  <w:r>
                    <w:rPr>
                      <w:rFonts w:hint="eastAsia" w:ascii="宋体" w:hAnsi="宋体"/>
                      <w:color w:val="auto"/>
                      <w:szCs w:val="21"/>
                    </w:rPr>
                    <w:t>；采用蜂窝活性炭时，气体流速宜低于</w:t>
                  </w:r>
                  <w:r>
                    <w:rPr>
                      <w:rFonts w:hint="eastAsia"/>
                      <w:color w:val="auto"/>
                      <w:szCs w:val="21"/>
                    </w:rPr>
                    <w:t>1.20m/s</w:t>
                  </w:r>
                  <w:r>
                    <w:rPr>
                      <w:rFonts w:hint="eastAsia" w:ascii="宋体" w:hAnsi="宋体"/>
                      <w:color w:val="auto"/>
                      <w:szCs w:val="21"/>
                    </w:rPr>
                    <w:t>。</w:t>
                  </w:r>
                </w:p>
              </w:tc>
              <w:tc>
                <w:tcPr>
                  <w:tcW w:w="1657" w:type="pct"/>
                  <w:tcBorders>
                    <w:top w:val="single" w:color="auto" w:sz="4" w:space="0"/>
                    <w:left w:val="single" w:color="auto" w:sz="4" w:space="0"/>
                    <w:bottom w:val="single" w:color="auto" w:sz="4" w:space="0"/>
                    <w:right w:val="single" w:color="auto" w:sz="4" w:space="0"/>
                  </w:tcBorders>
                  <w:vAlign w:val="center"/>
                </w:tcPr>
                <w:p w14:paraId="6A1ECE7B">
                  <w:pPr>
                    <w:widowControl/>
                    <w:snapToGrid w:val="0"/>
                    <w:jc w:val="center"/>
                    <w:rPr>
                      <w:rFonts w:hint="eastAsia" w:eastAsia="宋体"/>
                      <w:color w:val="FF0000"/>
                      <w:szCs w:val="21"/>
                      <w:lang w:eastAsia="zh-CN"/>
                    </w:rPr>
                  </w:pPr>
                  <w:r>
                    <w:rPr>
                      <w:rFonts w:hint="eastAsia"/>
                      <w:color w:val="auto"/>
                      <w:szCs w:val="21"/>
                    </w:rPr>
                    <w:t>采用</w:t>
                  </w:r>
                  <w:r>
                    <w:rPr>
                      <w:rFonts w:hint="eastAsia" w:ascii="宋体" w:hAnsi="宋体"/>
                      <w:color w:val="auto"/>
                      <w:szCs w:val="21"/>
                    </w:rPr>
                    <w:t>蜂窝</w:t>
                  </w:r>
                  <w:r>
                    <w:rPr>
                      <w:rFonts w:hint="eastAsia"/>
                      <w:color w:val="auto"/>
                      <w:szCs w:val="21"/>
                    </w:rPr>
                    <w:t>活性炭，装填齐整，气体流速低于</w:t>
                  </w:r>
                  <w:r>
                    <w:rPr>
                      <w:rFonts w:hint="eastAsia"/>
                      <w:color w:val="auto"/>
                      <w:szCs w:val="21"/>
                      <w:lang w:val="en-US" w:eastAsia="zh-CN"/>
                    </w:rPr>
                    <w:t>1.2</w:t>
                  </w:r>
                  <w:r>
                    <w:rPr>
                      <w:rFonts w:hint="eastAsia"/>
                      <w:color w:val="auto"/>
                      <w:szCs w:val="21"/>
                    </w:rPr>
                    <w:t>0m/s</w:t>
                  </w:r>
                  <w:r>
                    <w:rPr>
                      <w:rFonts w:hint="eastAsia" w:ascii="宋体" w:hAnsi="宋体"/>
                      <w:color w:val="auto"/>
                      <w:szCs w:val="21"/>
                    </w:rPr>
                    <w:t>。</w:t>
                  </w:r>
                </w:p>
              </w:tc>
              <w:tc>
                <w:tcPr>
                  <w:tcW w:w="433" w:type="pct"/>
                  <w:tcBorders>
                    <w:top w:val="single" w:color="auto" w:sz="4" w:space="0"/>
                    <w:left w:val="single" w:color="auto" w:sz="4" w:space="0"/>
                    <w:bottom w:val="single" w:color="auto" w:sz="4" w:space="0"/>
                    <w:right w:val="single" w:color="auto" w:sz="12" w:space="0"/>
                  </w:tcBorders>
                  <w:vAlign w:val="center"/>
                </w:tcPr>
                <w:p w14:paraId="37B3980A">
                  <w:pPr>
                    <w:widowControl/>
                    <w:snapToGrid w:val="0"/>
                    <w:jc w:val="center"/>
                    <w:rPr>
                      <w:color w:val="auto"/>
                      <w:szCs w:val="21"/>
                    </w:rPr>
                  </w:pPr>
                  <w:r>
                    <w:rPr>
                      <w:rFonts w:hint="eastAsia"/>
                      <w:color w:val="auto"/>
                      <w:szCs w:val="21"/>
                    </w:rPr>
                    <w:t>是</w:t>
                  </w:r>
                </w:p>
              </w:tc>
            </w:tr>
            <w:tr w14:paraId="24998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266" w:type="pct"/>
                  <w:tcBorders>
                    <w:top w:val="single" w:color="auto" w:sz="4" w:space="0"/>
                    <w:left w:val="single" w:color="auto" w:sz="12" w:space="0"/>
                    <w:bottom w:val="single" w:color="auto" w:sz="4" w:space="0"/>
                    <w:right w:val="single" w:color="auto" w:sz="4" w:space="0"/>
                  </w:tcBorders>
                  <w:vAlign w:val="center"/>
                </w:tcPr>
                <w:p w14:paraId="093BD172">
                  <w:pPr>
                    <w:widowControl/>
                    <w:snapToGrid w:val="0"/>
                    <w:jc w:val="center"/>
                    <w:rPr>
                      <w:color w:val="auto"/>
                      <w:szCs w:val="21"/>
                    </w:rPr>
                  </w:pPr>
                  <w:r>
                    <w:rPr>
                      <w:rFonts w:hint="eastAsia"/>
                      <w:color w:val="auto"/>
                      <w:szCs w:val="21"/>
                    </w:rPr>
                    <w:t>3</w:t>
                  </w:r>
                </w:p>
              </w:tc>
              <w:tc>
                <w:tcPr>
                  <w:tcW w:w="532" w:type="pct"/>
                  <w:vMerge w:val="restart"/>
                  <w:tcBorders>
                    <w:top w:val="single" w:color="auto" w:sz="4" w:space="0"/>
                    <w:left w:val="single" w:color="auto" w:sz="4" w:space="0"/>
                    <w:bottom w:val="single" w:color="auto" w:sz="4" w:space="0"/>
                    <w:right w:val="single" w:color="auto" w:sz="4" w:space="0"/>
                  </w:tcBorders>
                  <w:vAlign w:val="center"/>
                </w:tcPr>
                <w:p w14:paraId="328C994B">
                  <w:pPr>
                    <w:widowControl/>
                    <w:snapToGrid w:val="0"/>
                    <w:jc w:val="center"/>
                    <w:rPr>
                      <w:color w:val="auto"/>
                      <w:szCs w:val="21"/>
                    </w:rPr>
                  </w:pPr>
                  <w:r>
                    <w:rPr>
                      <w:rFonts w:hint="eastAsia"/>
                      <w:color w:val="auto"/>
                      <w:szCs w:val="21"/>
                    </w:rPr>
                    <w:t>四、废气预处理</w:t>
                  </w:r>
                </w:p>
              </w:tc>
              <w:tc>
                <w:tcPr>
                  <w:tcW w:w="2110" w:type="pct"/>
                  <w:tcBorders>
                    <w:top w:val="single" w:color="auto" w:sz="4" w:space="0"/>
                    <w:left w:val="single" w:color="auto" w:sz="4" w:space="0"/>
                    <w:bottom w:val="single" w:color="auto" w:sz="4" w:space="0"/>
                    <w:right w:val="single" w:color="auto" w:sz="4" w:space="0"/>
                  </w:tcBorders>
                  <w:vAlign w:val="center"/>
                </w:tcPr>
                <w:p w14:paraId="05679945">
                  <w:pPr>
                    <w:widowControl/>
                    <w:snapToGrid w:val="0"/>
                    <w:jc w:val="center"/>
                    <w:rPr>
                      <w:color w:val="auto"/>
                      <w:szCs w:val="21"/>
                    </w:rPr>
                  </w:pPr>
                  <w:r>
                    <w:rPr>
                      <w:rFonts w:hint="eastAsia"/>
                      <w:color w:val="auto"/>
                      <w:szCs w:val="21"/>
                    </w:rPr>
                    <w:t>进入吸附设备的废气颗粒物含量和温度应分别低于1mg/m</w:t>
                  </w:r>
                  <w:r>
                    <w:rPr>
                      <w:color w:val="auto"/>
                      <w:szCs w:val="21"/>
                      <w:vertAlign w:val="superscript"/>
                    </w:rPr>
                    <w:t>3</w:t>
                  </w:r>
                  <w:r>
                    <w:rPr>
                      <w:rFonts w:hint="eastAsia" w:ascii="宋体" w:hAnsi="宋体"/>
                      <w:color w:val="auto"/>
                      <w:szCs w:val="21"/>
                    </w:rPr>
                    <w:t>和</w:t>
                  </w:r>
                  <w:r>
                    <w:rPr>
                      <w:rFonts w:hint="eastAsia"/>
                      <w:color w:val="auto"/>
                      <w:szCs w:val="21"/>
                    </w:rPr>
                    <w:t>40</w:t>
                  </w:r>
                  <w:r>
                    <w:rPr>
                      <w:rFonts w:hint="default" w:ascii="Times New Roman" w:hAnsi="Times New Roman" w:cs="Times New Roman"/>
                      <w:color w:val="auto"/>
                      <w:szCs w:val="21"/>
                      <w:lang w:eastAsia="zh-CN"/>
                    </w:rPr>
                    <w:t>℃</w:t>
                  </w:r>
                  <w:r>
                    <w:rPr>
                      <w:rFonts w:hint="eastAsia" w:ascii="宋体" w:hAnsi="宋体"/>
                      <w:color w:val="auto"/>
                      <w:szCs w:val="21"/>
                    </w:rPr>
                    <w:t>，若颗粒物含量超过</w:t>
                  </w:r>
                  <w:r>
                    <w:rPr>
                      <w:rFonts w:hint="eastAsia"/>
                      <w:color w:val="auto"/>
                      <w:szCs w:val="21"/>
                    </w:rPr>
                    <w:t>1mg/m</w:t>
                  </w:r>
                  <w:r>
                    <w:rPr>
                      <w:color w:val="auto"/>
                      <w:szCs w:val="21"/>
                      <w:vertAlign w:val="superscript"/>
                    </w:rPr>
                    <w:t>3</w:t>
                  </w:r>
                  <w:r>
                    <w:rPr>
                      <w:rFonts w:hint="eastAsia" w:ascii="宋体" w:hAnsi="宋体"/>
                      <w:color w:val="auto"/>
                      <w:szCs w:val="21"/>
                    </w:rPr>
                    <w:t>时，应先采用过滤或洗涤等方式进行预处理。</w:t>
                  </w:r>
                </w:p>
              </w:tc>
              <w:tc>
                <w:tcPr>
                  <w:tcW w:w="1657" w:type="pct"/>
                  <w:tcBorders>
                    <w:top w:val="single" w:color="auto" w:sz="4" w:space="0"/>
                    <w:left w:val="single" w:color="auto" w:sz="4" w:space="0"/>
                    <w:bottom w:val="single" w:color="auto" w:sz="4" w:space="0"/>
                    <w:right w:val="single" w:color="auto" w:sz="4" w:space="0"/>
                  </w:tcBorders>
                  <w:vAlign w:val="center"/>
                </w:tcPr>
                <w:p w14:paraId="5BFE25ED">
                  <w:pPr>
                    <w:widowControl/>
                    <w:snapToGrid w:val="0"/>
                    <w:jc w:val="center"/>
                    <w:rPr>
                      <w:color w:val="FF0000"/>
                      <w:szCs w:val="21"/>
                    </w:rPr>
                  </w:pPr>
                  <w:r>
                    <w:rPr>
                      <w:rFonts w:hint="eastAsia" w:cs="Times New Roman"/>
                      <w:color w:val="auto"/>
                      <w:szCs w:val="21"/>
                      <w:lang w:val="en-US" w:eastAsia="zh-CN"/>
                    </w:rPr>
                    <w:t>本项目</w:t>
                  </w:r>
                  <w:r>
                    <w:rPr>
                      <w:rFonts w:hint="eastAsia" w:ascii="Times New Roman" w:hAnsi="Times New Roman" w:eastAsia="宋体" w:cs="Times New Roman"/>
                      <w:color w:val="auto"/>
                      <w:szCs w:val="21"/>
                      <w:lang w:val="en-US" w:eastAsia="zh-CN"/>
                    </w:rPr>
                    <w:t>进入两级活性炭</w:t>
                  </w:r>
                  <w:r>
                    <w:rPr>
                      <w:rFonts w:hint="eastAsia" w:cs="Times New Roman"/>
                      <w:color w:val="auto"/>
                      <w:szCs w:val="21"/>
                      <w:lang w:val="en-US" w:eastAsia="zh-CN"/>
                    </w:rPr>
                    <w:t>吸附装置的废气中无颗粒物。</w:t>
                  </w:r>
                  <w:r>
                    <w:rPr>
                      <w:rFonts w:hint="eastAsia" w:ascii="Times New Roman" w:hAnsi="Times New Roman" w:eastAsia="宋体" w:cs="Times New Roman"/>
                      <w:color w:val="auto"/>
                      <w:szCs w:val="21"/>
                      <w:lang w:val="en-US" w:eastAsia="zh-CN"/>
                    </w:rPr>
                    <w:t>废气进口温度约50</w:t>
                  </w: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，管道较长，长约10米，可对废气温度起到降温效果，使废气温度低于40</w:t>
                  </w: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w:t>
                  </w:r>
                </w:p>
              </w:tc>
              <w:tc>
                <w:tcPr>
                  <w:tcW w:w="433" w:type="pct"/>
                  <w:tcBorders>
                    <w:top w:val="single" w:color="auto" w:sz="4" w:space="0"/>
                    <w:left w:val="single" w:color="auto" w:sz="4" w:space="0"/>
                    <w:bottom w:val="single" w:color="auto" w:sz="4" w:space="0"/>
                    <w:right w:val="single" w:color="auto" w:sz="12" w:space="0"/>
                  </w:tcBorders>
                  <w:vAlign w:val="center"/>
                </w:tcPr>
                <w:p w14:paraId="6F58C90B">
                  <w:pPr>
                    <w:widowControl/>
                    <w:snapToGrid w:val="0"/>
                    <w:jc w:val="center"/>
                    <w:rPr>
                      <w:color w:val="auto"/>
                      <w:szCs w:val="21"/>
                    </w:rPr>
                  </w:pPr>
                  <w:r>
                    <w:rPr>
                      <w:rFonts w:hint="eastAsia"/>
                      <w:color w:val="auto"/>
                      <w:szCs w:val="21"/>
                    </w:rPr>
                    <w:t>是</w:t>
                  </w:r>
                </w:p>
              </w:tc>
            </w:tr>
            <w:tr w14:paraId="7CDF8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66" w:type="pct"/>
                  <w:tcBorders>
                    <w:top w:val="single" w:color="auto" w:sz="4" w:space="0"/>
                    <w:left w:val="single" w:color="auto" w:sz="12" w:space="0"/>
                    <w:bottom w:val="single" w:color="auto" w:sz="4" w:space="0"/>
                    <w:right w:val="single" w:color="auto" w:sz="4" w:space="0"/>
                  </w:tcBorders>
                  <w:vAlign w:val="center"/>
                </w:tcPr>
                <w:p w14:paraId="4A26DF1F">
                  <w:pPr>
                    <w:widowControl/>
                    <w:snapToGrid w:val="0"/>
                    <w:jc w:val="center"/>
                    <w:rPr>
                      <w:color w:val="auto"/>
                      <w:szCs w:val="21"/>
                    </w:rPr>
                  </w:pPr>
                  <w:r>
                    <w:rPr>
                      <w:rFonts w:hint="eastAsia"/>
                      <w:color w:val="auto"/>
                      <w:szCs w:val="21"/>
                    </w:rPr>
                    <w:t>4</w:t>
                  </w:r>
                </w:p>
              </w:tc>
              <w:tc>
                <w:tcPr>
                  <w:tcW w:w="532" w:type="pct"/>
                  <w:vMerge w:val="continue"/>
                  <w:tcBorders>
                    <w:top w:val="single" w:color="auto" w:sz="4" w:space="0"/>
                    <w:left w:val="single" w:color="auto" w:sz="4" w:space="0"/>
                    <w:bottom w:val="single" w:color="auto" w:sz="4" w:space="0"/>
                    <w:right w:val="single" w:color="auto" w:sz="4" w:space="0"/>
                  </w:tcBorders>
                  <w:vAlign w:val="center"/>
                </w:tcPr>
                <w:p w14:paraId="43EE663F">
                  <w:pPr>
                    <w:widowControl/>
                    <w:ind w:firstLine="360"/>
                    <w:jc w:val="center"/>
                    <w:rPr>
                      <w:color w:val="auto"/>
                      <w:szCs w:val="21"/>
                    </w:rPr>
                  </w:pPr>
                </w:p>
              </w:tc>
              <w:tc>
                <w:tcPr>
                  <w:tcW w:w="2110" w:type="pct"/>
                  <w:tcBorders>
                    <w:top w:val="single" w:color="auto" w:sz="4" w:space="0"/>
                    <w:left w:val="single" w:color="auto" w:sz="4" w:space="0"/>
                    <w:bottom w:val="single" w:color="auto" w:sz="4" w:space="0"/>
                    <w:right w:val="single" w:color="auto" w:sz="4" w:space="0"/>
                  </w:tcBorders>
                  <w:vAlign w:val="center"/>
                </w:tcPr>
                <w:p w14:paraId="08E560F4">
                  <w:pPr>
                    <w:widowControl/>
                    <w:snapToGrid w:val="0"/>
                    <w:jc w:val="center"/>
                    <w:rPr>
                      <w:color w:val="auto"/>
                      <w:szCs w:val="21"/>
                    </w:rPr>
                  </w:pPr>
                  <w:r>
                    <w:rPr>
                      <w:rFonts w:hint="eastAsia"/>
                      <w:color w:val="auto"/>
                      <w:szCs w:val="21"/>
                    </w:rPr>
                    <w:t>活性炭对酸性废气吸附效果较差，且酸性气体易对设备本体造成腐蚀，应先采用洗涤进行预处理。</w:t>
                  </w:r>
                </w:p>
              </w:tc>
              <w:tc>
                <w:tcPr>
                  <w:tcW w:w="1657" w:type="pct"/>
                  <w:tcBorders>
                    <w:top w:val="single" w:color="auto" w:sz="4" w:space="0"/>
                    <w:left w:val="single" w:color="auto" w:sz="4" w:space="0"/>
                    <w:bottom w:val="single" w:color="auto" w:sz="4" w:space="0"/>
                    <w:right w:val="single" w:color="auto" w:sz="4" w:space="0"/>
                  </w:tcBorders>
                  <w:vAlign w:val="center"/>
                </w:tcPr>
                <w:p w14:paraId="53E1DF49">
                  <w:pPr>
                    <w:widowControl/>
                    <w:snapToGrid w:val="0"/>
                    <w:jc w:val="center"/>
                    <w:rPr>
                      <w:color w:val="FF0000"/>
                      <w:szCs w:val="21"/>
                    </w:rPr>
                  </w:pPr>
                  <w:r>
                    <w:rPr>
                      <w:rFonts w:hint="eastAsia"/>
                      <w:color w:val="auto"/>
                      <w:szCs w:val="21"/>
                    </w:rPr>
                    <w:t>废气中无酸性废气。</w:t>
                  </w:r>
                </w:p>
              </w:tc>
              <w:tc>
                <w:tcPr>
                  <w:tcW w:w="433" w:type="pct"/>
                  <w:tcBorders>
                    <w:top w:val="single" w:color="auto" w:sz="4" w:space="0"/>
                    <w:left w:val="single" w:color="auto" w:sz="4" w:space="0"/>
                    <w:bottom w:val="single" w:color="auto" w:sz="4" w:space="0"/>
                    <w:right w:val="single" w:color="auto" w:sz="12" w:space="0"/>
                  </w:tcBorders>
                  <w:vAlign w:val="center"/>
                </w:tcPr>
                <w:p w14:paraId="2B61F6DC">
                  <w:pPr>
                    <w:widowControl/>
                    <w:snapToGrid w:val="0"/>
                    <w:jc w:val="center"/>
                    <w:rPr>
                      <w:color w:val="auto"/>
                      <w:szCs w:val="21"/>
                    </w:rPr>
                  </w:pPr>
                  <w:r>
                    <w:rPr>
                      <w:rFonts w:hint="eastAsia"/>
                      <w:color w:val="auto"/>
                      <w:szCs w:val="21"/>
                    </w:rPr>
                    <w:t>是</w:t>
                  </w:r>
                </w:p>
              </w:tc>
            </w:tr>
            <w:tr w14:paraId="6DB7E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266" w:type="pct"/>
                  <w:tcBorders>
                    <w:top w:val="single" w:color="auto" w:sz="4" w:space="0"/>
                    <w:left w:val="single" w:color="auto" w:sz="12" w:space="0"/>
                    <w:bottom w:val="single" w:color="auto" w:sz="12" w:space="0"/>
                    <w:right w:val="single" w:color="auto" w:sz="4" w:space="0"/>
                  </w:tcBorders>
                  <w:vAlign w:val="center"/>
                </w:tcPr>
                <w:p w14:paraId="53C19D2B">
                  <w:pPr>
                    <w:widowControl/>
                    <w:snapToGrid w:val="0"/>
                    <w:jc w:val="center"/>
                    <w:rPr>
                      <w:color w:val="auto"/>
                      <w:szCs w:val="21"/>
                    </w:rPr>
                  </w:pPr>
                  <w:r>
                    <w:rPr>
                      <w:rFonts w:hint="eastAsia"/>
                      <w:color w:val="auto"/>
                      <w:szCs w:val="21"/>
                    </w:rPr>
                    <w:t>5</w:t>
                  </w:r>
                </w:p>
              </w:tc>
              <w:tc>
                <w:tcPr>
                  <w:tcW w:w="532" w:type="pct"/>
                  <w:tcBorders>
                    <w:top w:val="single" w:color="auto" w:sz="4" w:space="0"/>
                    <w:left w:val="single" w:color="auto" w:sz="4" w:space="0"/>
                    <w:bottom w:val="single" w:color="auto" w:sz="12" w:space="0"/>
                    <w:right w:val="single" w:color="auto" w:sz="4" w:space="0"/>
                  </w:tcBorders>
                  <w:vAlign w:val="center"/>
                </w:tcPr>
                <w:p w14:paraId="41373061">
                  <w:pPr>
                    <w:widowControl/>
                    <w:snapToGrid w:val="0"/>
                    <w:jc w:val="center"/>
                    <w:rPr>
                      <w:color w:val="auto"/>
                      <w:szCs w:val="21"/>
                    </w:rPr>
                  </w:pPr>
                  <w:r>
                    <w:rPr>
                      <w:rFonts w:hint="eastAsia"/>
                      <w:color w:val="auto"/>
                      <w:szCs w:val="21"/>
                    </w:rPr>
                    <w:t>五、活性炭质量</w:t>
                  </w:r>
                </w:p>
              </w:tc>
              <w:tc>
                <w:tcPr>
                  <w:tcW w:w="2110" w:type="pct"/>
                  <w:tcBorders>
                    <w:top w:val="single" w:color="auto" w:sz="4" w:space="0"/>
                    <w:left w:val="single" w:color="auto" w:sz="4" w:space="0"/>
                    <w:bottom w:val="single" w:color="auto" w:sz="12" w:space="0"/>
                    <w:right w:val="single" w:color="auto" w:sz="4" w:space="0"/>
                  </w:tcBorders>
                  <w:vAlign w:val="center"/>
                </w:tcPr>
                <w:p w14:paraId="70DF04A4">
                  <w:pPr>
                    <w:widowControl/>
                    <w:snapToGrid w:val="0"/>
                    <w:jc w:val="center"/>
                    <w:rPr>
                      <w:color w:val="auto"/>
                      <w:szCs w:val="21"/>
                    </w:rPr>
                  </w:pPr>
                  <w:r>
                    <w:rPr>
                      <w:rFonts w:hint="eastAsia"/>
                      <w:color w:val="auto"/>
                      <w:szCs w:val="21"/>
                    </w:rPr>
                    <w:t>颗粒活性炭碘吸附值≥800mg/g</w:t>
                  </w:r>
                  <w:r>
                    <w:rPr>
                      <w:rFonts w:hint="eastAsia" w:ascii="宋体" w:hAnsi="宋体"/>
                      <w:color w:val="auto"/>
                      <w:szCs w:val="21"/>
                    </w:rPr>
                    <w:t>，比表面积≥</w:t>
                  </w:r>
                  <w:r>
                    <w:rPr>
                      <w:rFonts w:hint="eastAsia"/>
                      <w:color w:val="auto"/>
                      <w:szCs w:val="21"/>
                    </w:rPr>
                    <w:t>850m</w:t>
                  </w:r>
                  <w:r>
                    <w:rPr>
                      <w:rFonts w:hint="eastAsia"/>
                      <w:color w:val="auto"/>
                      <w:szCs w:val="21"/>
                      <w:vertAlign w:val="superscript"/>
                    </w:rPr>
                    <w:t>2</w:t>
                  </w:r>
                  <w:r>
                    <w:rPr>
                      <w:rFonts w:hint="eastAsia"/>
                      <w:color w:val="auto"/>
                      <w:szCs w:val="21"/>
                    </w:rPr>
                    <w:t>/g</w:t>
                  </w:r>
                  <w:r>
                    <w:rPr>
                      <w:rFonts w:hint="eastAsia" w:ascii="宋体" w:hAnsi="宋体"/>
                      <w:color w:val="auto"/>
                      <w:szCs w:val="21"/>
                    </w:rPr>
                    <w:t>；蜂窝活性炭横向抗压强度应不低于</w:t>
                  </w:r>
                  <w:r>
                    <w:rPr>
                      <w:rFonts w:hint="eastAsia"/>
                      <w:color w:val="auto"/>
                      <w:szCs w:val="21"/>
                    </w:rPr>
                    <w:t>0.9MPa</w:t>
                  </w:r>
                  <w:r>
                    <w:rPr>
                      <w:rFonts w:hint="eastAsia" w:ascii="宋体" w:hAnsi="宋体"/>
                      <w:color w:val="auto"/>
                      <w:szCs w:val="21"/>
                    </w:rPr>
                    <w:t>，纵向强度应不低于</w:t>
                  </w:r>
                  <w:r>
                    <w:rPr>
                      <w:rFonts w:hint="eastAsia"/>
                      <w:color w:val="auto"/>
                      <w:szCs w:val="21"/>
                    </w:rPr>
                    <w:t>0.4MPa</w:t>
                  </w:r>
                  <w:r>
                    <w:rPr>
                      <w:rFonts w:hint="eastAsia" w:ascii="宋体" w:hAnsi="宋体"/>
                      <w:color w:val="auto"/>
                      <w:szCs w:val="21"/>
                    </w:rPr>
                    <w:t>，碘吸附值≥</w:t>
                  </w:r>
                  <w:r>
                    <w:rPr>
                      <w:rFonts w:hint="eastAsia"/>
                      <w:color w:val="auto"/>
                      <w:szCs w:val="21"/>
                    </w:rPr>
                    <w:t>650mg/g</w:t>
                  </w:r>
                  <w:r>
                    <w:rPr>
                      <w:rFonts w:hint="eastAsia" w:ascii="宋体" w:hAnsi="宋体"/>
                      <w:color w:val="auto"/>
                      <w:szCs w:val="21"/>
                    </w:rPr>
                    <w:t>，比表面积≥</w:t>
                  </w:r>
                  <w:r>
                    <w:rPr>
                      <w:rFonts w:hint="eastAsia"/>
                      <w:color w:val="auto"/>
                      <w:szCs w:val="21"/>
                    </w:rPr>
                    <w:t>750m</w:t>
                  </w:r>
                  <w:r>
                    <w:rPr>
                      <w:rFonts w:hint="eastAsia"/>
                      <w:color w:val="auto"/>
                      <w:szCs w:val="21"/>
                      <w:vertAlign w:val="superscript"/>
                    </w:rPr>
                    <w:t>2</w:t>
                  </w:r>
                  <w:r>
                    <w:rPr>
                      <w:rFonts w:hint="eastAsia"/>
                      <w:color w:val="auto"/>
                      <w:szCs w:val="21"/>
                    </w:rPr>
                    <w:t>/g</w:t>
                  </w:r>
                  <w:r>
                    <w:rPr>
                      <w:rFonts w:hint="eastAsia" w:ascii="宋体" w:hAnsi="宋体"/>
                      <w:color w:val="auto"/>
                      <w:szCs w:val="21"/>
                    </w:rPr>
                    <w:t>。</w:t>
                  </w:r>
                </w:p>
              </w:tc>
              <w:tc>
                <w:tcPr>
                  <w:tcW w:w="1657" w:type="pct"/>
                  <w:tcBorders>
                    <w:top w:val="single" w:color="auto" w:sz="4" w:space="0"/>
                    <w:left w:val="single" w:color="auto" w:sz="4" w:space="0"/>
                    <w:bottom w:val="single" w:color="auto" w:sz="12" w:space="0"/>
                    <w:right w:val="single" w:color="auto" w:sz="4" w:space="0"/>
                  </w:tcBorders>
                  <w:vAlign w:val="center"/>
                </w:tcPr>
                <w:p w14:paraId="70745AE5">
                  <w:pPr>
                    <w:widowControl/>
                    <w:snapToGrid w:val="0"/>
                    <w:jc w:val="center"/>
                    <w:rPr>
                      <w:rFonts w:hint="eastAsia" w:eastAsia="宋体"/>
                      <w:color w:val="FF0000"/>
                      <w:szCs w:val="21"/>
                      <w:lang w:eastAsia="zh-CN"/>
                    </w:rPr>
                  </w:pPr>
                  <w:r>
                    <w:rPr>
                      <w:rFonts w:hint="eastAsia"/>
                      <w:color w:val="auto"/>
                      <w:szCs w:val="21"/>
                    </w:rPr>
                    <w:t>采用</w:t>
                  </w:r>
                  <w:r>
                    <w:rPr>
                      <w:rFonts w:hint="eastAsia" w:ascii="宋体" w:hAnsi="宋体"/>
                      <w:color w:val="auto"/>
                      <w:szCs w:val="21"/>
                    </w:rPr>
                    <w:t>蜂窝</w:t>
                  </w:r>
                  <w:r>
                    <w:rPr>
                      <w:rFonts w:hint="eastAsia"/>
                      <w:color w:val="auto"/>
                      <w:szCs w:val="21"/>
                    </w:rPr>
                    <w:t>活性炭，横向</w:t>
                  </w:r>
                  <w:r>
                    <w:rPr>
                      <w:bCs/>
                      <w:color w:val="auto"/>
                      <w:kern w:val="0"/>
                      <w:szCs w:val="21"/>
                    </w:rPr>
                    <w:t>抗压强度</w:t>
                  </w:r>
                  <w:r>
                    <w:rPr>
                      <w:rFonts w:hint="eastAsia"/>
                      <w:bCs/>
                      <w:color w:val="auto"/>
                      <w:kern w:val="0"/>
                      <w:szCs w:val="21"/>
                    </w:rPr>
                    <w:t>大于0.9</w:t>
                  </w:r>
                  <w:r>
                    <w:rPr>
                      <w:bCs/>
                      <w:color w:val="auto"/>
                      <w:kern w:val="0"/>
                      <w:szCs w:val="21"/>
                    </w:rPr>
                    <w:t>MPa，纵向抗压强度</w:t>
                  </w:r>
                  <w:r>
                    <w:rPr>
                      <w:rFonts w:hint="eastAsia"/>
                      <w:bCs/>
                      <w:color w:val="auto"/>
                      <w:kern w:val="0"/>
                      <w:szCs w:val="21"/>
                    </w:rPr>
                    <w:t>大于0.4</w:t>
                  </w:r>
                  <w:r>
                    <w:rPr>
                      <w:bCs/>
                      <w:color w:val="auto"/>
                      <w:kern w:val="0"/>
                      <w:szCs w:val="21"/>
                    </w:rPr>
                    <w:t>MPa，</w:t>
                  </w:r>
                  <w:r>
                    <w:rPr>
                      <w:rFonts w:hint="eastAsia"/>
                      <w:color w:val="auto"/>
                      <w:szCs w:val="21"/>
                    </w:rPr>
                    <w:t>活性炭碘含量不低于</w:t>
                  </w:r>
                  <w:r>
                    <w:rPr>
                      <w:rFonts w:hint="eastAsia"/>
                      <w:color w:val="auto"/>
                      <w:szCs w:val="21"/>
                      <w:lang w:val="en-US" w:eastAsia="zh-CN"/>
                    </w:rPr>
                    <w:t>650</w:t>
                  </w:r>
                  <w:r>
                    <w:rPr>
                      <w:rFonts w:hint="eastAsia"/>
                      <w:color w:val="auto"/>
                      <w:szCs w:val="21"/>
                    </w:rPr>
                    <w:t>mg/g，</w:t>
                  </w:r>
                  <w:r>
                    <w:rPr>
                      <w:bCs/>
                      <w:color w:val="auto"/>
                      <w:kern w:val="0"/>
                      <w:szCs w:val="21"/>
                    </w:rPr>
                    <w:t>比表面积≥750m</w:t>
                  </w:r>
                  <w:r>
                    <w:rPr>
                      <w:bCs/>
                      <w:color w:val="auto"/>
                      <w:kern w:val="0"/>
                      <w:szCs w:val="21"/>
                      <w:vertAlign w:val="superscript"/>
                    </w:rPr>
                    <w:t>2</w:t>
                  </w:r>
                  <w:r>
                    <w:rPr>
                      <w:bCs/>
                      <w:color w:val="auto"/>
                      <w:kern w:val="0"/>
                      <w:szCs w:val="21"/>
                    </w:rPr>
                    <w:t>/g</w:t>
                  </w:r>
                  <w:r>
                    <w:rPr>
                      <w:rFonts w:hint="eastAsia"/>
                      <w:bCs/>
                      <w:color w:val="auto"/>
                      <w:kern w:val="0"/>
                      <w:szCs w:val="21"/>
                      <w:lang w:eastAsia="zh-CN"/>
                    </w:rPr>
                    <w:t>。</w:t>
                  </w:r>
                </w:p>
              </w:tc>
              <w:tc>
                <w:tcPr>
                  <w:tcW w:w="433" w:type="pct"/>
                  <w:tcBorders>
                    <w:top w:val="single" w:color="auto" w:sz="4" w:space="0"/>
                    <w:left w:val="single" w:color="auto" w:sz="4" w:space="0"/>
                    <w:bottom w:val="single" w:color="auto" w:sz="12" w:space="0"/>
                    <w:right w:val="single" w:color="auto" w:sz="12" w:space="0"/>
                  </w:tcBorders>
                  <w:vAlign w:val="center"/>
                </w:tcPr>
                <w:p w14:paraId="199662D5">
                  <w:pPr>
                    <w:widowControl/>
                    <w:snapToGrid w:val="0"/>
                    <w:jc w:val="center"/>
                    <w:rPr>
                      <w:color w:val="auto"/>
                      <w:szCs w:val="21"/>
                    </w:rPr>
                  </w:pPr>
                  <w:r>
                    <w:rPr>
                      <w:rFonts w:hint="eastAsia"/>
                      <w:color w:val="auto"/>
                      <w:szCs w:val="21"/>
                    </w:rPr>
                    <w:t>是</w:t>
                  </w:r>
                </w:p>
              </w:tc>
            </w:tr>
          </w:tbl>
          <w:p w14:paraId="0CF6E1E0">
            <w:pPr>
              <w:widowControl/>
              <w:spacing w:line="360" w:lineRule="auto"/>
              <w:ind w:firstLine="200" w:firstLineChars="200"/>
              <w:rPr>
                <w:rFonts w:hint="eastAsia" w:eastAsia="宋体"/>
                <w:color w:val="FF0000"/>
                <w:sz w:val="10"/>
                <w:szCs w:val="10"/>
                <w:lang w:eastAsia="zh-CN"/>
              </w:rPr>
            </w:pPr>
          </w:p>
          <w:p w14:paraId="55BCA276">
            <w:pPr>
              <w:adjustRightInd w:val="0"/>
              <w:snapToGrid w:val="0"/>
              <w:spacing w:line="360" w:lineRule="auto"/>
              <w:ind w:firstLine="480" w:firstLineChars="200"/>
              <w:rPr>
                <w:rFonts w:hint="eastAsia" w:eastAsia="宋体"/>
                <w:color w:val="auto"/>
                <w:sz w:val="24"/>
                <w:szCs w:val="24"/>
                <w:lang w:val="en-US" w:eastAsia="zh-CN"/>
              </w:rPr>
            </w:pPr>
            <w:r>
              <w:rPr>
                <w:rFonts w:hint="eastAsia"/>
                <w:color w:val="auto"/>
                <w:sz w:val="24"/>
                <w:szCs w:val="24"/>
              </w:rPr>
              <w:t>由上表可知，废气收集及处理</w:t>
            </w:r>
            <w:r>
              <w:rPr>
                <w:rFonts w:hint="eastAsia"/>
                <w:color w:val="auto"/>
                <w:sz w:val="24"/>
                <w:szCs w:val="24"/>
                <w:lang w:val="en-US" w:eastAsia="zh-CN"/>
              </w:rPr>
              <w:t>装置</w:t>
            </w:r>
            <w:r>
              <w:rPr>
                <w:rFonts w:hint="eastAsia"/>
                <w:color w:val="auto"/>
                <w:sz w:val="24"/>
                <w:szCs w:val="24"/>
              </w:rPr>
              <w:t>中活性炭吸附装置与《省生态环境厅</w:t>
            </w:r>
            <w:r>
              <w:rPr>
                <w:rFonts w:hint="eastAsia" w:ascii="Times New Roman" w:hAnsi="Times New Roman" w:eastAsia="宋体" w:cs="Times New Roman"/>
                <w:color w:val="auto"/>
                <w:sz w:val="24"/>
                <w:szCs w:val="24"/>
              </w:rPr>
              <w:t>关于深入开展涉VOCs治理重点工作核查的通知》（苏环办〔2022〕218号）</w:t>
            </w:r>
            <w:r>
              <w:rPr>
                <w:rFonts w:hint="eastAsia"/>
                <w:color w:val="auto"/>
                <w:sz w:val="24"/>
                <w:szCs w:val="24"/>
              </w:rPr>
              <w:t>相</w:t>
            </w:r>
            <w:r>
              <w:rPr>
                <w:rFonts w:hint="eastAsia" w:eastAsia="宋体"/>
                <w:color w:val="auto"/>
                <w:sz w:val="24"/>
                <w:szCs w:val="24"/>
                <w:lang w:val="en-US" w:eastAsia="zh-CN"/>
              </w:rPr>
              <w:t>符。</w:t>
            </w:r>
          </w:p>
          <w:p w14:paraId="47D4D492">
            <w:pPr>
              <w:adjustRightInd w:val="0"/>
              <w:snapToGrid w:val="0"/>
              <w:spacing w:line="360" w:lineRule="auto"/>
              <w:ind w:firstLine="480" w:firstLineChars="200"/>
              <w:rPr>
                <w:rFonts w:hint="eastAsia" w:eastAsia="宋体"/>
                <w:color w:val="auto"/>
                <w:sz w:val="24"/>
                <w:szCs w:val="24"/>
                <w:lang w:val="en-US" w:eastAsia="zh-CN"/>
              </w:rPr>
            </w:pPr>
            <w:r>
              <w:rPr>
                <w:rFonts w:hint="eastAsia" w:eastAsia="宋体"/>
                <w:color w:val="auto"/>
                <w:sz w:val="24"/>
                <w:szCs w:val="24"/>
                <w:lang w:val="en-US" w:eastAsia="zh-CN"/>
              </w:rPr>
              <w:t>与《吸附法工业有机废气治理工程技术规范》（HJ 2026-2013）相符性分析：</w:t>
            </w:r>
          </w:p>
          <w:p w14:paraId="6C556DB0">
            <w:pPr>
              <w:keepNext w:val="0"/>
              <w:keepLines w:val="0"/>
              <w:pageBreakBefore w:val="0"/>
              <w:widowControl w:val="0"/>
              <w:tabs>
                <w:tab w:val="left" w:pos="1144"/>
              </w:tabs>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cs="Times New Roman"/>
                <w:b/>
                <w:bCs/>
                <w:color w:val="auto"/>
                <w:sz w:val="24"/>
              </w:rPr>
            </w:pPr>
          </w:p>
          <w:p w14:paraId="74DD4D21">
            <w:pPr>
              <w:keepNext w:val="0"/>
              <w:keepLines w:val="0"/>
              <w:pageBreakBefore w:val="0"/>
              <w:widowControl w:val="0"/>
              <w:tabs>
                <w:tab w:val="left" w:pos="1144"/>
              </w:tabs>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cs="Times New Roman"/>
                <w:b/>
                <w:bCs/>
                <w:color w:val="auto"/>
                <w:sz w:val="24"/>
              </w:rPr>
            </w:pPr>
          </w:p>
          <w:p w14:paraId="3E87F9CE">
            <w:pPr>
              <w:pStyle w:val="2"/>
              <w:rPr>
                <w:rFonts w:hint="default" w:ascii="Times New Roman" w:hAnsi="Times New Roman" w:eastAsia="宋体" w:cs="Times New Roman"/>
                <w:b/>
                <w:bCs/>
                <w:color w:val="auto"/>
                <w:sz w:val="24"/>
              </w:rPr>
            </w:pPr>
          </w:p>
          <w:p w14:paraId="3A673089">
            <w:pPr>
              <w:rPr>
                <w:rFonts w:hint="default"/>
              </w:rPr>
            </w:pPr>
          </w:p>
          <w:p w14:paraId="374847A2">
            <w:pPr>
              <w:rPr>
                <w:rFonts w:hint="default"/>
              </w:rPr>
            </w:pPr>
          </w:p>
          <w:p w14:paraId="1711B129">
            <w:pPr>
              <w:keepNext w:val="0"/>
              <w:keepLines w:val="0"/>
              <w:pageBreakBefore w:val="0"/>
              <w:widowControl w:val="0"/>
              <w:tabs>
                <w:tab w:val="left" w:pos="1144"/>
              </w:tabs>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表</w:t>
            </w:r>
            <w:r>
              <w:rPr>
                <w:rFonts w:hint="eastAsia" w:ascii="Times New Roman" w:hAnsi="Times New Roman" w:eastAsia="宋体" w:cs="Times New Roman"/>
                <w:b/>
                <w:bCs/>
                <w:color w:val="auto"/>
                <w:sz w:val="24"/>
                <w:lang w:val="en-US" w:eastAsia="zh-CN"/>
              </w:rPr>
              <w:t>4-</w:t>
            </w:r>
            <w:r>
              <w:rPr>
                <w:rFonts w:hint="eastAsia" w:cs="Times New Roman"/>
                <w:b/>
                <w:bCs/>
                <w:color w:val="auto"/>
                <w:sz w:val="24"/>
                <w:lang w:val="en-US" w:eastAsia="zh-CN"/>
              </w:rPr>
              <w:t>9</w:t>
            </w:r>
            <w:r>
              <w:rPr>
                <w:rFonts w:hint="default" w:ascii="Times New Roman" w:hAnsi="Times New Roman" w:eastAsia="宋体" w:cs="Times New Roman"/>
                <w:b/>
                <w:bCs/>
                <w:color w:val="auto"/>
                <w:sz w:val="24"/>
              </w:rPr>
              <w:t>与HJ2026-2013相符性对照表</w:t>
            </w:r>
          </w:p>
          <w:tbl>
            <w:tblPr>
              <w:tblStyle w:val="36"/>
              <w:tblW w:w="78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0"/>
              <w:gridCol w:w="518"/>
              <w:gridCol w:w="4623"/>
              <w:gridCol w:w="1631"/>
              <w:gridCol w:w="656"/>
            </w:tblGrid>
            <w:tr w14:paraId="0D448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9" w:type="pct"/>
                  <w:tcBorders>
                    <w:tl2br w:val="nil"/>
                    <w:tr2bl w:val="nil"/>
                  </w:tcBorders>
                  <w:vAlign w:val="center"/>
                </w:tcPr>
                <w:p w14:paraId="6906D60A">
                  <w:pPr>
                    <w:widowControl/>
                    <w:snapToGrid w:val="0"/>
                    <w:jc w:val="center"/>
                    <w:rPr>
                      <w:rFonts w:hint="eastAsia"/>
                      <w:b/>
                      <w:bCs/>
                      <w:color w:val="auto"/>
                      <w:szCs w:val="21"/>
                    </w:rPr>
                  </w:pPr>
                  <w:r>
                    <w:rPr>
                      <w:rFonts w:hint="eastAsia"/>
                      <w:b/>
                      <w:bCs/>
                      <w:color w:val="auto"/>
                      <w:szCs w:val="21"/>
                    </w:rPr>
                    <w:t>序号</w:t>
                  </w:r>
                </w:p>
              </w:tc>
              <w:tc>
                <w:tcPr>
                  <w:tcW w:w="3287" w:type="pct"/>
                  <w:gridSpan w:val="2"/>
                  <w:tcBorders>
                    <w:tl2br w:val="nil"/>
                    <w:tr2bl w:val="nil"/>
                  </w:tcBorders>
                  <w:vAlign w:val="center"/>
                </w:tcPr>
                <w:p w14:paraId="792279A7">
                  <w:pPr>
                    <w:widowControl/>
                    <w:snapToGrid w:val="0"/>
                    <w:jc w:val="center"/>
                    <w:rPr>
                      <w:rFonts w:hint="eastAsia"/>
                      <w:b/>
                      <w:bCs/>
                      <w:color w:val="auto"/>
                      <w:szCs w:val="21"/>
                    </w:rPr>
                  </w:pPr>
                  <w:r>
                    <w:rPr>
                      <w:rFonts w:hint="eastAsia"/>
                      <w:b/>
                      <w:bCs/>
                      <w:color w:val="auto"/>
                      <w:szCs w:val="21"/>
                    </w:rPr>
                    <w:t>基本要求</w:t>
                  </w:r>
                </w:p>
              </w:tc>
              <w:tc>
                <w:tcPr>
                  <w:tcW w:w="1043" w:type="pct"/>
                  <w:tcBorders>
                    <w:tl2br w:val="nil"/>
                    <w:tr2bl w:val="nil"/>
                  </w:tcBorders>
                  <w:vAlign w:val="center"/>
                </w:tcPr>
                <w:p w14:paraId="22040D64">
                  <w:pPr>
                    <w:widowControl/>
                    <w:snapToGrid w:val="0"/>
                    <w:jc w:val="center"/>
                    <w:rPr>
                      <w:rFonts w:hint="eastAsia"/>
                      <w:b/>
                      <w:bCs/>
                      <w:color w:val="auto"/>
                      <w:szCs w:val="21"/>
                    </w:rPr>
                  </w:pPr>
                  <w:r>
                    <w:rPr>
                      <w:rFonts w:hint="eastAsia"/>
                      <w:b/>
                      <w:bCs/>
                      <w:color w:val="auto"/>
                      <w:szCs w:val="21"/>
                    </w:rPr>
                    <w:t>相符性分析</w:t>
                  </w:r>
                </w:p>
              </w:tc>
              <w:tc>
                <w:tcPr>
                  <w:tcW w:w="419" w:type="pct"/>
                  <w:tcBorders>
                    <w:tl2br w:val="nil"/>
                    <w:tr2bl w:val="nil"/>
                  </w:tcBorders>
                  <w:vAlign w:val="center"/>
                </w:tcPr>
                <w:p w14:paraId="5A2A7D6B">
                  <w:pPr>
                    <w:widowControl/>
                    <w:snapToGrid w:val="0"/>
                    <w:jc w:val="center"/>
                    <w:rPr>
                      <w:rFonts w:hint="eastAsia"/>
                      <w:b/>
                      <w:bCs/>
                      <w:color w:val="auto"/>
                      <w:szCs w:val="21"/>
                    </w:rPr>
                  </w:pPr>
                  <w:r>
                    <w:rPr>
                      <w:rFonts w:hint="eastAsia"/>
                      <w:b/>
                      <w:bCs/>
                      <w:color w:val="auto"/>
                      <w:szCs w:val="21"/>
                    </w:rPr>
                    <w:t>是否相符</w:t>
                  </w:r>
                </w:p>
              </w:tc>
            </w:tr>
            <w:tr w14:paraId="2F2A6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49" w:type="pct"/>
                  <w:tcBorders>
                    <w:tl2br w:val="nil"/>
                    <w:tr2bl w:val="nil"/>
                  </w:tcBorders>
                  <w:vAlign w:val="center"/>
                </w:tcPr>
                <w:p w14:paraId="464B598E">
                  <w:pPr>
                    <w:widowControl/>
                    <w:snapToGrid w:val="0"/>
                    <w:jc w:val="center"/>
                    <w:rPr>
                      <w:rFonts w:hint="eastAsia"/>
                      <w:color w:val="auto"/>
                      <w:szCs w:val="21"/>
                    </w:rPr>
                  </w:pPr>
                  <w:r>
                    <w:rPr>
                      <w:rFonts w:hint="eastAsia"/>
                      <w:color w:val="auto"/>
                      <w:szCs w:val="21"/>
                    </w:rPr>
                    <w:t>1</w:t>
                  </w:r>
                </w:p>
              </w:tc>
              <w:tc>
                <w:tcPr>
                  <w:tcW w:w="331" w:type="pct"/>
                  <w:tcBorders>
                    <w:tl2br w:val="nil"/>
                    <w:tr2bl w:val="nil"/>
                  </w:tcBorders>
                  <w:vAlign w:val="center"/>
                </w:tcPr>
                <w:p w14:paraId="74D2DDF7">
                  <w:pPr>
                    <w:widowControl/>
                    <w:snapToGrid w:val="0"/>
                    <w:jc w:val="center"/>
                    <w:rPr>
                      <w:rFonts w:hint="eastAsia"/>
                      <w:color w:val="auto"/>
                      <w:szCs w:val="21"/>
                    </w:rPr>
                  </w:pPr>
                  <w:r>
                    <w:rPr>
                      <w:rFonts w:hint="eastAsia"/>
                      <w:color w:val="auto"/>
                      <w:szCs w:val="21"/>
                    </w:rPr>
                    <w:t>6.1一般规定</w:t>
                  </w:r>
                </w:p>
              </w:tc>
              <w:tc>
                <w:tcPr>
                  <w:tcW w:w="2956" w:type="pct"/>
                  <w:tcBorders>
                    <w:tl2br w:val="nil"/>
                    <w:tr2bl w:val="nil"/>
                  </w:tcBorders>
                  <w:vAlign w:val="center"/>
                </w:tcPr>
                <w:p w14:paraId="7E1C6490">
                  <w:pPr>
                    <w:widowControl/>
                    <w:snapToGrid w:val="0"/>
                    <w:jc w:val="left"/>
                    <w:rPr>
                      <w:rFonts w:hint="eastAsia"/>
                      <w:color w:val="auto"/>
                      <w:szCs w:val="21"/>
                    </w:rPr>
                  </w:pPr>
                  <w:r>
                    <w:rPr>
                      <w:rFonts w:hint="eastAsia"/>
                      <w:color w:val="auto"/>
                      <w:szCs w:val="21"/>
                    </w:rPr>
                    <w:t>6.1.1 在进行工艺路线选择之前，根据废气中有机物的回收价值和处理费用进行经济核算，优先选用回收工艺。</w:t>
                  </w:r>
                </w:p>
                <w:p w14:paraId="5A6E736F">
                  <w:pPr>
                    <w:widowControl/>
                    <w:snapToGrid w:val="0"/>
                    <w:jc w:val="left"/>
                    <w:rPr>
                      <w:rFonts w:hint="eastAsia"/>
                      <w:color w:val="auto"/>
                      <w:szCs w:val="21"/>
                    </w:rPr>
                  </w:pPr>
                  <w:r>
                    <w:rPr>
                      <w:rFonts w:hint="eastAsia"/>
                      <w:color w:val="auto"/>
                      <w:szCs w:val="21"/>
                    </w:rPr>
                    <w:t>6.1.2 治理工程的处理能力应根据废气的处理量确定，设计风量宜按照最大废气排放量的120%进行设计。</w:t>
                  </w:r>
                </w:p>
                <w:p w14:paraId="7AA53CD5">
                  <w:pPr>
                    <w:widowControl/>
                    <w:snapToGrid w:val="0"/>
                    <w:jc w:val="left"/>
                    <w:rPr>
                      <w:rFonts w:hint="eastAsia"/>
                      <w:color w:val="auto"/>
                      <w:szCs w:val="21"/>
                    </w:rPr>
                  </w:pPr>
                  <w:r>
                    <w:rPr>
                      <w:rFonts w:hint="eastAsia"/>
                      <w:color w:val="auto"/>
                      <w:szCs w:val="21"/>
                    </w:rPr>
                    <w:t>6.1.3吸附装置的净化效率不得低于90%。</w:t>
                  </w:r>
                </w:p>
                <w:p w14:paraId="4F644AB3">
                  <w:pPr>
                    <w:widowControl/>
                    <w:snapToGrid w:val="0"/>
                    <w:jc w:val="left"/>
                    <w:rPr>
                      <w:rFonts w:hint="eastAsia"/>
                      <w:color w:val="auto"/>
                      <w:szCs w:val="21"/>
                    </w:rPr>
                  </w:pPr>
                  <w:r>
                    <w:rPr>
                      <w:rFonts w:hint="eastAsia"/>
                      <w:color w:val="auto"/>
                      <w:szCs w:val="21"/>
                    </w:rPr>
                    <w:t>6.1.4 排气筒的设计应满足GB 50051的规定。</w:t>
                  </w:r>
                </w:p>
              </w:tc>
              <w:tc>
                <w:tcPr>
                  <w:tcW w:w="1043" w:type="pct"/>
                  <w:tcBorders>
                    <w:tl2br w:val="nil"/>
                    <w:tr2bl w:val="nil"/>
                  </w:tcBorders>
                  <w:vAlign w:val="center"/>
                </w:tcPr>
                <w:p w14:paraId="614FD732">
                  <w:pPr>
                    <w:widowControl/>
                    <w:snapToGrid w:val="0"/>
                    <w:jc w:val="center"/>
                    <w:rPr>
                      <w:rFonts w:hint="default" w:eastAsia="宋体"/>
                      <w:color w:val="FF0000"/>
                      <w:szCs w:val="21"/>
                      <w:lang w:val="en-US" w:eastAsia="zh-CN"/>
                    </w:rPr>
                  </w:pPr>
                  <w:r>
                    <w:rPr>
                      <w:rFonts w:hint="eastAsia"/>
                      <w:color w:val="auto"/>
                      <w:szCs w:val="21"/>
                    </w:rPr>
                    <w:t>废气收集及处理系统设计风量为</w:t>
                  </w:r>
                  <w:r>
                    <w:rPr>
                      <w:rFonts w:hint="eastAsia"/>
                      <w:color w:val="auto"/>
                      <w:szCs w:val="21"/>
                      <w:lang w:val="en-US" w:eastAsia="zh-CN"/>
                    </w:rPr>
                    <w:t>40</w:t>
                  </w:r>
                  <w:r>
                    <w:rPr>
                      <w:rFonts w:hint="eastAsia"/>
                      <w:color w:val="auto"/>
                      <w:szCs w:val="21"/>
                    </w:rPr>
                    <w:t>00m</w:t>
                  </w:r>
                  <w:r>
                    <w:rPr>
                      <w:rFonts w:hint="eastAsia"/>
                      <w:color w:val="auto"/>
                      <w:szCs w:val="21"/>
                      <w:vertAlign w:val="superscript"/>
                    </w:rPr>
                    <w:t>3</w:t>
                  </w:r>
                  <w:r>
                    <w:rPr>
                      <w:rFonts w:hint="eastAsia"/>
                      <w:color w:val="auto"/>
                      <w:szCs w:val="21"/>
                    </w:rPr>
                    <w:t>/h（</w:t>
                  </w:r>
                  <w:r>
                    <w:rPr>
                      <w:rFonts w:hint="eastAsia"/>
                      <w:color w:val="auto"/>
                      <w:szCs w:val="21"/>
                      <w:lang w:val="en-US" w:eastAsia="zh-CN"/>
                    </w:rPr>
                    <w:t>可满足120%设计</w:t>
                  </w:r>
                  <w:r>
                    <w:rPr>
                      <w:rFonts w:hint="eastAsia"/>
                      <w:color w:val="auto"/>
                      <w:szCs w:val="21"/>
                    </w:rPr>
                    <w:t>），净化效率90%</w:t>
                  </w:r>
                  <w:r>
                    <w:rPr>
                      <w:rFonts w:hint="eastAsia"/>
                      <w:color w:val="auto"/>
                      <w:szCs w:val="21"/>
                      <w:lang w:eastAsia="zh-CN"/>
                    </w:rPr>
                    <w:t>，</w:t>
                  </w:r>
                  <w:r>
                    <w:rPr>
                      <w:rFonts w:hint="eastAsia"/>
                      <w:color w:val="auto"/>
                      <w:szCs w:val="21"/>
                      <w:lang w:val="en-US" w:eastAsia="zh-CN"/>
                    </w:rPr>
                    <w:t>设置规范化排气筒。</w:t>
                  </w:r>
                </w:p>
              </w:tc>
              <w:tc>
                <w:tcPr>
                  <w:tcW w:w="419" w:type="pct"/>
                  <w:tcBorders>
                    <w:tl2br w:val="nil"/>
                    <w:tr2bl w:val="nil"/>
                  </w:tcBorders>
                  <w:vAlign w:val="center"/>
                </w:tcPr>
                <w:p w14:paraId="43790C8D">
                  <w:pPr>
                    <w:widowControl/>
                    <w:snapToGrid w:val="0"/>
                    <w:jc w:val="center"/>
                    <w:rPr>
                      <w:rFonts w:hint="eastAsia"/>
                      <w:color w:val="auto"/>
                      <w:szCs w:val="21"/>
                    </w:rPr>
                  </w:pPr>
                  <w:r>
                    <w:rPr>
                      <w:rFonts w:hint="eastAsia"/>
                      <w:color w:val="auto"/>
                      <w:szCs w:val="21"/>
                    </w:rPr>
                    <w:t>是</w:t>
                  </w:r>
                </w:p>
              </w:tc>
            </w:tr>
            <w:tr w14:paraId="64E9A4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6" w:hRule="atLeast"/>
                <w:jc w:val="center"/>
              </w:trPr>
              <w:tc>
                <w:tcPr>
                  <w:tcW w:w="249" w:type="pct"/>
                  <w:tcBorders>
                    <w:tl2br w:val="nil"/>
                    <w:tr2bl w:val="nil"/>
                  </w:tcBorders>
                  <w:vAlign w:val="center"/>
                </w:tcPr>
                <w:p w14:paraId="37E6317C">
                  <w:pPr>
                    <w:widowControl/>
                    <w:snapToGrid w:val="0"/>
                    <w:jc w:val="center"/>
                    <w:rPr>
                      <w:rFonts w:hint="eastAsia"/>
                      <w:color w:val="auto"/>
                      <w:szCs w:val="21"/>
                    </w:rPr>
                  </w:pPr>
                  <w:r>
                    <w:rPr>
                      <w:rFonts w:hint="eastAsia"/>
                      <w:color w:val="auto"/>
                      <w:szCs w:val="21"/>
                    </w:rPr>
                    <w:t>2</w:t>
                  </w:r>
                </w:p>
              </w:tc>
              <w:tc>
                <w:tcPr>
                  <w:tcW w:w="331" w:type="pct"/>
                  <w:vMerge w:val="restart"/>
                  <w:tcBorders>
                    <w:tl2br w:val="nil"/>
                    <w:tr2bl w:val="nil"/>
                  </w:tcBorders>
                  <w:vAlign w:val="center"/>
                </w:tcPr>
                <w:p w14:paraId="2DAC57D5">
                  <w:pPr>
                    <w:widowControl/>
                    <w:snapToGrid w:val="0"/>
                    <w:jc w:val="center"/>
                    <w:rPr>
                      <w:rFonts w:hint="eastAsia"/>
                      <w:color w:val="auto"/>
                      <w:szCs w:val="21"/>
                    </w:rPr>
                  </w:pPr>
                  <w:r>
                    <w:rPr>
                      <w:rFonts w:hint="eastAsia"/>
                      <w:color w:val="auto"/>
                      <w:szCs w:val="21"/>
                    </w:rPr>
                    <w:t>6.3 工艺设计要求</w:t>
                  </w:r>
                </w:p>
              </w:tc>
              <w:tc>
                <w:tcPr>
                  <w:tcW w:w="2956" w:type="pct"/>
                  <w:tcBorders>
                    <w:tl2br w:val="nil"/>
                    <w:tr2bl w:val="nil"/>
                  </w:tcBorders>
                  <w:vAlign w:val="center"/>
                </w:tcPr>
                <w:p w14:paraId="0984821A">
                  <w:pPr>
                    <w:widowControl/>
                    <w:snapToGrid w:val="0"/>
                    <w:jc w:val="left"/>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6.3.1 废气收集</w:t>
                  </w:r>
                </w:p>
                <w:p w14:paraId="1B4D5B39">
                  <w:pPr>
                    <w:widowControl/>
                    <w:snapToGrid w:val="0"/>
                    <w:jc w:val="left"/>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6.3.1.1 废气收集系统设计应符合GB 50019的规定。</w:t>
                  </w:r>
                </w:p>
                <w:p w14:paraId="7DFA0C4F">
                  <w:pPr>
                    <w:widowControl/>
                    <w:snapToGrid w:val="0"/>
                    <w:jc w:val="left"/>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6.3.1.2 应尽可能利用主体生产装置本身的集气系统进行收集。集气罩的配置应与生产工艺协调一致，不影响工艺操作。在保证收集能力的前提下，应结构简单，便于安装和维护管理。</w:t>
                  </w:r>
                </w:p>
                <w:p w14:paraId="0D16E749">
                  <w:pPr>
                    <w:widowControl/>
                    <w:snapToGrid w:val="0"/>
                    <w:jc w:val="left"/>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6.3.1.3 确定集气罩的吸气口位置、结构和风速时，应使罩口呈微负压状态，且罩内负压均匀。</w:t>
                  </w:r>
                </w:p>
                <w:p w14:paraId="0696FA68">
                  <w:pPr>
                    <w:widowControl/>
                    <w:snapToGrid w:val="0"/>
                    <w:jc w:val="left"/>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6.3.1.4 集气罩的吸气方向应尽可能与污染气流运动方向一致，防止吸气罩周围气流紊乱，避免或减弱干扰气流和送风气流等对吸气气流的影响。</w:t>
                  </w:r>
                </w:p>
                <w:p w14:paraId="16298BAA">
                  <w:pPr>
                    <w:widowControl/>
                    <w:snapToGrid w:val="0"/>
                    <w:jc w:val="left"/>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6.3.1.5 当废气产生点较多、彼此距离较远时，应适当分设多套收集系统。</w:t>
                  </w:r>
                </w:p>
              </w:tc>
              <w:tc>
                <w:tcPr>
                  <w:tcW w:w="1043" w:type="pct"/>
                  <w:tcBorders>
                    <w:tl2br w:val="nil"/>
                    <w:tr2bl w:val="nil"/>
                  </w:tcBorders>
                  <w:vAlign w:val="center"/>
                </w:tcPr>
                <w:p w14:paraId="516C71EC">
                  <w:pPr>
                    <w:widowControl/>
                    <w:snapToGrid w:val="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发泡废气、擦拭废气由风管收集后送入TA001废气收集及处理系统（两级活性炭）</w:t>
                  </w:r>
                  <w:r>
                    <w:rPr>
                      <w:rFonts w:hint="default" w:ascii="Times New Roman" w:hAnsi="Times New Roman" w:eastAsia="宋体" w:cs="Times New Roman"/>
                      <w:color w:val="auto"/>
                      <w:szCs w:val="21"/>
                      <w:lang w:val="en-US" w:eastAsia="zh-CN"/>
                    </w:rPr>
                    <w:t>处理</w:t>
                  </w:r>
                  <w:r>
                    <w:rPr>
                      <w:rFonts w:hint="eastAsia" w:ascii="Times New Roman" w:hAnsi="Times New Roman" w:eastAsia="宋体" w:cs="Times New Roman"/>
                      <w:color w:val="auto"/>
                      <w:szCs w:val="21"/>
                      <w:lang w:val="en-US" w:eastAsia="zh-CN"/>
                    </w:rPr>
                    <w:t>后</w:t>
                  </w:r>
                  <w:r>
                    <w:rPr>
                      <w:rFonts w:hint="default" w:ascii="Times New Roman" w:hAnsi="Times New Roman" w:eastAsia="宋体" w:cs="Times New Roman"/>
                      <w:color w:val="auto"/>
                      <w:szCs w:val="21"/>
                      <w:lang w:val="en-US" w:eastAsia="zh-CN"/>
                    </w:rPr>
                    <w:t>通过1根</w:t>
                  </w:r>
                  <w:r>
                    <w:rPr>
                      <w:rFonts w:hint="eastAsia" w:cs="Times New Roman"/>
                      <w:color w:val="auto"/>
                      <w:szCs w:val="21"/>
                      <w:lang w:val="en-US" w:eastAsia="zh-CN"/>
                    </w:rPr>
                    <w:t>40米</w:t>
                  </w:r>
                  <w:r>
                    <w:rPr>
                      <w:rFonts w:hint="default" w:ascii="Times New Roman" w:hAnsi="Times New Roman" w:eastAsia="宋体" w:cs="Times New Roman"/>
                      <w:color w:val="auto"/>
                      <w:szCs w:val="21"/>
                      <w:lang w:val="en-US" w:eastAsia="zh-CN"/>
                    </w:rPr>
                    <w:t>高排气筒</w:t>
                  </w:r>
                  <w:r>
                    <w:rPr>
                      <w:rFonts w:hint="eastAsia" w:ascii="Times New Roman" w:hAnsi="Times New Roman" w:eastAsia="宋体" w:cs="Times New Roman"/>
                      <w:color w:val="auto"/>
                      <w:szCs w:val="21"/>
                      <w:lang w:val="en-US" w:eastAsia="zh-CN"/>
                    </w:rPr>
                    <w:t>（DA001）</w:t>
                  </w:r>
                  <w:r>
                    <w:rPr>
                      <w:rFonts w:hint="default" w:ascii="Times New Roman" w:hAnsi="Times New Roman" w:eastAsia="宋体" w:cs="Times New Roman"/>
                      <w:color w:val="auto"/>
                      <w:szCs w:val="21"/>
                      <w:lang w:val="en-US" w:eastAsia="zh-CN"/>
                    </w:rPr>
                    <w:t>排放。</w:t>
                  </w:r>
                  <w:r>
                    <w:rPr>
                      <w:rFonts w:hint="eastAsia" w:ascii="Times New Roman" w:hAnsi="Times New Roman" w:eastAsia="宋体" w:cs="Times New Roman"/>
                      <w:color w:val="auto"/>
                      <w:szCs w:val="21"/>
                      <w:lang w:val="en-US" w:eastAsia="zh-CN"/>
                    </w:rPr>
                    <w:t>废气收集装置设计合理，</w:t>
                  </w:r>
                  <w:r>
                    <w:rPr>
                      <w:rFonts w:hint="eastAsia" w:ascii="Times New Roman" w:hAnsi="Times New Roman" w:eastAsia="宋体" w:cs="Times New Roman"/>
                      <w:color w:val="auto"/>
                      <w:szCs w:val="21"/>
                    </w:rPr>
                    <w:t>不影响工艺操作。</w:t>
                  </w:r>
                </w:p>
              </w:tc>
              <w:tc>
                <w:tcPr>
                  <w:tcW w:w="419" w:type="pct"/>
                  <w:tcBorders>
                    <w:tl2br w:val="nil"/>
                    <w:tr2bl w:val="nil"/>
                  </w:tcBorders>
                  <w:vAlign w:val="center"/>
                </w:tcPr>
                <w:p w14:paraId="686EFB87">
                  <w:pPr>
                    <w:widowControl/>
                    <w:snapToGrid w:val="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是</w:t>
                  </w:r>
                </w:p>
              </w:tc>
            </w:tr>
            <w:tr w14:paraId="3D6F4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249" w:type="pct"/>
                  <w:tcBorders>
                    <w:tl2br w:val="nil"/>
                    <w:tr2bl w:val="nil"/>
                  </w:tcBorders>
                  <w:vAlign w:val="center"/>
                </w:tcPr>
                <w:p w14:paraId="0D6640DF">
                  <w:pPr>
                    <w:widowControl/>
                    <w:snapToGrid w:val="0"/>
                    <w:jc w:val="center"/>
                    <w:rPr>
                      <w:rFonts w:hint="eastAsia"/>
                      <w:color w:val="auto"/>
                      <w:szCs w:val="21"/>
                    </w:rPr>
                  </w:pPr>
                  <w:r>
                    <w:rPr>
                      <w:rFonts w:hint="eastAsia"/>
                      <w:color w:val="auto"/>
                      <w:szCs w:val="21"/>
                    </w:rPr>
                    <w:t>3</w:t>
                  </w:r>
                </w:p>
              </w:tc>
              <w:tc>
                <w:tcPr>
                  <w:tcW w:w="331" w:type="pct"/>
                  <w:vMerge w:val="continue"/>
                  <w:tcBorders>
                    <w:tl2br w:val="nil"/>
                    <w:tr2bl w:val="nil"/>
                  </w:tcBorders>
                  <w:vAlign w:val="center"/>
                </w:tcPr>
                <w:p w14:paraId="32CD5790">
                  <w:pPr>
                    <w:widowControl/>
                    <w:snapToGrid w:val="0"/>
                    <w:jc w:val="center"/>
                    <w:rPr>
                      <w:rFonts w:hint="eastAsia"/>
                      <w:color w:val="auto"/>
                      <w:szCs w:val="21"/>
                    </w:rPr>
                  </w:pPr>
                </w:p>
              </w:tc>
              <w:tc>
                <w:tcPr>
                  <w:tcW w:w="2956" w:type="pct"/>
                  <w:tcBorders>
                    <w:tl2br w:val="nil"/>
                    <w:tr2bl w:val="nil"/>
                  </w:tcBorders>
                  <w:vAlign w:val="center"/>
                </w:tcPr>
                <w:p w14:paraId="53A983A9">
                  <w:pPr>
                    <w:widowControl/>
                    <w:snapToGrid w:val="0"/>
                    <w:jc w:val="both"/>
                    <w:rPr>
                      <w:rFonts w:hint="eastAsia"/>
                      <w:color w:val="auto"/>
                      <w:szCs w:val="21"/>
                    </w:rPr>
                  </w:pPr>
                  <w:r>
                    <w:rPr>
                      <w:rFonts w:hint="eastAsia"/>
                      <w:color w:val="auto"/>
                      <w:szCs w:val="21"/>
                    </w:rPr>
                    <w:t>6.3.2预处理</w:t>
                  </w:r>
                </w:p>
                <w:p w14:paraId="7D499745">
                  <w:pPr>
                    <w:widowControl/>
                    <w:snapToGrid w:val="0"/>
                    <w:jc w:val="both"/>
                    <w:rPr>
                      <w:rFonts w:hint="eastAsia"/>
                      <w:color w:val="auto"/>
                      <w:szCs w:val="21"/>
                    </w:rPr>
                  </w:pPr>
                  <w:r>
                    <w:rPr>
                      <w:rFonts w:hint="eastAsia"/>
                      <w:color w:val="auto"/>
                      <w:szCs w:val="21"/>
                    </w:rPr>
                    <w:t>6.3.2.1预处理设备应根据废气的成分、性质和影响吸附过程的物质性质及含量进行选择。</w:t>
                  </w:r>
                </w:p>
                <w:p w14:paraId="7B9619F4">
                  <w:pPr>
                    <w:widowControl/>
                    <w:snapToGrid w:val="0"/>
                    <w:jc w:val="both"/>
                    <w:rPr>
                      <w:rFonts w:hint="eastAsia"/>
                      <w:color w:val="auto"/>
                      <w:szCs w:val="21"/>
                    </w:rPr>
                  </w:pPr>
                  <w:r>
                    <w:rPr>
                      <w:rFonts w:hint="eastAsia"/>
                      <w:color w:val="auto"/>
                      <w:szCs w:val="21"/>
                    </w:rPr>
                    <w:t>6.3.2.2当废气中颗粒物含量超过1mg/m</w:t>
                  </w:r>
                  <w:r>
                    <w:rPr>
                      <w:rFonts w:hint="eastAsia"/>
                      <w:color w:val="auto"/>
                      <w:szCs w:val="21"/>
                      <w:vertAlign w:val="superscript"/>
                    </w:rPr>
                    <w:t>3</w:t>
                  </w:r>
                  <w:r>
                    <w:rPr>
                      <w:rFonts w:hint="eastAsia"/>
                      <w:color w:val="auto"/>
                      <w:szCs w:val="21"/>
                    </w:rPr>
                    <w:t>时，应先采用过滤或洗涤等方式进行预处理。</w:t>
                  </w:r>
                </w:p>
                <w:p w14:paraId="2E641A13">
                  <w:pPr>
                    <w:widowControl/>
                    <w:snapToGrid w:val="0"/>
                    <w:jc w:val="both"/>
                    <w:rPr>
                      <w:rFonts w:hint="eastAsia"/>
                      <w:color w:val="auto"/>
                      <w:szCs w:val="21"/>
                    </w:rPr>
                  </w:pPr>
                  <w:r>
                    <w:rPr>
                      <w:rFonts w:hint="eastAsia"/>
                      <w:color w:val="auto"/>
                      <w:szCs w:val="21"/>
                    </w:rPr>
                    <w:t>6.3.2.3当废气中含有吸附后难以脱附或造成吸附剂中毒的成分时，应采用洗涤或预吸附等预处理方式处理。</w:t>
                  </w:r>
                </w:p>
                <w:p w14:paraId="67F86A81">
                  <w:pPr>
                    <w:widowControl/>
                    <w:snapToGrid w:val="0"/>
                    <w:jc w:val="both"/>
                    <w:rPr>
                      <w:rFonts w:hint="eastAsia"/>
                      <w:color w:val="auto"/>
                      <w:szCs w:val="21"/>
                    </w:rPr>
                  </w:pPr>
                  <w:r>
                    <w:rPr>
                      <w:rFonts w:hint="eastAsia"/>
                      <w:color w:val="auto"/>
                      <w:szCs w:val="21"/>
                    </w:rPr>
                    <w:t>6.3.2.4 当废气中有机物浓度较高时，应采用冷凝或稀释等方式调节至满足4.1的要求。当废气温度较高时，采用换热或稀释等方式调节至满足4. 4的要求。</w:t>
                  </w:r>
                </w:p>
              </w:tc>
              <w:tc>
                <w:tcPr>
                  <w:tcW w:w="1043" w:type="pct"/>
                  <w:tcBorders>
                    <w:tl2br w:val="nil"/>
                    <w:tr2bl w:val="nil"/>
                  </w:tcBorders>
                  <w:vAlign w:val="center"/>
                </w:tcPr>
                <w:p w14:paraId="56F2AD84">
                  <w:pPr>
                    <w:widowControl/>
                    <w:snapToGrid w:val="0"/>
                    <w:jc w:val="center"/>
                    <w:rPr>
                      <w:rFonts w:hint="eastAsia"/>
                      <w:color w:val="auto"/>
                      <w:szCs w:val="21"/>
                    </w:rPr>
                  </w:pPr>
                  <w:r>
                    <w:rPr>
                      <w:rFonts w:hint="eastAsia"/>
                      <w:color w:val="auto"/>
                      <w:szCs w:val="21"/>
                    </w:rPr>
                    <w:t>废气中主要污染物为非甲烷总烃，</w:t>
                  </w:r>
                  <w:r>
                    <w:rPr>
                      <w:rFonts w:hint="eastAsia"/>
                      <w:color w:val="auto"/>
                      <w:szCs w:val="21"/>
                      <w:lang w:val="en-US" w:eastAsia="zh-CN"/>
                    </w:rPr>
                    <w:t>无颗粒物</w:t>
                  </w:r>
                  <w:r>
                    <w:rPr>
                      <w:rFonts w:hint="eastAsia"/>
                      <w:color w:val="auto"/>
                      <w:szCs w:val="21"/>
                    </w:rPr>
                    <w:t>，废气温度小于40</w:t>
                  </w:r>
                  <w:r>
                    <w:rPr>
                      <w:rFonts w:hint="eastAsia" w:cs="Times New Roman"/>
                      <w:color w:val="auto"/>
                      <w:szCs w:val="21"/>
                      <w:lang w:eastAsia="zh-CN"/>
                    </w:rPr>
                    <w:t>℃</w:t>
                  </w:r>
                  <w:r>
                    <w:rPr>
                      <w:rFonts w:hint="eastAsia"/>
                      <w:color w:val="auto"/>
                      <w:szCs w:val="21"/>
                    </w:rPr>
                    <w:t>。</w:t>
                  </w:r>
                </w:p>
              </w:tc>
              <w:tc>
                <w:tcPr>
                  <w:tcW w:w="419" w:type="pct"/>
                  <w:tcBorders>
                    <w:tl2br w:val="nil"/>
                    <w:tr2bl w:val="nil"/>
                  </w:tcBorders>
                  <w:vAlign w:val="center"/>
                </w:tcPr>
                <w:p w14:paraId="03ACD9AF">
                  <w:pPr>
                    <w:widowControl/>
                    <w:snapToGrid w:val="0"/>
                    <w:jc w:val="center"/>
                    <w:rPr>
                      <w:rFonts w:hint="eastAsia"/>
                      <w:color w:val="auto"/>
                      <w:szCs w:val="21"/>
                    </w:rPr>
                  </w:pPr>
                  <w:r>
                    <w:rPr>
                      <w:rFonts w:hint="eastAsia"/>
                      <w:color w:val="auto"/>
                      <w:szCs w:val="21"/>
                    </w:rPr>
                    <w:t>是</w:t>
                  </w:r>
                </w:p>
              </w:tc>
            </w:tr>
            <w:tr w14:paraId="60CEB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 w:type="pct"/>
                  <w:tcBorders>
                    <w:tl2br w:val="nil"/>
                    <w:tr2bl w:val="nil"/>
                  </w:tcBorders>
                  <w:vAlign w:val="center"/>
                </w:tcPr>
                <w:p w14:paraId="7E5B15AF">
                  <w:pPr>
                    <w:widowControl/>
                    <w:snapToGrid w:val="0"/>
                    <w:jc w:val="center"/>
                    <w:rPr>
                      <w:rFonts w:hint="eastAsia"/>
                      <w:color w:val="auto"/>
                      <w:szCs w:val="21"/>
                    </w:rPr>
                  </w:pPr>
                  <w:r>
                    <w:rPr>
                      <w:rFonts w:hint="eastAsia"/>
                      <w:color w:val="auto"/>
                      <w:szCs w:val="21"/>
                    </w:rPr>
                    <w:t>4</w:t>
                  </w:r>
                </w:p>
              </w:tc>
              <w:tc>
                <w:tcPr>
                  <w:tcW w:w="331" w:type="pct"/>
                  <w:vMerge w:val="continue"/>
                  <w:tcBorders>
                    <w:tl2br w:val="nil"/>
                    <w:tr2bl w:val="nil"/>
                  </w:tcBorders>
                  <w:vAlign w:val="center"/>
                </w:tcPr>
                <w:p w14:paraId="50E22D77">
                  <w:pPr>
                    <w:widowControl/>
                    <w:snapToGrid w:val="0"/>
                    <w:jc w:val="center"/>
                    <w:rPr>
                      <w:rFonts w:hint="eastAsia"/>
                      <w:color w:val="auto"/>
                      <w:szCs w:val="21"/>
                    </w:rPr>
                  </w:pPr>
                </w:p>
              </w:tc>
              <w:tc>
                <w:tcPr>
                  <w:tcW w:w="2956" w:type="pct"/>
                  <w:tcBorders>
                    <w:tl2br w:val="nil"/>
                    <w:tr2bl w:val="nil"/>
                  </w:tcBorders>
                  <w:vAlign w:val="center"/>
                </w:tcPr>
                <w:p w14:paraId="0AC08DE4">
                  <w:pPr>
                    <w:widowControl/>
                    <w:snapToGrid w:val="0"/>
                    <w:jc w:val="both"/>
                    <w:rPr>
                      <w:rFonts w:hint="eastAsia"/>
                      <w:color w:val="auto"/>
                      <w:szCs w:val="21"/>
                    </w:rPr>
                  </w:pPr>
                  <w:r>
                    <w:rPr>
                      <w:rFonts w:hint="eastAsia"/>
                      <w:color w:val="auto"/>
                      <w:szCs w:val="21"/>
                    </w:rPr>
                    <w:t>6.3.3 吸附</w:t>
                  </w:r>
                </w:p>
                <w:p w14:paraId="49915B0D">
                  <w:pPr>
                    <w:widowControl/>
                    <w:snapToGrid w:val="0"/>
                    <w:jc w:val="both"/>
                    <w:rPr>
                      <w:rFonts w:hint="eastAsia"/>
                      <w:color w:val="auto"/>
                      <w:szCs w:val="21"/>
                    </w:rPr>
                  </w:pPr>
                  <w:r>
                    <w:rPr>
                      <w:rFonts w:hint="eastAsia"/>
                      <w:color w:val="auto"/>
                      <w:szCs w:val="21"/>
                    </w:rPr>
                    <w:t>6.3.3.1吸附剂的选择应符合下列规定：d）蜂窝活性炭和蜂窝分子筛的横向强度应不低于0.3MPa，纵向强度应不低于0.8MPa，蜂窝活性炭的BET比表面积应不低于750m</w:t>
                  </w:r>
                  <w:r>
                    <w:rPr>
                      <w:rFonts w:hint="eastAsia"/>
                      <w:color w:val="auto"/>
                      <w:szCs w:val="21"/>
                      <w:vertAlign w:val="superscript"/>
                    </w:rPr>
                    <w:t>2</w:t>
                  </w:r>
                  <w:r>
                    <w:rPr>
                      <w:rFonts w:hint="eastAsia"/>
                      <w:color w:val="auto"/>
                      <w:szCs w:val="21"/>
                    </w:rPr>
                    <w:t>/g，蜂窝分子筛的BET比表面积应不低于350 m</w:t>
                  </w:r>
                  <w:r>
                    <w:rPr>
                      <w:rFonts w:hint="eastAsia"/>
                      <w:color w:val="auto"/>
                      <w:szCs w:val="21"/>
                      <w:vertAlign w:val="superscript"/>
                    </w:rPr>
                    <w:t>2</w:t>
                  </w:r>
                  <w:r>
                    <w:rPr>
                      <w:rFonts w:hint="eastAsia"/>
                      <w:color w:val="auto"/>
                      <w:szCs w:val="21"/>
                    </w:rPr>
                    <w:t>/g。</w:t>
                  </w:r>
                </w:p>
                <w:p w14:paraId="0CEF2D65">
                  <w:pPr>
                    <w:widowControl/>
                    <w:snapToGrid w:val="0"/>
                    <w:jc w:val="both"/>
                    <w:rPr>
                      <w:rFonts w:hint="eastAsia"/>
                      <w:color w:val="auto"/>
                      <w:szCs w:val="21"/>
                    </w:rPr>
                  </w:pPr>
                  <w:r>
                    <w:rPr>
                      <w:rFonts w:hint="eastAsia"/>
                      <w:color w:val="auto"/>
                      <w:szCs w:val="21"/>
                    </w:rPr>
                    <w:t>6.3.3.4对于采用蜂窝状吸附剂的移动式吸附装置，气体流速宜低于1. 20m/s；对于采用颗粒状吸附剂的移动床和流化床吸附装置，吸附层的气体流速应根据吸附剂的用量、粒度和体密度等确定。</w:t>
                  </w:r>
                </w:p>
              </w:tc>
              <w:tc>
                <w:tcPr>
                  <w:tcW w:w="1043" w:type="pct"/>
                  <w:tcBorders>
                    <w:tl2br w:val="nil"/>
                    <w:tr2bl w:val="nil"/>
                  </w:tcBorders>
                  <w:vAlign w:val="center"/>
                </w:tcPr>
                <w:p w14:paraId="0F1BB15E">
                  <w:pPr>
                    <w:widowControl/>
                    <w:snapToGrid w:val="0"/>
                    <w:jc w:val="center"/>
                    <w:rPr>
                      <w:rFonts w:hint="eastAsia" w:eastAsia="宋体"/>
                      <w:color w:val="FF0000"/>
                      <w:szCs w:val="21"/>
                      <w:lang w:eastAsia="zh-CN"/>
                    </w:rPr>
                  </w:pPr>
                  <w:r>
                    <w:rPr>
                      <w:rFonts w:hint="eastAsia"/>
                      <w:color w:val="auto"/>
                      <w:szCs w:val="21"/>
                    </w:rPr>
                    <w:t>采用</w:t>
                  </w:r>
                  <w:r>
                    <w:rPr>
                      <w:rFonts w:hint="eastAsia" w:ascii="宋体" w:hAnsi="宋体"/>
                      <w:color w:val="auto"/>
                      <w:szCs w:val="21"/>
                    </w:rPr>
                    <w:t>蜂窝</w:t>
                  </w:r>
                  <w:r>
                    <w:rPr>
                      <w:rFonts w:hint="eastAsia"/>
                      <w:color w:val="auto"/>
                      <w:szCs w:val="21"/>
                    </w:rPr>
                    <w:t>活性炭，横向强度不低于0.3MPa，纵向强度不低于0.8MPa</w:t>
                  </w:r>
                  <w:r>
                    <w:rPr>
                      <w:rFonts w:hint="eastAsia"/>
                      <w:color w:val="auto"/>
                      <w:szCs w:val="21"/>
                      <w:lang w:eastAsia="zh-CN"/>
                    </w:rPr>
                    <w:t>，</w:t>
                  </w:r>
                  <w:r>
                    <w:rPr>
                      <w:rFonts w:hint="eastAsia"/>
                      <w:color w:val="auto"/>
                      <w:szCs w:val="21"/>
                      <w:lang w:val="en-US" w:eastAsia="zh-CN"/>
                    </w:rPr>
                    <w:t>B</w:t>
                  </w:r>
                  <w:r>
                    <w:rPr>
                      <w:rFonts w:hint="eastAsia"/>
                      <w:color w:val="auto"/>
                      <w:szCs w:val="21"/>
                    </w:rPr>
                    <w:t>ET比表面积不低于750m</w:t>
                  </w:r>
                  <w:r>
                    <w:rPr>
                      <w:rFonts w:hint="eastAsia"/>
                      <w:color w:val="auto"/>
                      <w:szCs w:val="21"/>
                      <w:vertAlign w:val="superscript"/>
                    </w:rPr>
                    <w:t>2</w:t>
                  </w:r>
                  <w:r>
                    <w:rPr>
                      <w:rFonts w:hint="eastAsia"/>
                      <w:color w:val="auto"/>
                      <w:szCs w:val="21"/>
                    </w:rPr>
                    <w:t>/g</w:t>
                  </w:r>
                  <w:r>
                    <w:rPr>
                      <w:rFonts w:hint="eastAsia"/>
                      <w:color w:val="auto"/>
                      <w:szCs w:val="21"/>
                      <w:lang w:eastAsia="zh-CN"/>
                    </w:rPr>
                    <w:t>。</w:t>
                  </w:r>
                </w:p>
              </w:tc>
              <w:tc>
                <w:tcPr>
                  <w:tcW w:w="419" w:type="pct"/>
                  <w:tcBorders>
                    <w:tl2br w:val="nil"/>
                    <w:tr2bl w:val="nil"/>
                  </w:tcBorders>
                  <w:vAlign w:val="center"/>
                </w:tcPr>
                <w:p w14:paraId="3FC221B7">
                  <w:pPr>
                    <w:widowControl/>
                    <w:snapToGrid w:val="0"/>
                    <w:jc w:val="center"/>
                    <w:rPr>
                      <w:rFonts w:hint="eastAsia"/>
                      <w:color w:val="auto"/>
                      <w:szCs w:val="21"/>
                    </w:rPr>
                  </w:pPr>
                  <w:r>
                    <w:rPr>
                      <w:rFonts w:hint="eastAsia"/>
                      <w:color w:val="auto"/>
                      <w:szCs w:val="21"/>
                    </w:rPr>
                    <w:t>是</w:t>
                  </w:r>
                </w:p>
              </w:tc>
            </w:tr>
          </w:tbl>
          <w:p w14:paraId="08BE434F">
            <w:pPr>
              <w:keepNext w:val="0"/>
              <w:keepLines w:val="0"/>
              <w:pageBreakBefore w:val="0"/>
              <w:widowControl w:val="0"/>
              <w:kinsoku/>
              <w:wordWrap/>
              <w:overflowPunct/>
              <w:topLinePunct w:val="0"/>
              <w:autoSpaceDE/>
              <w:autoSpaceDN/>
              <w:bidi w:val="0"/>
              <w:adjustRightInd w:val="0"/>
              <w:snapToGrid w:val="0"/>
              <w:spacing w:line="240" w:lineRule="auto"/>
              <w:ind w:firstLine="200" w:firstLineChars="200"/>
              <w:textAlignment w:val="auto"/>
              <w:rPr>
                <w:rFonts w:hint="eastAsia"/>
                <w:bCs/>
                <w:color w:val="auto"/>
                <w:sz w:val="10"/>
                <w:szCs w:val="10"/>
              </w:rPr>
            </w:pPr>
          </w:p>
          <w:p w14:paraId="1F0B95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szCs w:val="24"/>
              </w:rPr>
            </w:pPr>
            <w:r>
              <w:rPr>
                <w:rFonts w:hint="eastAsia"/>
                <w:bCs/>
                <w:color w:val="auto"/>
                <w:sz w:val="24"/>
                <w:szCs w:val="24"/>
              </w:rPr>
              <w:t>由上表可知，废气收集及处理系统中活性炭吸附装置与HJ2026-2013相符。</w:t>
            </w:r>
          </w:p>
          <w:p w14:paraId="6FF8B12D">
            <w:pPr>
              <w:widowControl/>
              <w:adjustRightInd w:val="0"/>
              <w:snapToGrid w:val="0"/>
              <w:spacing w:line="360" w:lineRule="auto"/>
              <w:ind w:left="29" w:leftChars="14" w:firstLine="480" w:firstLineChars="200"/>
              <w:jc w:val="left"/>
              <w:rPr>
                <w:rFonts w:hint="default"/>
                <w:b w:val="0"/>
                <w:bCs w:val="0"/>
                <w:color w:val="auto"/>
                <w:sz w:val="24"/>
                <w:szCs w:val="24"/>
                <w:lang w:val="en-US" w:eastAsia="zh-CN"/>
              </w:rPr>
            </w:pPr>
            <w:r>
              <w:rPr>
                <w:rFonts w:hint="eastAsia"/>
                <w:b w:val="0"/>
                <w:bCs w:val="0"/>
                <w:color w:val="auto"/>
                <w:sz w:val="24"/>
                <w:szCs w:val="24"/>
                <w:lang w:val="en-US" w:eastAsia="zh-CN"/>
              </w:rPr>
              <w:t>&lt;2&gt;移动式焊烟净化器</w:t>
            </w:r>
          </w:p>
          <w:p w14:paraId="7F31080F">
            <w:pPr>
              <w:widowControl/>
              <w:adjustRightInd w:val="0"/>
              <w:snapToGrid w:val="0"/>
              <w:spacing w:line="360" w:lineRule="auto"/>
              <w:ind w:left="29" w:leftChars="14" w:firstLine="482" w:firstLineChars="200"/>
              <w:jc w:val="left"/>
            </w:pPr>
            <w:r>
              <w:rPr>
                <w:rFonts w:hint="eastAsia"/>
                <w:b/>
                <w:bCs/>
                <w:color w:val="auto"/>
                <w:sz w:val="24"/>
                <w:szCs w:val="24"/>
                <w:lang w:val="en-US" w:eastAsia="zh-CN"/>
              </w:rPr>
              <w:t>移动式焊烟净化器</w:t>
            </w:r>
            <w:r>
              <w:rPr>
                <w:b/>
                <w:bCs/>
                <w:color w:val="auto"/>
                <w:sz w:val="24"/>
                <w:szCs w:val="24"/>
              </w:rPr>
              <w:t>：</w:t>
            </w:r>
            <w:r>
              <w:rPr>
                <w:color w:val="auto"/>
                <w:sz w:val="24"/>
                <w:szCs w:val="24"/>
              </w:rPr>
              <w:t>内部高</w:t>
            </w:r>
            <w:r>
              <w:rPr>
                <w:color w:val="000000" w:themeColor="text1"/>
                <w:sz w:val="24"/>
                <w:szCs w:val="24"/>
                <w14:textFill>
                  <w14:solidFill>
                    <w14:schemeClr w14:val="tx1"/>
                  </w14:solidFill>
                </w14:textFill>
              </w:rPr>
              <w:t>压</w:t>
            </w:r>
            <w:r>
              <w:rPr>
                <w:color w:val="auto"/>
                <w:sz w:val="24"/>
                <w:szCs w:val="24"/>
              </w:rPr>
              <w:t>风机在吸气臂罩口处形成负压区域，</w:t>
            </w:r>
            <w:r>
              <w:rPr>
                <w:rFonts w:hint="eastAsia"/>
                <w:color w:val="auto"/>
                <w:sz w:val="24"/>
                <w:szCs w:val="24"/>
                <w:lang w:eastAsia="zh-CN"/>
              </w:rPr>
              <w:t>粉尘</w:t>
            </w:r>
            <w:r>
              <w:rPr>
                <w:color w:val="auto"/>
                <w:sz w:val="24"/>
                <w:szCs w:val="24"/>
              </w:rPr>
              <w:t>在负压的作用下由吸气臂进入</w:t>
            </w:r>
            <w:r>
              <w:rPr>
                <w:rFonts w:hint="eastAsia"/>
                <w:color w:val="auto"/>
                <w:sz w:val="24"/>
                <w:szCs w:val="24"/>
                <w:lang w:eastAsia="zh-CN"/>
              </w:rPr>
              <w:t>除尘</w:t>
            </w:r>
            <w:r>
              <w:rPr>
                <w:rFonts w:hint="eastAsia"/>
                <w:color w:val="auto"/>
                <w:sz w:val="24"/>
                <w:szCs w:val="24"/>
              </w:rPr>
              <w:t>器</w:t>
            </w:r>
            <w:r>
              <w:rPr>
                <w:color w:val="auto"/>
                <w:sz w:val="24"/>
                <w:szCs w:val="24"/>
              </w:rPr>
              <w:t>设备主体，</w:t>
            </w:r>
            <w:r>
              <w:rPr>
                <w:rFonts w:hint="eastAsia"/>
                <w:color w:val="auto"/>
                <w:sz w:val="24"/>
                <w:szCs w:val="24"/>
                <w:lang w:eastAsia="zh-CN"/>
              </w:rPr>
              <w:t>粉</w:t>
            </w:r>
            <w:r>
              <w:rPr>
                <w:color w:val="auto"/>
                <w:sz w:val="24"/>
                <w:szCs w:val="24"/>
              </w:rPr>
              <w:t>尘气体进入</w:t>
            </w:r>
            <w:r>
              <w:rPr>
                <w:rFonts w:hint="eastAsia"/>
                <w:color w:val="auto"/>
                <w:sz w:val="24"/>
                <w:szCs w:val="24"/>
                <w:lang w:eastAsia="zh-CN"/>
              </w:rPr>
              <w:t>除尘</w:t>
            </w:r>
            <w:r>
              <w:rPr>
                <w:rFonts w:hint="eastAsia"/>
                <w:color w:val="auto"/>
                <w:sz w:val="24"/>
                <w:szCs w:val="24"/>
              </w:rPr>
              <w:t>器</w:t>
            </w:r>
            <w:r>
              <w:rPr>
                <w:color w:val="auto"/>
                <w:sz w:val="24"/>
                <w:szCs w:val="24"/>
              </w:rPr>
              <w:t>设备主体净化室，高效过滤芯将微小烟雾粉尘颗粒过滤在</w:t>
            </w:r>
            <w:r>
              <w:rPr>
                <w:rFonts w:hint="eastAsia"/>
                <w:color w:val="auto"/>
                <w:sz w:val="24"/>
                <w:szCs w:val="24"/>
                <w:lang w:eastAsia="zh-CN"/>
              </w:rPr>
              <w:t>除尘</w:t>
            </w:r>
            <w:r>
              <w:rPr>
                <w:rFonts w:hint="eastAsia"/>
                <w:color w:val="auto"/>
                <w:sz w:val="24"/>
                <w:szCs w:val="24"/>
              </w:rPr>
              <w:t>器</w:t>
            </w:r>
            <w:r>
              <w:rPr>
                <w:color w:val="auto"/>
                <w:sz w:val="24"/>
                <w:szCs w:val="24"/>
              </w:rPr>
              <w:t>设备净化室内，洁净气体经滤芯过滤净化后进入</w:t>
            </w:r>
            <w:r>
              <w:rPr>
                <w:rFonts w:hint="eastAsia"/>
                <w:color w:val="auto"/>
                <w:sz w:val="24"/>
                <w:szCs w:val="24"/>
                <w:lang w:eastAsia="zh-CN"/>
              </w:rPr>
              <w:t>除尘</w:t>
            </w:r>
            <w:r>
              <w:rPr>
                <w:rFonts w:hint="eastAsia"/>
                <w:color w:val="auto"/>
                <w:sz w:val="24"/>
                <w:szCs w:val="24"/>
              </w:rPr>
              <w:t>器</w:t>
            </w:r>
            <w:r>
              <w:rPr>
                <w:color w:val="auto"/>
                <w:sz w:val="24"/>
                <w:szCs w:val="24"/>
              </w:rPr>
              <w:t>设备洁净室，洁净空气又经活性碳过滤器进一步吸附净化后经出风口排出。</w:t>
            </w:r>
            <w:r>
              <w:rPr>
                <w:rFonts w:hint="eastAsia"/>
                <w:color w:val="auto"/>
                <w:sz w:val="24"/>
                <w:szCs w:val="24"/>
                <w:lang w:eastAsia="zh-CN"/>
              </w:rPr>
              <w:t>除尘</w:t>
            </w:r>
            <w:r>
              <w:rPr>
                <w:rFonts w:hint="eastAsia"/>
                <w:color w:val="auto"/>
                <w:sz w:val="24"/>
                <w:szCs w:val="24"/>
              </w:rPr>
              <w:t>器</w:t>
            </w:r>
            <w:r>
              <w:rPr>
                <w:color w:val="auto"/>
                <w:sz w:val="24"/>
                <w:szCs w:val="24"/>
              </w:rPr>
              <w:t>就此完成了</w:t>
            </w:r>
            <w:r>
              <w:rPr>
                <w:rFonts w:hint="eastAsia"/>
                <w:color w:val="auto"/>
                <w:sz w:val="24"/>
                <w:szCs w:val="24"/>
                <w:lang w:eastAsia="zh-CN"/>
              </w:rPr>
              <w:t>粉尘净化</w:t>
            </w:r>
            <w:r>
              <w:rPr>
                <w:color w:val="auto"/>
                <w:sz w:val="24"/>
                <w:szCs w:val="24"/>
              </w:rPr>
              <w:t>的整个过程。</w:t>
            </w:r>
          </w:p>
          <w:p w14:paraId="668C9AB4">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③</w:t>
            </w:r>
            <w:r>
              <w:rPr>
                <w:rFonts w:hint="eastAsia" w:ascii="Times New Roman" w:hAnsi="Times New Roman" w:eastAsia="宋体" w:cs="Times New Roman"/>
                <w:color w:val="auto"/>
                <w:sz w:val="24"/>
                <w:szCs w:val="24"/>
                <w:lang w:val="en-US" w:eastAsia="zh-CN"/>
              </w:rPr>
              <w:t>污染防治可行技术要求</w:t>
            </w:r>
          </w:p>
          <w:p w14:paraId="5FF678D3">
            <w:pPr>
              <w:adjustRightInd w:val="0"/>
              <w:snapToGrid w:val="0"/>
              <w:spacing w:line="360" w:lineRule="auto"/>
              <w:ind w:firstLine="480" w:firstLineChars="200"/>
              <w:rPr>
                <w:color w:val="auto"/>
                <w:sz w:val="24"/>
                <w:szCs w:val="24"/>
              </w:rPr>
            </w:pPr>
            <w:r>
              <w:rPr>
                <w:rFonts w:hint="eastAsia"/>
                <w:color w:val="auto"/>
                <w:sz w:val="24"/>
                <w:szCs w:val="24"/>
                <w:lang w:eastAsia="zh-CN"/>
              </w:rPr>
              <w:t>本项目</w:t>
            </w:r>
            <w:r>
              <w:rPr>
                <w:rFonts w:hint="eastAsia"/>
                <w:color w:val="auto"/>
                <w:sz w:val="24"/>
                <w:szCs w:val="24"/>
              </w:rPr>
              <w:t>参</w:t>
            </w:r>
            <w:r>
              <w:rPr>
                <w:rFonts w:hint="eastAsia"/>
                <w:color w:val="auto"/>
                <w:sz w:val="24"/>
                <w:szCs w:val="24"/>
                <w:lang w:eastAsia="zh-CN"/>
              </w:rPr>
              <w:t>照《</w:t>
            </w:r>
            <w:r>
              <w:rPr>
                <w:rFonts w:hint="eastAsia"/>
                <w:color w:val="auto"/>
                <w:sz w:val="24"/>
                <w:szCs w:val="24"/>
                <w:lang w:eastAsia="zh-CN"/>
              </w:rPr>
              <w:fldChar w:fldCharType="begin"/>
            </w:r>
            <w:r>
              <w:rPr>
                <w:rFonts w:hint="eastAsia"/>
                <w:color w:val="auto"/>
                <w:sz w:val="24"/>
                <w:szCs w:val="24"/>
                <w:lang w:eastAsia="zh-CN"/>
              </w:rPr>
              <w:instrText xml:space="preserve"> HYPERLINK "http://www.mee.gov.cn/ywgz/fgbz/bz/bzwb/pwxk/201907/t20190726_712441.shtml" </w:instrText>
            </w:r>
            <w:r>
              <w:rPr>
                <w:rFonts w:hint="eastAsia"/>
                <w:color w:val="auto"/>
                <w:sz w:val="24"/>
                <w:szCs w:val="24"/>
                <w:lang w:eastAsia="zh-CN"/>
              </w:rPr>
              <w:fldChar w:fldCharType="separate"/>
            </w:r>
            <w:r>
              <w:rPr>
                <w:rFonts w:hint="eastAsia"/>
                <w:color w:val="auto"/>
                <w:sz w:val="24"/>
                <w:szCs w:val="24"/>
                <w:lang w:eastAsia="zh-CN"/>
              </w:rPr>
              <w:t>排污许可证申请与核发技术规范总则》（HJ942-2018）</w:t>
            </w:r>
            <w:r>
              <w:rPr>
                <w:rFonts w:hint="eastAsia"/>
                <w:color w:val="auto"/>
                <w:sz w:val="24"/>
                <w:szCs w:val="24"/>
                <w:lang w:eastAsia="zh-CN"/>
              </w:rPr>
              <w:fldChar w:fldCharType="end"/>
            </w:r>
            <w:r>
              <w:rPr>
                <w:rFonts w:hint="eastAsia"/>
                <w:color w:val="auto"/>
                <w:sz w:val="24"/>
                <w:szCs w:val="24"/>
                <w:lang w:eastAsia="zh-CN"/>
              </w:rPr>
              <w:t>中要求，设</w:t>
            </w:r>
            <w:r>
              <w:rPr>
                <w:rFonts w:hint="eastAsia"/>
                <w:color w:val="auto"/>
                <w:sz w:val="24"/>
                <w:szCs w:val="24"/>
              </w:rPr>
              <w:t>置污染防治设施。具体污染防治可行技术要求见表4</w:t>
            </w:r>
            <w:r>
              <w:rPr>
                <w:rFonts w:hint="eastAsia"/>
                <w:color w:val="auto"/>
                <w:sz w:val="24"/>
                <w:szCs w:val="24"/>
                <w:lang w:val="en-US" w:eastAsia="zh-CN"/>
              </w:rPr>
              <w:t>-14</w:t>
            </w:r>
            <w:r>
              <w:rPr>
                <w:color w:val="auto"/>
                <w:sz w:val="24"/>
                <w:szCs w:val="24"/>
              </w:rPr>
              <w:t>。</w:t>
            </w:r>
          </w:p>
          <w:p w14:paraId="55724475">
            <w:pPr>
              <w:tabs>
                <w:tab w:val="left" w:pos="1144"/>
              </w:tabs>
              <w:spacing w:line="360" w:lineRule="auto"/>
              <w:ind w:right="6"/>
              <w:jc w:val="center"/>
              <w:rPr>
                <w:rFonts w:hint="eastAsia"/>
                <w:b/>
                <w:bCs/>
                <w:color w:val="auto"/>
                <w:sz w:val="24"/>
                <w:szCs w:val="24"/>
              </w:rPr>
            </w:pPr>
            <w:r>
              <w:rPr>
                <w:rFonts w:hint="eastAsia"/>
                <w:b/>
                <w:bCs/>
                <w:color w:val="auto"/>
                <w:sz w:val="24"/>
                <w:szCs w:val="24"/>
              </w:rPr>
              <w:t>表4</w:t>
            </w:r>
            <w:r>
              <w:rPr>
                <w:rFonts w:hint="eastAsia"/>
                <w:b/>
                <w:bCs/>
                <w:color w:val="auto"/>
                <w:sz w:val="24"/>
                <w:szCs w:val="24"/>
                <w:lang w:val="en-US" w:eastAsia="zh-CN"/>
              </w:rPr>
              <w:t>-14</w:t>
            </w:r>
            <w:r>
              <w:rPr>
                <w:rFonts w:hint="eastAsia"/>
                <w:b/>
                <w:bCs/>
                <w:color w:val="auto"/>
                <w:sz w:val="24"/>
                <w:szCs w:val="24"/>
              </w:rPr>
              <w:t>污染防治可行技术情况</w:t>
            </w:r>
          </w:p>
          <w:tbl>
            <w:tblPr>
              <w:tblStyle w:val="36"/>
              <w:tblW w:w="77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633"/>
              <w:gridCol w:w="1626"/>
              <w:gridCol w:w="1267"/>
              <w:gridCol w:w="1288"/>
              <w:gridCol w:w="911"/>
            </w:tblGrid>
            <w:tr w14:paraId="05EB8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777" w:type="pct"/>
                  <w:gridSpan w:val="3"/>
                  <w:noWrap w:val="0"/>
                  <w:vAlign w:val="center"/>
                </w:tcPr>
                <w:p w14:paraId="2948D2E9">
                  <w:pPr>
                    <w:jc w:val="center"/>
                    <w:rPr>
                      <w:rFonts w:hint="eastAsia"/>
                      <w:b/>
                      <w:bCs/>
                      <w:color w:val="auto"/>
                      <w:sz w:val="21"/>
                      <w:szCs w:val="21"/>
                    </w:rPr>
                  </w:pPr>
                  <w:r>
                    <w:rPr>
                      <w:rFonts w:hint="eastAsia"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lang w:eastAsia="zh-CN"/>
                    </w:rPr>
                    <w:fldChar w:fldCharType="begin"/>
                  </w:r>
                  <w:r>
                    <w:rPr>
                      <w:rFonts w:hint="eastAsia" w:ascii="Times New Roman" w:hAnsi="Times New Roman" w:eastAsia="宋体" w:cs="Times New Roman"/>
                      <w:b/>
                      <w:bCs/>
                      <w:color w:val="auto"/>
                      <w:sz w:val="21"/>
                      <w:szCs w:val="21"/>
                      <w:lang w:eastAsia="zh-CN"/>
                    </w:rPr>
                    <w:instrText xml:space="preserve"> HYPERLINK "http://www.mee.gov.cn/ywgz/fgbz/bz/bzwb/pwxk/201907/t20190726_712441.shtml" </w:instrText>
                  </w:r>
                  <w:r>
                    <w:rPr>
                      <w:rFonts w:hint="eastAsia" w:ascii="Times New Roman" w:hAnsi="Times New Roman" w:eastAsia="宋体" w:cs="Times New Roman"/>
                      <w:b/>
                      <w:bCs/>
                      <w:color w:val="auto"/>
                      <w:sz w:val="21"/>
                      <w:szCs w:val="21"/>
                      <w:lang w:eastAsia="zh-CN"/>
                    </w:rPr>
                    <w:fldChar w:fldCharType="separate"/>
                  </w:r>
                  <w:r>
                    <w:rPr>
                      <w:rFonts w:hint="eastAsia" w:ascii="Times New Roman" w:hAnsi="Times New Roman" w:eastAsia="宋体" w:cs="Times New Roman"/>
                      <w:b/>
                      <w:bCs/>
                      <w:color w:val="auto"/>
                      <w:sz w:val="21"/>
                      <w:szCs w:val="21"/>
                      <w:lang w:eastAsia="zh-CN"/>
                    </w:rPr>
                    <w:t>排污许可证申请与核发技术规范总则》（HJ942-2018）</w:t>
                  </w:r>
                  <w:r>
                    <w:rPr>
                      <w:rFonts w:hint="eastAsia" w:ascii="Times New Roman" w:hAnsi="Times New Roman" w:eastAsia="宋体" w:cs="Times New Roman"/>
                      <w:b/>
                      <w:bCs/>
                      <w:color w:val="auto"/>
                      <w:sz w:val="21"/>
                      <w:szCs w:val="21"/>
                      <w:lang w:eastAsia="zh-CN"/>
                    </w:rPr>
                    <w:fldChar w:fldCharType="end"/>
                  </w:r>
                </w:p>
              </w:tc>
              <w:tc>
                <w:tcPr>
                  <w:tcW w:w="812" w:type="pct"/>
                  <w:vMerge w:val="restart"/>
                  <w:noWrap w:val="0"/>
                  <w:vAlign w:val="center"/>
                </w:tcPr>
                <w:p w14:paraId="2F436C99">
                  <w:pPr>
                    <w:jc w:val="center"/>
                    <w:rPr>
                      <w:rFonts w:hint="eastAsia"/>
                      <w:b/>
                      <w:bCs/>
                      <w:color w:val="auto"/>
                      <w:sz w:val="21"/>
                      <w:szCs w:val="21"/>
                    </w:rPr>
                  </w:pPr>
                  <w:r>
                    <w:rPr>
                      <w:rFonts w:hint="eastAsia"/>
                      <w:b/>
                      <w:bCs/>
                      <w:color w:val="auto"/>
                      <w:sz w:val="21"/>
                      <w:szCs w:val="21"/>
                    </w:rPr>
                    <w:t>本项目废气源</w:t>
                  </w:r>
                </w:p>
              </w:tc>
              <w:tc>
                <w:tcPr>
                  <w:tcW w:w="825" w:type="pct"/>
                  <w:vMerge w:val="restart"/>
                  <w:noWrap w:val="0"/>
                  <w:vAlign w:val="center"/>
                </w:tcPr>
                <w:p w14:paraId="666D6F9E">
                  <w:pPr>
                    <w:jc w:val="center"/>
                    <w:rPr>
                      <w:b/>
                      <w:bCs/>
                      <w:color w:val="auto"/>
                      <w:sz w:val="21"/>
                      <w:szCs w:val="21"/>
                    </w:rPr>
                  </w:pPr>
                  <w:r>
                    <w:rPr>
                      <w:rFonts w:hint="eastAsia"/>
                      <w:b/>
                      <w:bCs/>
                      <w:color w:val="auto"/>
                      <w:sz w:val="21"/>
                      <w:szCs w:val="21"/>
                    </w:rPr>
                    <w:t>实际污染防治措施</w:t>
                  </w:r>
                </w:p>
              </w:tc>
              <w:tc>
                <w:tcPr>
                  <w:tcW w:w="584" w:type="pct"/>
                  <w:vMerge w:val="restart"/>
                  <w:noWrap w:val="0"/>
                  <w:vAlign w:val="center"/>
                </w:tcPr>
                <w:p w14:paraId="596A9F2B">
                  <w:pPr>
                    <w:jc w:val="center"/>
                    <w:rPr>
                      <w:b/>
                      <w:bCs/>
                      <w:color w:val="auto"/>
                      <w:sz w:val="21"/>
                      <w:szCs w:val="21"/>
                    </w:rPr>
                  </w:pPr>
                  <w:r>
                    <w:rPr>
                      <w:rFonts w:hint="eastAsia"/>
                      <w:b/>
                      <w:bCs/>
                      <w:color w:val="auto"/>
                      <w:sz w:val="21"/>
                      <w:szCs w:val="21"/>
                    </w:rPr>
                    <w:t>是否为可行性技术</w:t>
                  </w:r>
                </w:p>
              </w:tc>
            </w:tr>
            <w:tr w14:paraId="60316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7" w:type="pct"/>
                  <w:noWrap w:val="0"/>
                  <w:vAlign w:val="center"/>
                </w:tcPr>
                <w:p w14:paraId="2834C365">
                  <w:pPr>
                    <w:jc w:val="center"/>
                    <w:rPr>
                      <w:b/>
                      <w:bCs/>
                      <w:color w:val="auto"/>
                      <w:sz w:val="21"/>
                      <w:szCs w:val="21"/>
                    </w:rPr>
                  </w:pPr>
                  <w:r>
                    <w:rPr>
                      <w:rFonts w:hint="eastAsia"/>
                      <w:b/>
                      <w:bCs/>
                      <w:color w:val="auto"/>
                      <w:sz w:val="21"/>
                      <w:szCs w:val="21"/>
                    </w:rPr>
                    <w:t>废气污染治理设施</w:t>
                  </w:r>
                </w:p>
              </w:tc>
              <w:tc>
                <w:tcPr>
                  <w:tcW w:w="1047" w:type="pct"/>
                  <w:noWrap w:val="0"/>
                  <w:vAlign w:val="center"/>
                </w:tcPr>
                <w:p w14:paraId="345465DA">
                  <w:pPr>
                    <w:jc w:val="center"/>
                    <w:rPr>
                      <w:b/>
                      <w:bCs/>
                      <w:color w:val="auto"/>
                      <w:sz w:val="21"/>
                      <w:szCs w:val="21"/>
                    </w:rPr>
                  </w:pPr>
                  <w:r>
                    <w:rPr>
                      <w:rFonts w:hint="eastAsia"/>
                      <w:b/>
                      <w:bCs/>
                      <w:color w:val="auto"/>
                      <w:sz w:val="21"/>
                      <w:szCs w:val="21"/>
                    </w:rPr>
                    <w:t>污染物项目</w:t>
                  </w:r>
                </w:p>
              </w:tc>
              <w:tc>
                <w:tcPr>
                  <w:tcW w:w="1042" w:type="pct"/>
                  <w:noWrap w:val="0"/>
                  <w:vAlign w:val="center"/>
                </w:tcPr>
                <w:p w14:paraId="6D00B5D8">
                  <w:pPr>
                    <w:jc w:val="center"/>
                    <w:rPr>
                      <w:b/>
                      <w:bCs/>
                      <w:color w:val="auto"/>
                      <w:sz w:val="21"/>
                      <w:szCs w:val="21"/>
                    </w:rPr>
                  </w:pPr>
                  <w:r>
                    <w:rPr>
                      <w:rFonts w:hint="eastAsia"/>
                      <w:b/>
                      <w:bCs/>
                      <w:color w:val="auto"/>
                      <w:sz w:val="21"/>
                      <w:szCs w:val="21"/>
                    </w:rPr>
                    <w:t>推荐污染物防治设施</w:t>
                  </w:r>
                </w:p>
              </w:tc>
              <w:tc>
                <w:tcPr>
                  <w:tcW w:w="812" w:type="pct"/>
                  <w:vMerge w:val="continue"/>
                  <w:noWrap w:val="0"/>
                  <w:vAlign w:val="center"/>
                </w:tcPr>
                <w:p w14:paraId="260AA22D">
                  <w:pPr>
                    <w:spacing w:line="360" w:lineRule="auto"/>
                    <w:jc w:val="center"/>
                    <w:rPr>
                      <w:color w:val="FF0000"/>
                      <w:sz w:val="21"/>
                      <w:szCs w:val="21"/>
                    </w:rPr>
                  </w:pPr>
                </w:p>
              </w:tc>
              <w:tc>
                <w:tcPr>
                  <w:tcW w:w="825" w:type="pct"/>
                  <w:vMerge w:val="continue"/>
                  <w:noWrap w:val="0"/>
                  <w:vAlign w:val="center"/>
                </w:tcPr>
                <w:p w14:paraId="3F007116">
                  <w:pPr>
                    <w:spacing w:line="360" w:lineRule="auto"/>
                    <w:jc w:val="center"/>
                    <w:rPr>
                      <w:color w:val="FF0000"/>
                      <w:sz w:val="21"/>
                      <w:szCs w:val="21"/>
                    </w:rPr>
                  </w:pPr>
                </w:p>
              </w:tc>
              <w:tc>
                <w:tcPr>
                  <w:tcW w:w="584" w:type="pct"/>
                  <w:vMerge w:val="continue"/>
                  <w:noWrap w:val="0"/>
                  <w:vAlign w:val="center"/>
                </w:tcPr>
                <w:p w14:paraId="2BF531F5">
                  <w:pPr>
                    <w:spacing w:line="360" w:lineRule="auto"/>
                    <w:jc w:val="center"/>
                    <w:rPr>
                      <w:color w:val="FF0000"/>
                      <w:sz w:val="21"/>
                      <w:szCs w:val="21"/>
                    </w:rPr>
                  </w:pPr>
                </w:p>
              </w:tc>
            </w:tr>
            <w:tr w14:paraId="1532B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87" w:type="pct"/>
                  <w:noWrap w:val="0"/>
                  <w:vAlign w:val="center"/>
                </w:tcPr>
                <w:p w14:paraId="7A386C91">
                  <w:pPr>
                    <w:jc w:val="center"/>
                    <w:rPr>
                      <w:rFonts w:hint="default"/>
                      <w:color w:val="auto"/>
                      <w:sz w:val="21"/>
                      <w:szCs w:val="21"/>
                      <w:lang w:val="en-US"/>
                    </w:rPr>
                  </w:pPr>
                  <w:r>
                    <w:rPr>
                      <w:rFonts w:hint="eastAsia"/>
                      <w:color w:val="auto"/>
                      <w:sz w:val="21"/>
                      <w:szCs w:val="21"/>
                      <w:lang w:val="en-US" w:eastAsia="zh-CN"/>
                    </w:rPr>
                    <w:t>TA001</w:t>
                  </w:r>
                  <w:r>
                    <w:rPr>
                      <w:rFonts w:hint="eastAsia"/>
                      <w:color w:val="auto"/>
                      <w:sz w:val="21"/>
                      <w:szCs w:val="21"/>
                    </w:rPr>
                    <w:t>废气收集</w:t>
                  </w:r>
                  <w:r>
                    <w:rPr>
                      <w:rFonts w:hint="eastAsia"/>
                      <w:color w:val="auto"/>
                      <w:sz w:val="21"/>
                      <w:szCs w:val="21"/>
                      <w:lang w:val="en-US" w:eastAsia="zh-CN"/>
                    </w:rPr>
                    <w:t>及处理系统</w:t>
                  </w:r>
                </w:p>
              </w:tc>
              <w:tc>
                <w:tcPr>
                  <w:tcW w:w="1047" w:type="pct"/>
                  <w:noWrap w:val="0"/>
                  <w:vAlign w:val="center"/>
                </w:tcPr>
                <w:p w14:paraId="7ED26053">
                  <w:pPr>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非甲烷总烃</w:t>
                  </w:r>
                </w:p>
              </w:tc>
              <w:tc>
                <w:tcPr>
                  <w:tcW w:w="1042" w:type="pct"/>
                  <w:noWrap w:val="0"/>
                  <w:vAlign w:val="center"/>
                </w:tcPr>
                <w:p w14:paraId="3C5167E4">
                  <w:pPr>
                    <w:jc w:val="center"/>
                    <w:rPr>
                      <w:rFonts w:hint="eastAsia" w:cs="Times New Roman"/>
                      <w:color w:val="auto"/>
                      <w:kern w:val="2"/>
                      <w:sz w:val="21"/>
                      <w:szCs w:val="21"/>
                      <w:lang w:val="en-US" w:eastAsia="zh-CN" w:bidi="ar-SA"/>
                    </w:rPr>
                  </w:pPr>
                  <w:r>
                    <w:rPr>
                      <w:rFonts w:hint="eastAsia" w:cs="Times New Roman"/>
                      <w:color w:val="auto"/>
                      <w:sz w:val="21"/>
                      <w:szCs w:val="21"/>
                      <w:lang w:val="en-US" w:eastAsia="zh-CN"/>
                    </w:rPr>
                    <w:t>焚烧、吸附、催化分解、其他</w:t>
                  </w:r>
                </w:p>
              </w:tc>
              <w:tc>
                <w:tcPr>
                  <w:tcW w:w="812" w:type="pct"/>
                  <w:noWrap w:val="0"/>
                  <w:vAlign w:val="center"/>
                </w:tcPr>
                <w:p w14:paraId="7758AD62">
                  <w:pPr>
                    <w:jc w:val="center"/>
                    <w:rPr>
                      <w:rFonts w:hint="default"/>
                      <w:b w:val="0"/>
                      <w:bCs w:val="0"/>
                      <w:color w:val="auto"/>
                      <w:szCs w:val="21"/>
                      <w:lang w:val="en-US" w:eastAsia="zh-CN"/>
                    </w:rPr>
                  </w:pPr>
                  <w:r>
                    <w:rPr>
                      <w:rFonts w:hint="eastAsia"/>
                      <w:b w:val="0"/>
                      <w:bCs w:val="0"/>
                      <w:color w:val="auto"/>
                      <w:szCs w:val="21"/>
                      <w:lang w:val="en-US" w:eastAsia="zh-CN"/>
                    </w:rPr>
                    <w:t>发泡废气、擦拭废气</w:t>
                  </w:r>
                </w:p>
              </w:tc>
              <w:tc>
                <w:tcPr>
                  <w:tcW w:w="825" w:type="pct"/>
                  <w:noWrap w:val="0"/>
                  <w:vAlign w:val="center"/>
                </w:tcPr>
                <w:p w14:paraId="6931DC6A">
                  <w:pPr>
                    <w:jc w:val="center"/>
                    <w:rPr>
                      <w:rFonts w:hint="default"/>
                      <w:b w:val="0"/>
                      <w:bCs w:val="0"/>
                      <w:color w:val="auto"/>
                      <w:szCs w:val="21"/>
                      <w:lang w:val="en-US" w:eastAsia="zh-CN"/>
                    </w:rPr>
                  </w:pPr>
                  <w:r>
                    <w:rPr>
                      <w:rFonts w:hint="eastAsia"/>
                      <w:b w:val="0"/>
                      <w:bCs w:val="0"/>
                      <w:color w:val="auto"/>
                      <w:szCs w:val="21"/>
                      <w:lang w:val="en-US" w:eastAsia="zh-CN"/>
                    </w:rPr>
                    <w:t>两级活性炭吸附装置</w:t>
                  </w:r>
                </w:p>
              </w:tc>
              <w:tc>
                <w:tcPr>
                  <w:tcW w:w="584" w:type="pct"/>
                  <w:noWrap w:val="0"/>
                  <w:vAlign w:val="center"/>
                </w:tcPr>
                <w:p w14:paraId="223667D6">
                  <w:pPr>
                    <w:jc w:val="center"/>
                    <w:rPr>
                      <w:rFonts w:hint="default"/>
                      <w:b w:val="0"/>
                      <w:bCs w:val="0"/>
                      <w:color w:val="auto"/>
                      <w:szCs w:val="21"/>
                      <w:lang w:val="en-US" w:eastAsia="zh-CN"/>
                    </w:rPr>
                  </w:pPr>
                  <w:r>
                    <w:rPr>
                      <w:rFonts w:hint="eastAsia"/>
                      <w:b w:val="0"/>
                      <w:bCs w:val="0"/>
                      <w:color w:val="auto"/>
                      <w:szCs w:val="21"/>
                      <w:lang w:val="en-US" w:eastAsia="zh-CN"/>
                    </w:rPr>
                    <w:t>是</w:t>
                  </w:r>
                </w:p>
              </w:tc>
            </w:tr>
            <w:tr w14:paraId="30C19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7" w:type="pct"/>
                  <w:noWrap w:val="0"/>
                  <w:vAlign w:val="center"/>
                </w:tcPr>
                <w:p w14:paraId="1BC65D6D">
                  <w:pPr>
                    <w:jc w:val="center"/>
                    <w:rPr>
                      <w:rFonts w:hint="default"/>
                      <w:color w:val="auto"/>
                      <w:sz w:val="21"/>
                      <w:szCs w:val="21"/>
                      <w:lang w:val="en-US" w:eastAsia="zh-CN"/>
                    </w:rPr>
                  </w:pPr>
                  <w:r>
                    <w:rPr>
                      <w:rFonts w:hint="eastAsia"/>
                      <w:color w:val="auto"/>
                      <w:sz w:val="21"/>
                      <w:szCs w:val="21"/>
                      <w:lang w:val="en-US" w:eastAsia="zh-CN"/>
                    </w:rPr>
                    <w:t>焊接烟尘收集及处理系统</w:t>
                  </w:r>
                </w:p>
              </w:tc>
              <w:tc>
                <w:tcPr>
                  <w:tcW w:w="1047" w:type="pct"/>
                  <w:noWrap w:val="0"/>
                  <w:vAlign w:val="center"/>
                </w:tcPr>
                <w:p w14:paraId="31AE7837">
                  <w:pPr>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颗粒物</w:t>
                  </w:r>
                </w:p>
              </w:tc>
              <w:tc>
                <w:tcPr>
                  <w:tcW w:w="1042" w:type="pct"/>
                  <w:noWrap w:val="0"/>
                  <w:vAlign w:val="center"/>
                </w:tcPr>
                <w:p w14:paraId="0459967F">
                  <w:pPr>
                    <w:jc w:val="center"/>
                    <w:rPr>
                      <w:rFonts w:hint="eastAsia" w:cs="Times New Roman"/>
                      <w:color w:val="auto"/>
                      <w:sz w:val="21"/>
                      <w:szCs w:val="21"/>
                      <w:lang w:val="en-US" w:eastAsia="zh-CN"/>
                    </w:rPr>
                  </w:pPr>
                  <w:r>
                    <w:rPr>
                      <w:rFonts w:hint="eastAsia" w:cs="Times New Roman"/>
                      <w:color w:val="auto"/>
                      <w:sz w:val="21"/>
                      <w:szCs w:val="21"/>
                      <w:lang w:val="en-US" w:eastAsia="zh-CN"/>
                    </w:rPr>
                    <w:t>袋式除尘器、电除尘器、电袋复合除尘器、其他</w:t>
                  </w:r>
                </w:p>
              </w:tc>
              <w:tc>
                <w:tcPr>
                  <w:tcW w:w="812" w:type="pct"/>
                  <w:noWrap w:val="0"/>
                  <w:vAlign w:val="center"/>
                </w:tcPr>
                <w:p w14:paraId="7079CDB4">
                  <w:pPr>
                    <w:jc w:val="center"/>
                    <w:rPr>
                      <w:rFonts w:hint="default"/>
                      <w:b w:val="0"/>
                      <w:bCs w:val="0"/>
                      <w:color w:val="auto"/>
                      <w:szCs w:val="21"/>
                      <w:lang w:val="en-US" w:eastAsia="zh-CN"/>
                    </w:rPr>
                  </w:pPr>
                  <w:r>
                    <w:rPr>
                      <w:rFonts w:hint="eastAsia"/>
                      <w:b w:val="0"/>
                      <w:bCs w:val="0"/>
                      <w:color w:val="auto"/>
                      <w:szCs w:val="21"/>
                      <w:lang w:val="en-US" w:eastAsia="zh-CN"/>
                    </w:rPr>
                    <w:t>焊接烟尘</w:t>
                  </w:r>
                </w:p>
              </w:tc>
              <w:tc>
                <w:tcPr>
                  <w:tcW w:w="825" w:type="pct"/>
                  <w:noWrap w:val="0"/>
                  <w:vAlign w:val="center"/>
                </w:tcPr>
                <w:p w14:paraId="50D8C1FF">
                  <w:pPr>
                    <w:jc w:val="center"/>
                    <w:rPr>
                      <w:rFonts w:hint="default"/>
                      <w:b w:val="0"/>
                      <w:bCs w:val="0"/>
                      <w:color w:val="auto"/>
                      <w:szCs w:val="21"/>
                      <w:lang w:val="en-US" w:eastAsia="zh-CN"/>
                    </w:rPr>
                  </w:pPr>
                  <w:r>
                    <w:rPr>
                      <w:rFonts w:hint="eastAsia"/>
                      <w:b w:val="0"/>
                      <w:bCs w:val="0"/>
                      <w:color w:val="auto"/>
                      <w:szCs w:val="21"/>
                      <w:lang w:val="en-US" w:eastAsia="zh-CN"/>
                    </w:rPr>
                    <w:t>移动式焊烟净化器</w:t>
                  </w:r>
                </w:p>
              </w:tc>
              <w:tc>
                <w:tcPr>
                  <w:tcW w:w="584" w:type="pct"/>
                  <w:noWrap w:val="0"/>
                  <w:vAlign w:val="center"/>
                </w:tcPr>
                <w:p w14:paraId="6A60E4A9">
                  <w:pPr>
                    <w:jc w:val="center"/>
                    <w:rPr>
                      <w:rFonts w:hint="eastAsia"/>
                      <w:b w:val="0"/>
                      <w:bCs w:val="0"/>
                      <w:color w:val="auto"/>
                      <w:szCs w:val="21"/>
                      <w:lang w:val="en-US" w:eastAsia="zh-CN"/>
                    </w:rPr>
                  </w:pPr>
                  <w:r>
                    <w:rPr>
                      <w:rFonts w:hint="eastAsia"/>
                      <w:b w:val="0"/>
                      <w:bCs w:val="0"/>
                      <w:color w:val="auto"/>
                      <w:szCs w:val="21"/>
                      <w:lang w:val="en-US" w:eastAsia="zh-CN"/>
                    </w:rPr>
                    <w:t>是</w:t>
                  </w:r>
                </w:p>
              </w:tc>
            </w:tr>
          </w:tbl>
          <w:p w14:paraId="69ED3A98">
            <w:pPr>
              <w:pStyle w:val="43"/>
              <w:spacing w:line="240" w:lineRule="auto"/>
              <w:jc w:val="both"/>
              <w:rPr>
                <w:rFonts w:hint="default"/>
                <w:color w:val="FF0000"/>
                <w:sz w:val="10"/>
                <w:szCs w:val="10"/>
                <w:lang w:val="en-US" w:eastAsia="zh-CN"/>
              </w:rPr>
            </w:pPr>
          </w:p>
          <w:p w14:paraId="11751883">
            <w:pPr>
              <w:adjustRightInd w:val="0"/>
              <w:snapToGrid w:val="0"/>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lang w:val="en-US" w:eastAsia="zh-CN"/>
              </w:rPr>
              <w:t>3</w:t>
            </w:r>
            <w:r>
              <w:rPr>
                <w:rFonts w:hint="eastAsia"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lang w:val="en-US" w:eastAsia="zh-CN"/>
              </w:rPr>
              <w:t>异味影响分析</w:t>
            </w:r>
          </w:p>
          <w:p w14:paraId="0BACAF0E">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rPr>
              <w:t>为使</w:t>
            </w:r>
            <w:r>
              <w:rPr>
                <w:rFonts w:hint="eastAsia" w:cs="Times New Roman" w:eastAsiaTheme="minorEastAsia"/>
                <w:color w:val="auto"/>
                <w:sz w:val="24"/>
                <w:szCs w:val="24"/>
                <w:lang w:val="en-US" w:eastAsia="zh-CN"/>
              </w:rPr>
              <w:t>异味</w:t>
            </w:r>
            <w:r>
              <w:rPr>
                <w:rFonts w:hint="eastAsia" w:ascii="Times New Roman" w:hAnsi="Times New Roman" w:cs="Times New Roman" w:eastAsiaTheme="minorEastAsia"/>
                <w:color w:val="auto"/>
                <w:sz w:val="24"/>
                <w:szCs w:val="24"/>
              </w:rPr>
              <w:t>对周围环境影响减至最低，建设单位在项目运行中应进一步做好</w:t>
            </w:r>
            <w:r>
              <w:rPr>
                <w:rFonts w:hint="eastAsia" w:cs="Times New Roman" w:eastAsiaTheme="minorEastAsia"/>
                <w:color w:val="auto"/>
                <w:sz w:val="24"/>
                <w:szCs w:val="24"/>
                <w:lang w:val="en-US" w:eastAsia="zh-CN"/>
              </w:rPr>
              <w:t>异味</w:t>
            </w:r>
            <w:r>
              <w:rPr>
                <w:rFonts w:hint="eastAsia" w:ascii="Times New Roman" w:hAnsi="Times New Roman" w:cs="Times New Roman" w:eastAsiaTheme="minorEastAsia"/>
                <w:color w:val="auto"/>
                <w:sz w:val="24"/>
                <w:szCs w:val="24"/>
              </w:rPr>
              <w:t>污染防治措施：针对生产工艺中产生的异味需做到控制好生产过程的工艺参数，减少</w:t>
            </w:r>
            <w:r>
              <w:rPr>
                <w:rFonts w:hint="eastAsia" w:cs="Times New Roman" w:eastAsiaTheme="minorEastAsia"/>
                <w:color w:val="auto"/>
                <w:sz w:val="24"/>
                <w:szCs w:val="24"/>
                <w:lang w:val="en-US" w:eastAsia="zh-CN"/>
              </w:rPr>
              <w:t>异味</w:t>
            </w:r>
            <w:r>
              <w:rPr>
                <w:rFonts w:hint="eastAsia" w:ascii="Times New Roman" w:hAnsi="Times New Roman" w:cs="Times New Roman" w:eastAsiaTheme="minorEastAsia"/>
                <w:color w:val="auto"/>
                <w:sz w:val="24"/>
                <w:szCs w:val="24"/>
              </w:rPr>
              <w:t>的产生量；做好废气的收集，尽可能提高收集效率；加强废气处理设施的运行管理，确保稳定运行，达标排放；整改车间通风系统，加装排气扇等通风装置，加强车间内通风。</w:t>
            </w:r>
          </w:p>
          <w:p w14:paraId="27AE692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rPr>
              <w:t>通过上述措施，本项目产生的</w:t>
            </w:r>
            <w:r>
              <w:rPr>
                <w:rFonts w:hint="eastAsia" w:cs="Times New Roman" w:eastAsiaTheme="minorEastAsia"/>
                <w:color w:val="auto"/>
                <w:sz w:val="24"/>
                <w:szCs w:val="24"/>
                <w:lang w:val="en-US" w:eastAsia="zh-CN"/>
              </w:rPr>
              <w:t>异味</w:t>
            </w:r>
            <w:r>
              <w:rPr>
                <w:rFonts w:hint="eastAsia" w:ascii="Times New Roman" w:hAnsi="Times New Roman" w:cs="Times New Roman" w:eastAsiaTheme="minorEastAsia"/>
                <w:color w:val="auto"/>
                <w:sz w:val="24"/>
                <w:szCs w:val="24"/>
              </w:rPr>
              <w:t>对周边环境影响在能接受范围之内。</w:t>
            </w:r>
          </w:p>
          <w:p w14:paraId="0342831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b/>
                <w:bCs/>
                <w:color w:val="auto"/>
                <w:sz w:val="24"/>
                <w:szCs w:val="24"/>
              </w:rPr>
            </w:pPr>
            <w:r>
              <w:rPr>
                <w:rFonts w:hint="eastAsia"/>
                <w:b/>
                <w:bCs/>
                <w:color w:val="auto"/>
                <w:sz w:val="24"/>
                <w:szCs w:val="24"/>
              </w:rPr>
              <w:t>1.3监测要求</w:t>
            </w:r>
          </w:p>
          <w:p w14:paraId="4E6336C9">
            <w:pPr>
              <w:spacing w:line="360" w:lineRule="auto"/>
              <w:ind w:firstLine="480" w:firstLineChars="200"/>
              <w:rPr>
                <w:b/>
                <w:bCs/>
                <w:color w:val="auto"/>
                <w:sz w:val="24"/>
                <w:szCs w:val="24"/>
              </w:rPr>
            </w:pPr>
            <w:r>
              <w:rPr>
                <w:rFonts w:hint="eastAsia"/>
                <w:color w:val="auto"/>
                <w:sz w:val="24"/>
                <w:szCs w:val="24"/>
              </w:rPr>
              <w:t>根据《排污单位自行监测技术指南总则》（HJ819-2017）中表1要求，安排监测计划。具体监测要求见表4</w:t>
            </w:r>
            <w:r>
              <w:rPr>
                <w:color w:val="auto"/>
                <w:sz w:val="24"/>
                <w:szCs w:val="24"/>
              </w:rPr>
              <w:t>-</w:t>
            </w:r>
            <w:r>
              <w:rPr>
                <w:rFonts w:hint="eastAsia"/>
                <w:color w:val="auto"/>
                <w:sz w:val="24"/>
                <w:szCs w:val="24"/>
                <w:lang w:val="en-US" w:eastAsia="zh-CN"/>
              </w:rPr>
              <w:t>9</w:t>
            </w:r>
            <w:r>
              <w:rPr>
                <w:color w:val="auto"/>
                <w:sz w:val="24"/>
                <w:szCs w:val="24"/>
              </w:rPr>
              <w:t>。</w:t>
            </w:r>
          </w:p>
          <w:p w14:paraId="62306084">
            <w:pPr>
              <w:tabs>
                <w:tab w:val="left" w:pos="1144"/>
              </w:tabs>
              <w:spacing w:line="360" w:lineRule="auto"/>
              <w:ind w:right="6"/>
              <w:jc w:val="center"/>
              <w:rPr>
                <w:b/>
                <w:bCs/>
                <w:color w:val="auto"/>
                <w:sz w:val="24"/>
                <w:szCs w:val="24"/>
              </w:rPr>
            </w:pPr>
            <w:r>
              <w:rPr>
                <w:b/>
                <w:bCs/>
                <w:color w:val="auto"/>
                <w:sz w:val="24"/>
                <w:szCs w:val="24"/>
              </w:rPr>
              <w:t>表</w:t>
            </w:r>
            <w:r>
              <w:rPr>
                <w:rFonts w:hint="eastAsia"/>
                <w:b/>
                <w:bCs/>
                <w:color w:val="auto"/>
                <w:sz w:val="24"/>
                <w:szCs w:val="24"/>
              </w:rPr>
              <w:t>4</w:t>
            </w:r>
            <w:r>
              <w:rPr>
                <w:b/>
                <w:bCs/>
                <w:color w:val="auto"/>
                <w:sz w:val="24"/>
                <w:szCs w:val="24"/>
              </w:rPr>
              <w:t>-</w:t>
            </w:r>
            <w:r>
              <w:rPr>
                <w:rFonts w:hint="eastAsia"/>
                <w:b/>
                <w:bCs/>
                <w:color w:val="auto"/>
                <w:sz w:val="24"/>
                <w:szCs w:val="24"/>
                <w:lang w:val="en-US" w:eastAsia="zh-CN"/>
              </w:rPr>
              <w:t>9</w:t>
            </w:r>
            <w:r>
              <w:rPr>
                <w:b/>
                <w:bCs/>
                <w:color w:val="auto"/>
                <w:sz w:val="24"/>
                <w:szCs w:val="24"/>
              </w:rPr>
              <w:t>废气污染源监测点位、监测指标及最低监测频次一览表</w:t>
            </w:r>
          </w:p>
          <w:tbl>
            <w:tblPr>
              <w:tblStyle w:val="35"/>
              <w:tblW w:w="7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308"/>
              <w:gridCol w:w="1274"/>
              <w:gridCol w:w="876"/>
              <w:gridCol w:w="2853"/>
              <w:gridCol w:w="992"/>
            </w:tblGrid>
            <w:tr w14:paraId="7709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340" w:type="pct"/>
                  <w:tcBorders>
                    <w:top w:val="single" w:color="auto" w:sz="12" w:space="0"/>
                    <w:left w:val="single" w:color="auto" w:sz="12" w:space="0"/>
                  </w:tcBorders>
                  <w:vAlign w:val="center"/>
                </w:tcPr>
                <w:p w14:paraId="7831316E">
                  <w:pPr>
                    <w:tabs>
                      <w:tab w:val="left" w:pos="2115"/>
                    </w:tabs>
                    <w:jc w:val="center"/>
                    <w:rPr>
                      <w:rFonts w:eastAsiaTheme="minorEastAsia"/>
                      <w:b/>
                      <w:color w:val="auto"/>
                      <w:szCs w:val="21"/>
                    </w:rPr>
                  </w:pPr>
                  <w:r>
                    <w:rPr>
                      <w:rFonts w:eastAsiaTheme="minorEastAsia"/>
                      <w:b/>
                      <w:color w:val="auto"/>
                      <w:szCs w:val="21"/>
                    </w:rPr>
                    <w:t>类别</w:t>
                  </w:r>
                </w:p>
              </w:tc>
              <w:tc>
                <w:tcPr>
                  <w:tcW w:w="834" w:type="pct"/>
                  <w:tcBorders>
                    <w:top w:val="single" w:color="auto" w:sz="12" w:space="0"/>
                  </w:tcBorders>
                  <w:vAlign w:val="center"/>
                </w:tcPr>
                <w:p w14:paraId="4F6ACC56">
                  <w:pPr>
                    <w:tabs>
                      <w:tab w:val="left" w:pos="2115"/>
                    </w:tabs>
                    <w:jc w:val="center"/>
                    <w:rPr>
                      <w:rFonts w:eastAsiaTheme="minorEastAsia"/>
                      <w:b/>
                      <w:color w:val="auto"/>
                      <w:szCs w:val="21"/>
                    </w:rPr>
                  </w:pPr>
                  <w:r>
                    <w:rPr>
                      <w:rFonts w:eastAsiaTheme="minorEastAsia"/>
                      <w:b/>
                      <w:color w:val="auto"/>
                      <w:szCs w:val="21"/>
                    </w:rPr>
                    <w:t>监测点位</w:t>
                  </w:r>
                </w:p>
              </w:tc>
              <w:tc>
                <w:tcPr>
                  <w:tcW w:w="812" w:type="pct"/>
                  <w:tcBorders>
                    <w:top w:val="single" w:color="auto" w:sz="12" w:space="0"/>
                  </w:tcBorders>
                  <w:vAlign w:val="center"/>
                </w:tcPr>
                <w:p w14:paraId="6358005E">
                  <w:pPr>
                    <w:tabs>
                      <w:tab w:val="left" w:pos="2115"/>
                    </w:tabs>
                    <w:jc w:val="center"/>
                    <w:rPr>
                      <w:rFonts w:eastAsiaTheme="minorEastAsia"/>
                      <w:b/>
                      <w:color w:val="auto"/>
                      <w:szCs w:val="21"/>
                    </w:rPr>
                  </w:pPr>
                  <w:r>
                    <w:rPr>
                      <w:rFonts w:eastAsiaTheme="minorEastAsia"/>
                      <w:b/>
                      <w:color w:val="auto"/>
                      <w:szCs w:val="21"/>
                    </w:rPr>
                    <w:t>监测指标</w:t>
                  </w:r>
                </w:p>
              </w:tc>
              <w:tc>
                <w:tcPr>
                  <w:tcW w:w="558" w:type="pct"/>
                  <w:tcBorders>
                    <w:top w:val="single" w:color="auto" w:sz="12" w:space="0"/>
                  </w:tcBorders>
                  <w:vAlign w:val="center"/>
                </w:tcPr>
                <w:p w14:paraId="667F7906">
                  <w:pPr>
                    <w:tabs>
                      <w:tab w:val="left" w:pos="2115"/>
                    </w:tabs>
                    <w:jc w:val="center"/>
                    <w:rPr>
                      <w:rFonts w:eastAsiaTheme="minorEastAsia"/>
                      <w:b/>
                      <w:color w:val="auto"/>
                      <w:szCs w:val="21"/>
                    </w:rPr>
                  </w:pPr>
                  <w:r>
                    <w:rPr>
                      <w:rFonts w:eastAsiaTheme="minorEastAsia"/>
                      <w:b/>
                      <w:color w:val="auto"/>
                      <w:szCs w:val="21"/>
                    </w:rPr>
                    <w:t>监测</w:t>
                  </w:r>
                </w:p>
                <w:p w14:paraId="44E067E1">
                  <w:pPr>
                    <w:tabs>
                      <w:tab w:val="left" w:pos="2115"/>
                    </w:tabs>
                    <w:jc w:val="center"/>
                    <w:rPr>
                      <w:rFonts w:eastAsiaTheme="minorEastAsia"/>
                      <w:b/>
                      <w:color w:val="auto"/>
                      <w:szCs w:val="21"/>
                    </w:rPr>
                  </w:pPr>
                  <w:r>
                    <w:rPr>
                      <w:rFonts w:eastAsiaTheme="minorEastAsia"/>
                      <w:b/>
                      <w:color w:val="auto"/>
                      <w:szCs w:val="21"/>
                    </w:rPr>
                    <w:t>频次</w:t>
                  </w:r>
                </w:p>
              </w:tc>
              <w:tc>
                <w:tcPr>
                  <w:tcW w:w="1820" w:type="pct"/>
                  <w:tcBorders>
                    <w:top w:val="single" w:color="auto" w:sz="12" w:space="0"/>
                  </w:tcBorders>
                  <w:vAlign w:val="center"/>
                </w:tcPr>
                <w:p w14:paraId="62C9B019">
                  <w:pPr>
                    <w:tabs>
                      <w:tab w:val="left" w:pos="2115"/>
                    </w:tabs>
                    <w:jc w:val="center"/>
                    <w:rPr>
                      <w:rFonts w:eastAsiaTheme="minorEastAsia"/>
                      <w:b/>
                      <w:color w:val="auto"/>
                      <w:szCs w:val="21"/>
                    </w:rPr>
                  </w:pPr>
                  <w:r>
                    <w:rPr>
                      <w:rFonts w:eastAsiaTheme="minorEastAsia"/>
                      <w:b/>
                      <w:color w:val="auto"/>
                      <w:szCs w:val="21"/>
                    </w:rPr>
                    <w:t>执行排放标准</w:t>
                  </w:r>
                </w:p>
              </w:tc>
              <w:tc>
                <w:tcPr>
                  <w:tcW w:w="632" w:type="pct"/>
                  <w:tcBorders>
                    <w:top w:val="single" w:color="auto" w:sz="12" w:space="0"/>
                    <w:right w:val="single" w:color="auto" w:sz="12" w:space="0"/>
                  </w:tcBorders>
                  <w:vAlign w:val="center"/>
                </w:tcPr>
                <w:p w14:paraId="2B9C5E5E">
                  <w:pPr>
                    <w:tabs>
                      <w:tab w:val="left" w:pos="2115"/>
                    </w:tabs>
                    <w:jc w:val="center"/>
                    <w:rPr>
                      <w:rFonts w:eastAsiaTheme="minorEastAsia"/>
                      <w:b/>
                      <w:color w:val="auto"/>
                      <w:szCs w:val="21"/>
                    </w:rPr>
                  </w:pPr>
                  <w:r>
                    <w:rPr>
                      <w:rFonts w:eastAsiaTheme="minorEastAsia"/>
                      <w:b/>
                      <w:color w:val="auto"/>
                      <w:szCs w:val="21"/>
                    </w:rPr>
                    <w:t>监测</w:t>
                  </w:r>
                </w:p>
                <w:p w14:paraId="26655744">
                  <w:pPr>
                    <w:tabs>
                      <w:tab w:val="left" w:pos="2115"/>
                    </w:tabs>
                    <w:jc w:val="center"/>
                    <w:rPr>
                      <w:rFonts w:eastAsiaTheme="minorEastAsia"/>
                      <w:b/>
                      <w:color w:val="auto"/>
                      <w:szCs w:val="21"/>
                    </w:rPr>
                  </w:pPr>
                  <w:r>
                    <w:rPr>
                      <w:rFonts w:eastAsiaTheme="minorEastAsia"/>
                      <w:b/>
                      <w:color w:val="auto"/>
                      <w:szCs w:val="21"/>
                    </w:rPr>
                    <w:t>单位</w:t>
                  </w:r>
                </w:p>
              </w:tc>
            </w:tr>
            <w:tr w14:paraId="767D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340" w:type="pct"/>
                  <w:vMerge w:val="restart"/>
                  <w:tcBorders>
                    <w:left w:val="single" w:color="auto" w:sz="12" w:space="0"/>
                    <w:bottom w:val="single" w:color="auto" w:sz="12" w:space="0"/>
                  </w:tcBorders>
                  <w:vAlign w:val="center"/>
                </w:tcPr>
                <w:p w14:paraId="643544FF">
                  <w:pPr>
                    <w:pStyle w:val="89"/>
                    <w:spacing w:before="0" w:line="240" w:lineRule="auto"/>
                    <w:ind w:firstLine="0" w:firstLineChars="0"/>
                    <w:jc w:val="center"/>
                    <w:rPr>
                      <w:rFonts w:ascii="Times New Roman" w:hAnsi="Times New Roman" w:eastAsiaTheme="minorEastAsia"/>
                      <w:color w:val="auto"/>
                      <w:kern w:val="2"/>
                      <w:sz w:val="21"/>
                      <w:szCs w:val="21"/>
                    </w:rPr>
                  </w:pPr>
                  <w:r>
                    <w:rPr>
                      <w:rFonts w:hint="eastAsia" w:ascii="Times New Roman" w:hAnsi="Times New Roman" w:eastAsiaTheme="minorEastAsia"/>
                      <w:color w:val="auto"/>
                      <w:kern w:val="2"/>
                      <w:sz w:val="21"/>
                      <w:szCs w:val="21"/>
                    </w:rPr>
                    <w:t>废气</w:t>
                  </w:r>
                </w:p>
              </w:tc>
              <w:tc>
                <w:tcPr>
                  <w:tcW w:w="834" w:type="pct"/>
                  <w:vMerge w:val="restart"/>
                  <w:vAlign w:val="center"/>
                </w:tcPr>
                <w:p w14:paraId="735ADF95">
                  <w:pPr>
                    <w:jc w:val="center"/>
                    <w:rPr>
                      <w:rFonts w:eastAsiaTheme="minorEastAsia"/>
                      <w:color w:val="auto"/>
                      <w:szCs w:val="21"/>
                    </w:rPr>
                  </w:pPr>
                  <w:r>
                    <w:rPr>
                      <w:rFonts w:hint="eastAsia"/>
                      <w:color w:val="auto"/>
                      <w:szCs w:val="21"/>
                      <w:lang w:val="en-US" w:eastAsia="zh-CN"/>
                    </w:rPr>
                    <w:t>40</w:t>
                  </w:r>
                  <w:r>
                    <w:rPr>
                      <w:color w:val="auto"/>
                      <w:szCs w:val="21"/>
                    </w:rPr>
                    <w:t>m高排气筒</w:t>
                  </w:r>
                  <w:r>
                    <w:rPr>
                      <w:rFonts w:hint="eastAsia"/>
                      <w:color w:val="auto"/>
                      <w:szCs w:val="21"/>
                    </w:rPr>
                    <w:t>（</w:t>
                  </w:r>
                  <w:r>
                    <w:rPr>
                      <w:color w:val="auto"/>
                      <w:szCs w:val="21"/>
                    </w:rPr>
                    <w:t>DA001</w:t>
                  </w:r>
                  <w:r>
                    <w:rPr>
                      <w:rFonts w:hint="eastAsia"/>
                      <w:color w:val="auto"/>
                      <w:szCs w:val="21"/>
                    </w:rPr>
                    <w:t>）</w:t>
                  </w:r>
                </w:p>
              </w:tc>
              <w:tc>
                <w:tcPr>
                  <w:tcW w:w="812" w:type="pct"/>
                  <w:vAlign w:val="center"/>
                </w:tcPr>
                <w:p w14:paraId="75E8FBAB">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非甲烷总烃</w:t>
                  </w:r>
                </w:p>
              </w:tc>
              <w:tc>
                <w:tcPr>
                  <w:tcW w:w="558" w:type="pct"/>
                  <w:vAlign w:val="center"/>
                </w:tcPr>
                <w:p w14:paraId="3A6C713E">
                  <w:pPr>
                    <w:jc w:val="center"/>
                    <w:rPr>
                      <w:rFonts w:ascii="Times New Roman" w:hAnsi="Times New Roman" w:cs="Times New Roman"/>
                      <w:color w:val="auto"/>
                      <w:szCs w:val="21"/>
                      <w:lang w:val="en-US" w:eastAsia="zh-CN"/>
                    </w:rPr>
                  </w:pPr>
                  <w:r>
                    <w:rPr>
                      <w:rFonts w:ascii="Times New Roman" w:hAnsi="Times New Roman" w:cs="Times New Roman"/>
                      <w:color w:val="auto"/>
                      <w:szCs w:val="21"/>
                    </w:rPr>
                    <w:t>1</w:t>
                  </w:r>
                  <w:r>
                    <w:rPr>
                      <w:rFonts w:hint="eastAsia" w:ascii="Times New Roman" w:hAnsi="Times New Roman" w:cs="Times New Roman"/>
                      <w:color w:val="auto"/>
                      <w:szCs w:val="21"/>
                    </w:rPr>
                    <w:t>次/年</w:t>
                  </w:r>
                </w:p>
              </w:tc>
              <w:tc>
                <w:tcPr>
                  <w:tcW w:w="1820" w:type="pct"/>
                  <w:vAlign w:val="center"/>
                </w:tcPr>
                <w:p w14:paraId="654157D2">
                  <w:pPr>
                    <w:jc w:val="center"/>
                    <w:rPr>
                      <w:rFonts w:hint="eastAsia" w:ascii="Times New Roman" w:hAnsi="Times New Roman" w:cs="Times New Roman"/>
                      <w:color w:val="FF0000"/>
                      <w:szCs w:val="21"/>
                      <w:lang w:val="en-US" w:eastAsia="zh-CN"/>
                    </w:rPr>
                  </w:pPr>
                  <w:r>
                    <w:rPr>
                      <w:color w:val="auto"/>
                      <w:szCs w:val="21"/>
                    </w:rPr>
                    <w:t>《合成树</w:t>
                  </w:r>
                  <w:r>
                    <w:rPr>
                      <w:rFonts w:ascii="Times New Roman" w:hAnsi="Times New Roman" w:eastAsia="宋体" w:cs="Times New Roman"/>
                      <w:color w:val="auto"/>
                      <w:szCs w:val="21"/>
                    </w:rPr>
                    <w:t>脂工业污染物排放标准》（GB31572-2015）</w:t>
                  </w:r>
                  <w:r>
                    <w:rPr>
                      <w:rFonts w:hint="eastAsia" w:ascii="Times New Roman" w:hAnsi="Times New Roman" w:eastAsia="宋体" w:cs="Times New Roman"/>
                      <w:color w:val="auto"/>
                      <w:szCs w:val="21"/>
                      <w:lang w:val="en-US" w:eastAsia="zh-CN"/>
                    </w:rPr>
                    <w:t>及修改单（生态环境部公告2024年第17号）表5标准</w:t>
                  </w:r>
                </w:p>
              </w:tc>
              <w:tc>
                <w:tcPr>
                  <w:tcW w:w="632" w:type="pct"/>
                  <w:vMerge w:val="restart"/>
                  <w:tcBorders>
                    <w:bottom w:val="single" w:color="auto" w:sz="12" w:space="0"/>
                    <w:right w:val="single" w:color="auto" w:sz="12" w:space="0"/>
                  </w:tcBorders>
                  <w:vAlign w:val="center"/>
                </w:tcPr>
                <w:p w14:paraId="44ACB955">
                  <w:pPr>
                    <w:jc w:val="center"/>
                    <w:rPr>
                      <w:rFonts w:eastAsiaTheme="minorEastAsia"/>
                      <w:color w:val="FF0000"/>
                      <w:szCs w:val="21"/>
                    </w:rPr>
                  </w:pPr>
                  <w:r>
                    <w:rPr>
                      <w:rFonts w:eastAsiaTheme="minorEastAsia"/>
                      <w:color w:val="auto"/>
                      <w:szCs w:val="21"/>
                    </w:rPr>
                    <w:t>有资质的环境监测单位</w:t>
                  </w:r>
                </w:p>
              </w:tc>
            </w:tr>
            <w:tr w14:paraId="17A0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 w:type="pct"/>
                  <w:vMerge w:val="continue"/>
                  <w:tcBorders>
                    <w:left w:val="single" w:color="auto" w:sz="12" w:space="0"/>
                  </w:tcBorders>
                  <w:vAlign w:val="center"/>
                </w:tcPr>
                <w:p w14:paraId="3F15D939">
                  <w:pPr>
                    <w:pStyle w:val="89"/>
                    <w:spacing w:before="0" w:line="240" w:lineRule="auto"/>
                    <w:ind w:firstLine="0" w:firstLineChars="0"/>
                    <w:jc w:val="center"/>
                    <w:rPr>
                      <w:rFonts w:hint="eastAsia" w:ascii="Times New Roman" w:hAnsi="Times New Roman" w:eastAsiaTheme="minorEastAsia"/>
                      <w:color w:val="auto"/>
                      <w:kern w:val="2"/>
                      <w:sz w:val="21"/>
                      <w:szCs w:val="21"/>
                    </w:rPr>
                  </w:pPr>
                </w:p>
              </w:tc>
              <w:tc>
                <w:tcPr>
                  <w:tcW w:w="834" w:type="pct"/>
                  <w:vMerge w:val="continue"/>
                  <w:vAlign w:val="center"/>
                </w:tcPr>
                <w:p w14:paraId="6402BB44">
                  <w:pPr>
                    <w:jc w:val="center"/>
                    <w:rPr>
                      <w:color w:val="auto"/>
                      <w:szCs w:val="21"/>
                    </w:rPr>
                  </w:pPr>
                </w:p>
              </w:tc>
              <w:tc>
                <w:tcPr>
                  <w:tcW w:w="812" w:type="pct"/>
                  <w:vAlign w:val="center"/>
                </w:tcPr>
                <w:p w14:paraId="21B55AB5">
                  <w:pPr>
                    <w:widowControl/>
                    <w:jc w:val="center"/>
                    <w:rPr>
                      <w:rFonts w:hint="eastAsia" w:eastAsiaTheme="minorEastAsia"/>
                      <w:color w:val="auto"/>
                      <w:szCs w:val="21"/>
                      <w:lang w:val="en-US" w:eastAsia="zh-CN"/>
                    </w:rPr>
                  </w:pPr>
                  <w:r>
                    <w:rPr>
                      <w:rFonts w:hint="eastAsia"/>
                      <w:color w:val="auto"/>
                      <w:szCs w:val="21"/>
                      <w:lang w:val="en-US" w:eastAsia="zh-CN"/>
                    </w:rPr>
                    <w:t>臭气浓度</w:t>
                  </w:r>
                </w:p>
              </w:tc>
              <w:tc>
                <w:tcPr>
                  <w:tcW w:w="558" w:type="pct"/>
                  <w:vAlign w:val="center"/>
                </w:tcPr>
                <w:p w14:paraId="5C2C639F">
                  <w:pPr>
                    <w:jc w:val="center"/>
                    <w:rPr>
                      <w:rFonts w:ascii="Times New Roman" w:hAnsi="Times New Roman" w:cs="Times New Roman"/>
                      <w:color w:val="auto"/>
                      <w:szCs w:val="21"/>
                    </w:rPr>
                  </w:pPr>
                  <w:r>
                    <w:rPr>
                      <w:rFonts w:eastAsia="宋体"/>
                      <w:color w:val="auto"/>
                      <w:szCs w:val="21"/>
                    </w:rPr>
                    <w:t>1</w:t>
                  </w:r>
                  <w:r>
                    <w:rPr>
                      <w:rFonts w:hint="eastAsia" w:eastAsia="宋体"/>
                      <w:color w:val="auto"/>
                      <w:szCs w:val="21"/>
                    </w:rPr>
                    <w:t>次/年</w:t>
                  </w:r>
                </w:p>
              </w:tc>
              <w:tc>
                <w:tcPr>
                  <w:tcW w:w="1820" w:type="pct"/>
                  <w:vAlign w:val="center"/>
                </w:tcPr>
                <w:p w14:paraId="17C75952">
                  <w:pPr>
                    <w:widowControl/>
                    <w:jc w:val="center"/>
                    <w:rPr>
                      <w:rFonts w:hint="eastAsia" w:ascii="Times New Roman" w:hAnsi="Times New Roman" w:cs="Times New Roman"/>
                      <w:color w:val="auto"/>
                      <w:szCs w:val="21"/>
                      <w:lang w:val="en-US" w:eastAsia="zh-CN"/>
                    </w:rPr>
                  </w:pPr>
                  <w:r>
                    <w:rPr>
                      <w:rFonts w:ascii="Times New Roman" w:hAnsi="Times New Roman" w:cs="Times New Roman"/>
                      <w:color w:val="auto"/>
                      <w:szCs w:val="21"/>
                      <w:lang w:val="en-US" w:eastAsia="zh-CN"/>
                    </w:rPr>
                    <w:t>《恶臭污染物排放标准》（GB14554-93）</w:t>
                  </w:r>
                  <w:r>
                    <w:rPr>
                      <w:rFonts w:hint="eastAsia" w:ascii="Times New Roman" w:hAnsi="Times New Roman" w:cs="Times New Roman"/>
                      <w:color w:val="auto"/>
                      <w:szCs w:val="21"/>
                      <w:lang w:val="en-US" w:eastAsia="zh-CN"/>
                    </w:rPr>
                    <w:t>表2标准</w:t>
                  </w:r>
                </w:p>
              </w:tc>
              <w:tc>
                <w:tcPr>
                  <w:tcW w:w="632" w:type="pct"/>
                  <w:vMerge w:val="continue"/>
                  <w:tcBorders>
                    <w:right w:val="single" w:color="auto" w:sz="12" w:space="0"/>
                  </w:tcBorders>
                  <w:vAlign w:val="center"/>
                </w:tcPr>
                <w:p w14:paraId="1195E603">
                  <w:pPr>
                    <w:jc w:val="center"/>
                    <w:rPr>
                      <w:rFonts w:eastAsiaTheme="minorEastAsia"/>
                      <w:color w:val="FF0000"/>
                      <w:szCs w:val="21"/>
                    </w:rPr>
                  </w:pPr>
                </w:p>
              </w:tc>
            </w:tr>
            <w:tr w14:paraId="019F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340" w:type="pct"/>
                  <w:vMerge w:val="continue"/>
                  <w:tcBorders>
                    <w:top w:val="single" w:color="auto" w:sz="12" w:space="0"/>
                    <w:left w:val="single" w:color="auto" w:sz="12" w:space="0"/>
                    <w:bottom w:val="single" w:color="auto" w:sz="12" w:space="0"/>
                  </w:tcBorders>
                  <w:vAlign w:val="center"/>
                </w:tcPr>
                <w:p w14:paraId="1111426C">
                  <w:pPr>
                    <w:pStyle w:val="89"/>
                    <w:spacing w:before="0" w:line="240" w:lineRule="auto"/>
                    <w:ind w:firstLine="0" w:firstLineChars="0"/>
                    <w:jc w:val="center"/>
                    <w:rPr>
                      <w:rFonts w:ascii="Times New Roman" w:hAnsi="Times New Roman" w:eastAsiaTheme="minorEastAsia"/>
                      <w:color w:val="auto"/>
                      <w:kern w:val="2"/>
                      <w:sz w:val="21"/>
                      <w:szCs w:val="21"/>
                    </w:rPr>
                  </w:pPr>
                </w:p>
              </w:tc>
              <w:tc>
                <w:tcPr>
                  <w:tcW w:w="834" w:type="pct"/>
                  <w:vMerge w:val="restart"/>
                  <w:vAlign w:val="center"/>
                </w:tcPr>
                <w:p w14:paraId="50CA67B1">
                  <w:pPr>
                    <w:jc w:val="center"/>
                    <w:rPr>
                      <w:rFonts w:eastAsiaTheme="minorEastAsia"/>
                      <w:color w:val="auto"/>
                      <w:szCs w:val="21"/>
                    </w:rPr>
                  </w:pPr>
                  <w:r>
                    <w:rPr>
                      <w:color w:val="auto"/>
                      <w:szCs w:val="21"/>
                    </w:rPr>
                    <w:t>厂界</w:t>
                  </w:r>
                </w:p>
              </w:tc>
              <w:tc>
                <w:tcPr>
                  <w:tcW w:w="812" w:type="pct"/>
                  <w:vAlign w:val="center"/>
                </w:tcPr>
                <w:p w14:paraId="629BD294">
                  <w:pPr>
                    <w:widowControl/>
                    <w:jc w:val="center"/>
                    <w:rPr>
                      <w:rFonts w:hint="eastAsia"/>
                      <w:color w:val="auto"/>
                      <w:szCs w:val="21"/>
                      <w:lang w:val="en-US" w:eastAsia="zh-CN"/>
                    </w:rPr>
                  </w:pPr>
                  <w:r>
                    <w:rPr>
                      <w:rFonts w:hint="eastAsia"/>
                      <w:color w:val="auto"/>
                      <w:szCs w:val="21"/>
                      <w:lang w:val="en-US" w:eastAsia="zh-CN"/>
                    </w:rPr>
                    <w:t>非甲烷总烃</w:t>
                  </w:r>
                </w:p>
              </w:tc>
              <w:tc>
                <w:tcPr>
                  <w:tcW w:w="558" w:type="pct"/>
                  <w:vAlign w:val="center"/>
                </w:tcPr>
                <w:p w14:paraId="497D06AF">
                  <w:pPr>
                    <w:jc w:val="center"/>
                    <w:rPr>
                      <w:color w:val="auto"/>
                      <w:szCs w:val="21"/>
                    </w:rPr>
                  </w:pPr>
                  <w:r>
                    <w:rPr>
                      <w:color w:val="auto"/>
                      <w:szCs w:val="21"/>
                    </w:rPr>
                    <w:t>1</w:t>
                  </w:r>
                  <w:r>
                    <w:rPr>
                      <w:rFonts w:hint="eastAsia"/>
                      <w:color w:val="auto"/>
                      <w:szCs w:val="21"/>
                    </w:rPr>
                    <w:t>次/年</w:t>
                  </w:r>
                </w:p>
              </w:tc>
              <w:tc>
                <w:tcPr>
                  <w:tcW w:w="1820" w:type="pct"/>
                  <w:vAlign w:val="center"/>
                </w:tcPr>
                <w:p w14:paraId="65E7034D">
                  <w:pPr>
                    <w:jc w:val="center"/>
                    <w:rPr>
                      <w:rFonts w:ascii="Times New Roman" w:hAnsi="Times New Roman" w:cs="Times New Roman"/>
                      <w:color w:val="auto"/>
                      <w:szCs w:val="21"/>
                    </w:rPr>
                  </w:pPr>
                  <w:r>
                    <w:rPr>
                      <w:rFonts w:hint="eastAsia" w:ascii="Times New Roman" w:hAnsi="Times New Roman" w:eastAsia="宋体" w:cs="Times New Roman"/>
                      <w:color w:val="auto"/>
                      <w:szCs w:val="21"/>
                      <w:lang w:val="en-US" w:eastAsia="zh-CN"/>
                    </w:rPr>
                    <w:t>《合成树脂工业污染物排放标准》（GB31572-2015）及修改单（生态环境部公告2024年第17号）表9标准</w:t>
                  </w:r>
                </w:p>
              </w:tc>
              <w:tc>
                <w:tcPr>
                  <w:tcW w:w="632" w:type="pct"/>
                  <w:vMerge w:val="continue"/>
                  <w:tcBorders>
                    <w:top w:val="single" w:color="auto" w:sz="12" w:space="0"/>
                    <w:bottom w:val="single" w:color="auto" w:sz="12" w:space="0"/>
                    <w:right w:val="single" w:color="auto" w:sz="12" w:space="0"/>
                  </w:tcBorders>
                  <w:vAlign w:val="center"/>
                </w:tcPr>
                <w:p w14:paraId="42767E9E">
                  <w:pPr>
                    <w:jc w:val="center"/>
                    <w:rPr>
                      <w:rFonts w:eastAsiaTheme="minorEastAsia"/>
                      <w:color w:val="FF0000"/>
                      <w:sz w:val="18"/>
                      <w:szCs w:val="18"/>
                    </w:rPr>
                  </w:pPr>
                </w:p>
              </w:tc>
            </w:tr>
            <w:tr w14:paraId="1841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40" w:type="pct"/>
                  <w:vMerge w:val="continue"/>
                  <w:tcBorders>
                    <w:top w:val="single" w:color="auto" w:sz="12" w:space="0"/>
                    <w:left w:val="single" w:color="auto" w:sz="12" w:space="0"/>
                    <w:bottom w:val="single" w:color="auto" w:sz="12" w:space="0"/>
                  </w:tcBorders>
                  <w:vAlign w:val="center"/>
                </w:tcPr>
                <w:p w14:paraId="5B0D60F1">
                  <w:pPr>
                    <w:pStyle w:val="89"/>
                    <w:spacing w:before="0" w:line="240" w:lineRule="auto"/>
                    <w:ind w:firstLine="0" w:firstLineChars="0"/>
                    <w:jc w:val="center"/>
                    <w:rPr>
                      <w:rFonts w:ascii="Times New Roman" w:hAnsi="Times New Roman" w:eastAsiaTheme="minorEastAsia"/>
                      <w:color w:val="auto"/>
                      <w:kern w:val="2"/>
                      <w:sz w:val="21"/>
                      <w:szCs w:val="21"/>
                    </w:rPr>
                  </w:pPr>
                </w:p>
              </w:tc>
              <w:tc>
                <w:tcPr>
                  <w:tcW w:w="834" w:type="pct"/>
                  <w:vMerge w:val="continue"/>
                  <w:vAlign w:val="center"/>
                </w:tcPr>
                <w:p w14:paraId="309ADD3B">
                  <w:pPr>
                    <w:jc w:val="center"/>
                    <w:rPr>
                      <w:color w:val="auto"/>
                      <w:szCs w:val="21"/>
                    </w:rPr>
                  </w:pPr>
                </w:p>
              </w:tc>
              <w:tc>
                <w:tcPr>
                  <w:tcW w:w="812" w:type="pct"/>
                  <w:vAlign w:val="center"/>
                </w:tcPr>
                <w:p w14:paraId="3A4341A7">
                  <w:pPr>
                    <w:widowControl/>
                    <w:jc w:val="center"/>
                    <w:rPr>
                      <w:rFonts w:hint="default"/>
                      <w:color w:val="auto"/>
                      <w:szCs w:val="21"/>
                      <w:lang w:val="en-US" w:eastAsia="zh-CN"/>
                    </w:rPr>
                  </w:pPr>
                  <w:r>
                    <w:rPr>
                      <w:rFonts w:hint="eastAsia"/>
                      <w:color w:val="auto"/>
                      <w:szCs w:val="21"/>
                      <w:lang w:val="en-US" w:eastAsia="zh-CN"/>
                    </w:rPr>
                    <w:t>颗粒物</w:t>
                  </w:r>
                </w:p>
              </w:tc>
              <w:tc>
                <w:tcPr>
                  <w:tcW w:w="558" w:type="pct"/>
                  <w:vAlign w:val="center"/>
                </w:tcPr>
                <w:p w14:paraId="1F63D864">
                  <w:pPr>
                    <w:jc w:val="center"/>
                    <w:rPr>
                      <w:rFonts w:hint="default" w:eastAsia="宋体"/>
                      <w:color w:val="auto"/>
                      <w:szCs w:val="21"/>
                      <w:lang w:val="en-US" w:eastAsia="zh-CN"/>
                    </w:rPr>
                  </w:pPr>
                  <w:r>
                    <w:rPr>
                      <w:rFonts w:hint="eastAsia"/>
                      <w:color w:val="auto"/>
                      <w:szCs w:val="21"/>
                      <w:lang w:val="en-US" w:eastAsia="zh-CN"/>
                    </w:rPr>
                    <w:t>1次/年</w:t>
                  </w:r>
                </w:p>
              </w:tc>
              <w:tc>
                <w:tcPr>
                  <w:tcW w:w="1820" w:type="pct"/>
                  <w:vAlign w:val="center"/>
                </w:tcPr>
                <w:p w14:paraId="068FF4D0">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kern w:val="2"/>
                      <w:sz w:val="21"/>
                      <w:szCs w:val="21"/>
                      <w:lang w:val="en-US" w:eastAsia="zh-CN" w:bidi="ar-SA"/>
                    </w:rPr>
                    <w:t>《大气污染物综合排放标准》（DB32/4041-2021）表3标准</w:t>
                  </w:r>
                </w:p>
              </w:tc>
              <w:tc>
                <w:tcPr>
                  <w:tcW w:w="632" w:type="pct"/>
                  <w:vMerge w:val="continue"/>
                  <w:tcBorders>
                    <w:top w:val="single" w:color="auto" w:sz="12" w:space="0"/>
                    <w:bottom w:val="single" w:color="auto" w:sz="12" w:space="0"/>
                    <w:right w:val="single" w:color="auto" w:sz="12" w:space="0"/>
                  </w:tcBorders>
                  <w:vAlign w:val="center"/>
                </w:tcPr>
                <w:p w14:paraId="061DA62F">
                  <w:pPr>
                    <w:jc w:val="center"/>
                    <w:rPr>
                      <w:rFonts w:eastAsiaTheme="minorEastAsia"/>
                      <w:color w:val="FF0000"/>
                      <w:sz w:val="18"/>
                      <w:szCs w:val="18"/>
                    </w:rPr>
                  </w:pPr>
                </w:p>
              </w:tc>
            </w:tr>
            <w:tr w14:paraId="0A8F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40" w:type="pct"/>
                  <w:vMerge w:val="continue"/>
                  <w:tcBorders>
                    <w:top w:val="single" w:color="auto" w:sz="12" w:space="0"/>
                    <w:left w:val="single" w:color="auto" w:sz="12" w:space="0"/>
                    <w:bottom w:val="single" w:color="auto" w:sz="12" w:space="0"/>
                  </w:tcBorders>
                  <w:vAlign w:val="center"/>
                </w:tcPr>
                <w:p w14:paraId="348891FC">
                  <w:pPr>
                    <w:pStyle w:val="89"/>
                    <w:spacing w:before="0" w:line="240" w:lineRule="auto"/>
                    <w:ind w:firstLine="0" w:firstLineChars="0"/>
                    <w:jc w:val="center"/>
                    <w:rPr>
                      <w:rFonts w:ascii="Times New Roman" w:hAnsi="Times New Roman" w:eastAsiaTheme="minorEastAsia"/>
                      <w:color w:val="auto"/>
                      <w:kern w:val="2"/>
                      <w:sz w:val="21"/>
                      <w:szCs w:val="21"/>
                    </w:rPr>
                  </w:pPr>
                </w:p>
              </w:tc>
              <w:tc>
                <w:tcPr>
                  <w:tcW w:w="834" w:type="pct"/>
                  <w:vMerge w:val="continue"/>
                  <w:vAlign w:val="center"/>
                </w:tcPr>
                <w:p w14:paraId="1F432D06">
                  <w:pPr>
                    <w:jc w:val="center"/>
                    <w:rPr>
                      <w:color w:val="auto"/>
                      <w:szCs w:val="21"/>
                    </w:rPr>
                  </w:pPr>
                </w:p>
              </w:tc>
              <w:tc>
                <w:tcPr>
                  <w:tcW w:w="812" w:type="pct"/>
                  <w:vAlign w:val="center"/>
                </w:tcPr>
                <w:p w14:paraId="6FCAB259">
                  <w:pPr>
                    <w:widowControl/>
                    <w:jc w:val="center"/>
                    <w:rPr>
                      <w:rFonts w:hint="default"/>
                      <w:color w:val="auto"/>
                      <w:szCs w:val="21"/>
                      <w:lang w:val="en-US" w:eastAsia="zh-CN"/>
                    </w:rPr>
                  </w:pPr>
                  <w:r>
                    <w:rPr>
                      <w:rFonts w:hint="eastAsia"/>
                      <w:color w:val="auto"/>
                      <w:szCs w:val="21"/>
                      <w:lang w:val="en-US" w:eastAsia="zh-CN"/>
                    </w:rPr>
                    <w:t>臭气浓度</w:t>
                  </w:r>
                </w:p>
              </w:tc>
              <w:tc>
                <w:tcPr>
                  <w:tcW w:w="558" w:type="pct"/>
                  <w:vAlign w:val="center"/>
                </w:tcPr>
                <w:p w14:paraId="1023D667">
                  <w:pPr>
                    <w:jc w:val="center"/>
                    <w:rPr>
                      <w:color w:val="auto"/>
                      <w:szCs w:val="21"/>
                    </w:rPr>
                  </w:pPr>
                  <w:r>
                    <w:rPr>
                      <w:rFonts w:eastAsia="宋体"/>
                      <w:color w:val="auto"/>
                      <w:szCs w:val="21"/>
                    </w:rPr>
                    <w:t>1</w:t>
                  </w:r>
                  <w:r>
                    <w:rPr>
                      <w:rFonts w:hint="eastAsia" w:eastAsia="宋体"/>
                      <w:color w:val="auto"/>
                      <w:szCs w:val="21"/>
                    </w:rPr>
                    <w:t>次/年</w:t>
                  </w:r>
                </w:p>
              </w:tc>
              <w:tc>
                <w:tcPr>
                  <w:tcW w:w="1820" w:type="pct"/>
                  <w:vAlign w:val="center"/>
                </w:tcPr>
                <w:p w14:paraId="72D8FD23">
                  <w:pPr>
                    <w:jc w:val="center"/>
                    <w:rPr>
                      <w:rFonts w:hint="eastAsia" w:ascii="Times New Roman" w:hAnsi="Times New Roman" w:cs="Times New Roman"/>
                      <w:color w:val="auto"/>
                      <w:szCs w:val="21"/>
                    </w:rPr>
                  </w:pPr>
                  <w:r>
                    <w:rPr>
                      <w:rFonts w:ascii="Times New Roman" w:hAnsi="Times New Roman" w:cs="Times New Roman"/>
                      <w:color w:val="auto"/>
                      <w:szCs w:val="21"/>
                      <w:lang w:val="en-US" w:eastAsia="zh-CN"/>
                    </w:rPr>
                    <w:t>《恶臭污染物排放标准》（GB14554-93）</w:t>
                  </w:r>
                  <w:r>
                    <w:rPr>
                      <w:rFonts w:hint="eastAsia" w:ascii="Times New Roman" w:hAnsi="Times New Roman" w:cs="Times New Roman"/>
                      <w:color w:val="auto"/>
                      <w:szCs w:val="21"/>
                      <w:lang w:val="en-US" w:eastAsia="zh-CN"/>
                    </w:rPr>
                    <w:t>表1标准</w:t>
                  </w:r>
                </w:p>
              </w:tc>
              <w:tc>
                <w:tcPr>
                  <w:tcW w:w="632" w:type="pct"/>
                  <w:vMerge w:val="continue"/>
                  <w:tcBorders>
                    <w:top w:val="single" w:color="auto" w:sz="12" w:space="0"/>
                    <w:bottom w:val="single" w:color="auto" w:sz="12" w:space="0"/>
                    <w:right w:val="single" w:color="auto" w:sz="12" w:space="0"/>
                  </w:tcBorders>
                  <w:vAlign w:val="center"/>
                </w:tcPr>
                <w:p w14:paraId="61D46EA2">
                  <w:pPr>
                    <w:jc w:val="center"/>
                    <w:rPr>
                      <w:rFonts w:eastAsiaTheme="minorEastAsia"/>
                      <w:color w:val="FF0000"/>
                      <w:sz w:val="18"/>
                      <w:szCs w:val="18"/>
                    </w:rPr>
                  </w:pPr>
                </w:p>
              </w:tc>
            </w:tr>
            <w:tr w14:paraId="3B69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340" w:type="pct"/>
                  <w:vMerge w:val="continue"/>
                  <w:tcBorders>
                    <w:top w:val="single" w:color="auto" w:sz="12" w:space="0"/>
                    <w:left w:val="single" w:color="auto" w:sz="12" w:space="0"/>
                    <w:bottom w:val="single" w:color="auto" w:sz="12" w:space="0"/>
                  </w:tcBorders>
                  <w:vAlign w:val="center"/>
                </w:tcPr>
                <w:p w14:paraId="12047E2A">
                  <w:pPr>
                    <w:pStyle w:val="89"/>
                    <w:spacing w:before="0" w:line="240" w:lineRule="auto"/>
                    <w:ind w:firstLine="0" w:firstLineChars="0"/>
                    <w:jc w:val="center"/>
                    <w:rPr>
                      <w:rFonts w:ascii="Times New Roman" w:hAnsi="Times New Roman" w:eastAsiaTheme="minorEastAsia"/>
                      <w:color w:val="auto"/>
                      <w:kern w:val="2"/>
                      <w:sz w:val="21"/>
                      <w:szCs w:val="21"/>
                    </w:rPr>
                  </w:pPr>
                </w:p>
              </w:tc>
              <w:tc>
                <w:tcPr>
                  <w:tcW w:w="834" w:type="pct"/>
                  <w:tcBorders>
                    <w:bottom w:val="single" w:color="auto" w:sz="12" w:space="0"/>
                  </w:tcBorders>
                  <w:vAlign w:val="center"/>
                </w:tcPr>
                <w:p w14:paraId="7AC2922C">
                  <w:pPr>
                    <w:jc w:val="center"/>
                    <w:rPr>
                      <w:color w:val="auto"/>
                      <w:szCs w:val="21"/>
                    </w:rPr>
                  </w:pPr>
                  <w:r>
                    <w:rPr>
                      <w:rFonts w:hint="eastAsia"/>
                      <w:color w:val="auto"/>
                      <w:szCs w:val="21"/>
                    </w:rPr>
                    <w:t>厂区内</w:t>
                  </w:r>
                </w:p>
              </w:tc>
              <w:tc>
                <w:tcPr>
                  <w:tcW w:w="812" w:type="pct"/>
                  <w:tcBorders>
                    <w:bottom w:val="single" w:color="auto" w:sz="12" w:space="0"/>
                  </w:tcBorders>
                  <w:vAlign w:val="center"/>
                </w:tcPr>
                <w:p w14:paraId="5AA80063">
                  <w:pPr>
                    <w:widowControl/>
                    <w:jc w:val="center"/>
                    <w:rPr>
                      <w:color w:val="auto"/>
                      <w:szCs w:val="21"/>
                    </w:rPr>
                  </w:pPr>
                  <w:r>
                    <w:rPr>
                      <w:color w:val="auto"/>
                      <w:szCs w:val="21"/>
                    </w:rPr>
                    <w:t>NMHC</w:t>
                  </w:r>
                </w:p>
              </w:tc>
              <w:tc>
                <w:tcPr>
                  <w:tcW w:w="558" w:type="pct"/>
                  <w:tcBorders>
                    <w:bottom w:val="single" w:color="auto" w:sz="12" w:space="0"/>
                  </w:tcBorders>
                  <w:vAlign w:val="center"/>
                </w:tcPr>
                <w:p w14:paraId="588615DD">
                  <w:pPr>
                    <w:jc w:val="center"/>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次/年</w:t>
                  </w:r>
                </w:p>
              </w:tc>
              <w:tc>
                <w:tcPr>
                  <w:tcW w:w="1820" w:type="pct"/>
                  <w:tcBorders>
                    <w:bottom w:val="single" w:color="auto" w:sz="12" w:space="0"/>
                  </w:tcBorders>
                  <w:vAlign w:val="center"/>
                </w:tcPr>
                <w:p w14:paraId="2FC0E507">
                  <w:pPr>
                    <w:jc w:val="center"/>
                    <w:rPr>
                      <w:rFonts w:hint="default" w:ascii="Times New Roman" w:hAnsi="Times New Roman" w:cs="Times New Roman"/>
                      <w:color w:val="auto"/>
                      <w:szCs w:val="21"/>
                      <w:lang w:val="en-US" w:eastAsia="zh-CN"/>
                    </w:rPr>
                  </w:pPr>
                  <w:r>
                    <w:rPr>
                      <w:rFonts w:ascii="Times New Roman" w:hAnsi="Times New Roman" w:cs="Times New Roman"/>
                      <w:color w:val="auto"/>
                      <w:szCs w:val="21"/>
                    </w:rPr>
                    <w:t>《大气污染物综合排放标准》（</w:t>
                  </w:r>
                  <w:r>
                    <w:rPr>
                      <w:rFonts w:hint="eastAsia" w:ascii="Times New Roman" w:hAnsi="Times New Roman" w:cs="Times New Roman"/>
                      <w:color w:val="auto"/>
                      <w:szCs w:val="21"/>
                    </w:rPr>
                    <w:t>DB32/4041-2021</w:t>
                  </w:r>
                  <w:r>
                    <w:rPr>
                      <w:rFonts w:ascii="Times New Roman" w:hAnsi="Times New Roman" w:cs="Times New Roman"/>
                      <w:color w:val="auto"/>
                      <w:szCs w:val="21"/>
                    </w:rPr>
                    <w:t>）</w:t>
                  </w:r>
                  <w:r>
                    <w:rPr>
                      <w:rFonts w:hint="eastAsia" w:ascii="Times New Roman" w:hAnsi="Times New Roman" w:cs="Times New Roman"/>
                      <w:color w:val="auto"/>
                      <w:szCs w:val="21"/>
                    </w:rPr>
                    <w:t>表2</w:t>
                  </w:r>
                  <w:r>
                    <w:rPr>
                      <w:rFonts w:ascii="Times New Roman" w:hAnsi="Times New Roman" w:cs="Times New Roman"/>
                      <w:color w:val="auto"/>
                      <w:szCs w:val="21"/>
                    </w:rPr>
                    <w:t>标准</w:t>
                  </w:r>
                  <w:r>
                    <w:rPr>
                      <w:rFonts w:hint="eastAsia" w:ascii="Times New Roman" w:hAnsi="Times New Roman" w:cs="Times New Roman"/>
                      <w:color w:val="auto"/>
                      <w:szCs w:val="21"/>
                    </w:rPr>
                    <w:t>及</w:t>
                  </w:r>
                  <w:r>
                    <w:rPr>
                      <w:rFonts w:ascii="Times New Roman" w:hAnsi="Times New Roman" w:cs="Times New Roman"/>
                      <w:color w:val="auto"/>
                      <w:szCs w:val="21"/>
                    </w:rPr>
                    <w:t>《挥发性有机物无组织排放控制标准》（GB37822-2019）附录A标准</w:t>
                  </w:r>
                </w:p>
              </w:tc>
              <w:tc>
                <w:tcPr>
                  <w:tcW w:w="632" w:type="pct"/>
                  <w:vMerge w:val="continue"/>
                  <w:tcBorders>
                    <w:top w:val="single" w:color="auto" w:sz="12" w:space="0"/>
                    <w:bottom w:val="single" w:color="auto" w:sz="12" w:space="0"/>
                    <w:right w:val="single" w:color="auto" w:sz="12" w:space="0"/>
                  </w:tcBorders>
                  <w:vAlign w:val="center"/>
                </w:tcPr>
                <w:p w14:paraId="78825959">
                  <w:pPr>
                    <w:jc w:val="center"/>
                    <w:rPr>
                      <w:rFonts w:eastAsiaTheme="minorEastAsia"/>
                      <w:color w:val="FF0000"/>
                      <w:sz w:val="18"/>
                      <w:szCs w:val="18"/>
                    </w:rPr>
                  </w:pPr>
                </w:p>
              </w:tc>
            </w:tr>
          </w:tbl>
          <w:p w14:paraId="01CB703E">
            <w:pPr>
              <w:pStyle w:val="2"/>
              <w:spacing w:after="0"/>
              <w:ind w:firstLine="100"/>
              <w:rPr>
                <w:color w:val="FF0000"/>
                <w:sz w:val="10"/>
                <w:szCs w:val="10"/>
              </w:rPr>
            </w:pPr>
          </w:p>
          <w:p w14:paraId="6058D985">
            <w:pPr>
              <w:spacing w:line="360" w:lineRule="auto"/>
              <w:ind w:firstLine="482" w:firstLineChars="200"/>
              <w:rPr>
                <w:rFonts w:eastAsiaTheme="minorEastAsia"/>
                <w:color w:val="auto"/>
                <w:sz w:val="24"/>
                <w:szCs w:val="24"/>
              </w:rPr>
            </w:pPr>
            <w:r>
              <w:rPr>
                <w:rFonts w:hint="eastAsia" w:eastAsiaTheme="minorEastAsia"/>
                <w:b/>
                <w:bCs/>
                <w:color w:val="auto"/>
                <w:sz w:val="24"/>
                <w:szCs w:val="24"/>
              </w:rPr>
              <w:t>1</w:t>
            </w:r>
            <w:r>
              <w:rPr>
                <w:rFonts w:hint="eastAsia" w:ascii="Times New Roman" w:hAnsi="Times New Roman" w:cs="Times New Roman" w:eastAsiaTheme="minorEastAsia"/>
                <w:b/>
                <w:bCs/>
                <w:color w:val="auto"/>
                <w:sz w:val="24"/>
                <w:szCs w:val="24"/>
              </w:rPr>
              <w:t>.4卫生防护距离设置</w:t>
            </w:r>
          </w:p>
          <w:p w14:paraId="64F337E3">
            <w:pPr>
              <w:tabs>
                <w:tab w:val="left" w:pos="4365"/>
              </w:tabs>
              <w:snapToGrid w:val="0"/>
              <w:spacing w:line="360" w:lineRule="auto"/>
              <w:ind w:firstLine="480" w:firstLineChars="200"/>
              <w:rPr>
                <w:rFonts w:eastAsiaTheme="minorEastAsia"/>
                <w:color w:val="auto"/>
                <w:sz w:val="24"/>
                <w:szCs w:val="24"/>
              </w:rPr>
            </w:pPr>
            <w:r>
              <w:rPr>
                <w:rFonts w:eastAsiaTheme="minorEastAsia"/>
                <w:color w:val="auto"/>
                <w:sz w:val="24"/>
                <w:szCs w:val="24"/>
              </w:rPr>
              <w:t>根据</w:t>
            </w:r>
            <w:r>
              <w:rPr>
                <w:color w:val="auto"/>
                <w:sz w:val="24"/>
                <w:szCs w:val="24"/>
              </w:rPr>
              <w:t>《大气</w:t>
            </w:r>
            <w:r>
              <w:rPr>
                <w:rFonts w:hint="eastAsia"/>
                <w:color w:val="auto"/>
                <w:sz w:val="24"/>
                <w:szCs w:val="24"/>
              </w:rPr>
              <w:t>有害物质无组织排放卫生防护距离推导技术导则</w:t>
            </w:r>
            <w:r>
              <w:rPr>
                <w:color w:val="auto"/>
                <w:sz w:val="24"/>
                <w:szCs w:val="24"/>
              </w:rPr>
              <w:t>》（GB/T</w:t>
            </w:r>
            <w:r>
              <w:rPr>
                <w:rFonts w:hint="eastAsia"/>
                <w:color w:val="auto"/>
                <w:sz w:val="24"/>
                <w:szCs w:val="24"/>
              </w:rPr>
              <w:t>39499</w:t>
            </w:r>
            <w:r>
              <w:rPr>
                <w:color w:val="auto"/>
                <w:sz w:val="24"/>
                <w:szCs w:val="24"/>
              </w:rPr>
              <w:t>－</w:t>
            </w:r>
            <w:r>
              <w:rPr>
                <w:rFonts w:hint="eastAsia"/>
                <w:color w:val="auto"/>
                <w:sz w:val="24"/>
                <w:szCs w:val="24"/>
              </w:rPr>
              <w:t>2020</w:t>
            </w:r>
            <w:r>
              <w:rPr>
                <w:color w:val="auto"/>
                <w:sz w:val="24"/>
                <w:szCs w:val="24"/>
              </w:rPr>
              <w:t>）</w:t>
            </w:r>
            <w:r>
              <w:rPr>
                <w:rFonts w:eastAsiaTheme="minorEastAsia"/>
                <w:color w:val="auto"/>
                <w:sz w:val="24"/>
                <w:szCs w:val="24"/>
              </w:rPr>
              <w:t>，各类工业企业卫生防护距离按下式计算：</w:t>
            </w:r>
          </w:p>
          <w:p w14:paraId="6B6926B7">
            <w:pPr>
              <w:spacing w:line="360" w:lineRule="auto"/>
              <w:jc w:val="center"/>
              <w:rPr>
                <w:rFonts w:eastAsiaTheme="minorEastAsia"/>
                <w:color w:val="auto"/>
                <w:sz w:val="24"/>
                <w:szCs w:val="24"/>
              </w:rPr>
            </w:pPr>
            <w:r>
              <w:rPr>
                <w:rFonts w:eastAsiaTheme="minorEastAsia"/>
                <w:color w:val="auto"/>
                <w:position w:val="-30"/>
                <w:sz w:val="24"/>
                <w:szCs w:val="24"/>
              </w:rPr>
              <w:object>
                <v:shape id="_x0000_i1025" o:spt="75" type="#_x0000_t75" style="height:35.15pt;width:139pt;" o:ole="t" filled="f" coordsize="21600,21600">
                  <v:path/>
                  <v:fill on="f" focussize="0,0"/>
                  <v:stroke/>
                  <v:imagedata r:id="rId17" o:title=""/>
                  <o:lock v:ext="edit" aspectratio="t"/>
                  <w10:wrap type="none"/>
                  <w10:anchorlock/>
                </v:shape>
                <o:OLEObject Type="Embed" ProgID="Equation.3" ShapeID="_x0000_i1025" DrawAspect="Content" ObjectID="_1468075725" r:id="rId16">
                  <o:LockedField>false</o:LockedField>
                </o:OLEObject>
              </w:object>
            </w:r>
          </w:p>
          <w:p w14:paraId="19420CB0">
            <w:pPr>
              <w:spacing w:line="360" w:lineRule="auto"/>
              <w:ind w:firstLine="480" w:firstLineChars="200"/>
              <w:rPr>
                <w:rFonts w:eastAsiaTheme="minorEastAsia"/>
                <w:color w:val="auto"/>
                <w:sz w:val="24"/>
                <w:szCs w:val="24"/>
              </w:rPr>
            </w:pPr>
            <w:r>
              <w:rPr>
                <w:rFonts w:eastAsiaTheme="minorEastAsia"/>
                <w:color w:val="auto"/>
                <w:sz w:val="24"/>
                <w:szCs w:val="24"/>
              </w:rPr>
              <w:t>式中：C</w:t>
            </w:r>
            <w:r>
              <w:rPr>
                <w:rFonts w:eastAsiaTheme="minorEastAsia"/>
                <w:color w:val="auto"/>
                <w:sz w:val="24"/>
                <w:szCs w:val="24"/>
                <w:vertAlign w:val="subscript"/>
              </w:rPr>
              <w:t>m</w:t>
            </w:r>
            <w:r>
              <w:rPr>
                <w:rFonts w:eastAsiaTheme="minorEastAsia"/>
                <w:color w:val="auto"/>
                <w:sz w:val="24"/>
                <w:szCs w:val="24"/>
              </w:rPr>
              <w:t>——标准浓度限值（mg/m</w:t>
            </w:r>
            <w:r>
              <w:rPr>
                <w:rFonts w:eastAsiaTheme="minorEastAsia"/>
                <w:color w:val="auto"/>
                <w:sz w:val="24"/>
                <w:szCs w:val="24"/>
                <w:vertAlign w:val="superscript"/>
              </w:rPr>
              <w:t>3</w:t>
            </w:r>
            <w:r>
              <w:rPr>
                <w:rFonts w:eastAsiaTheme="minorEastAsia"/>
                <w:color w:val="auto"/>
                <w:sz w:val="24"/>
                <w:szCs w:val="24"/>
              </w:rPr>
              <w:t>）；</w:t>
            </w:r>
          </w:p>
          <w:p w14:paraId="06315770">
            <w:pPr>
              <w:spacing w:line="360" w:lineRule="auto"/>
              <w:ind w:firstLine="1200" w:firstLineChars="500"/>
              <w:rPr>
                <w:rFonts w:eastAsiaTheme="minorEastAsia"/>
                <w:color w:val="auto"/>
                <w:sz w:val="24"/>
                <w:szCs w:val="24"/>
              </w:rPr>
            </w:pPr>
            <w:r>
              <w:rPr>
                <w:rFonts w:eastAsiaTheme="minorEastAsia"/>
                <w:color w:val="auto"/>
                <w:sz w:val="24"/>
                <w:szCs w:val="24"/>
              </w:rPr>
              <w:t>Q</w:t>
            </w:r>
            <w:r>
              <w:rPr>
                <w:rFonts w:eastAsiaTheme="minorEastAsia"/>
                <w:color w:val="auto"/>
                <w:sz w:val="24"/>
                <w:szCs w:val="24"/>
                <w:vertAlign w:val="subscript"/>
              </w:rPr>
              <w:t>c</w:t>
            </w:r>
            <w:r>
              <w:rPr>
                <w:rFonts w:eastAsiaTheme="minorEastAsia"/>
                <w:color w:val="auto"/>
                <w:sz w:val="24"/>
                <w:szCs w:val="24"/>
              </w:rPr>
              <w:t>——大气污染物可以达到的控制水平（kg/h）；</w:t>
            </w:r>
          </w:p>
          <w:p w14:paraId="327061D5">
            <w:pPr>
              <w:spacing w:line="360" w:lineRule="auto"/>
              <w:ind w:firstLine="1200" w:firstLineChars="500"/>
              <w:rPr>
                <w:rFonts w:eastAsiaTheme="minorEastAsia"/>
                <w:color w:val="auto"/>
                <w:sz w:val="24"/>
                <w:szCs w:val="24"/>
              </w:rPr>
            </w:pPr>
            <w:r>
              <w:rPr>
                <w:rFonts w:eastAsiaTheme="minorEastAsia"/>
                <w:color w:val="auto"/>
                <w:sz w:val="24"/>
                <w:szCs w:val="24"/>
              </w:rPr>
              <w:t>A、B、C、D——卫生防护距离计算系数；</w:t>
            </w:r>
          </w:p>
          <w:p w14:paraId="76A44BEF">
            <w:pPr>
              <w:spacing w:line="360" w:lineRule="auto"/>
              <w:ind w:firstLine="1200" w:firstLineChars="500"/>
              <w:rPr>
                <w:rFonts w:eastAsiaTheme="minorEastAsia"/>
                <w:color w:val="auto"/>
                <w:sz w:val="24"/>
                <w:szCs w:val="24"/>
              </w:rPr>
            </w:pPr>
            <w:r>
              <w:rPr>
                <w:rFonts w:eastAsiaTheme="minorEastAsia"/>
                <w:color w:val="auto"/>
                <w:sz w:val="24"/>
                <w:szCs w:val="24"/>
              </w:rPr>
              <w:t>r——排放源所在生产单元的等效半径（m）；</w:t>
            </w:r>
          </w:p>
          <w:p w14:paraId="7DB81A95">
            <w:pPr>
              <w:spacing w:line="360" w:lineRule="auto"/>
              <w:ind w:firstLine="1200" w:firstLineChars="500"/>
              <w:rPr>
                <w:rFonts w:eastAsiaTheme="minorEastAsia"/>
                <w:color w:val="auto"/>
                <w:sz w:val="24"/>
                <w:szCs w:val="24"/>
              </w:rPr>
            </w:pPr>
            <w:r>
              <w:rPr>
                <w:rFonts w:eastAsiaTheme="minorEastAsia"/>
                <w:color w:val="auto"/>
                <w:sz w:val="24"/>
                <w:szCs w:val="24"/>
              </w:rPr>
              <w:t>L——卫生防护距离（m）。</w:t>
            </w:r>
          </w:p>
          <w:p w14:paraId="06F65478">
            <w:pPr>
              <w:spacing w:line="360" w:lineRule="auto"/>
              <w:ind w:firstLine="484" w:firstLineChars="202"/>
              <w:rPr>
                <w:rFonts w:eastAsiaTheme="minorEastAsia"/>
                <w:b/>
                <w:bCs/>
                <w:color w:val="auto"/>
                <w:sz w:val="24"/>
                <w:szCs w:val="24"/>
              </w:rPr>
            </w:pPr>
            <w:r>
              <w:rPr>
                <w:rFonts w:eastAsiaTheme="minorEastAsia"/>
                <w:color w:val="auto"/>
                <w:sz w:val="24"/>
                <w:szCs w:val="24"/>
              </w:rPr>
              <w:t>按照无组织废气源强参数表，根据</w:t>
            </w:r>
            <w:r>
              <w:rPr>
                <w:color w:val="auto"/>
                <w:sz w:val="24"/>
                <w:szCs w:val="24"/>
              </w:rPr>
              <w:t>《大气</w:t>
            </w:r>
            <w:r>
              <w:rPr>
                <w:rFonts w:hint="eastAsia"/>
                <w:color w:val="auto"/>
                <w:sz w:val="24"/>
                <w:szCs w:val="24"/>
              </w:rPr>
              <w:t>有害物质无组织排放卫生防护距离推导技术导则</w:t>
            </w:r>
            <w:r>
              <w:rPr>
                <w:color w:val="auto"/>
                <w:sz w:val="24"/>
                <w:szCs w:val="24"/>
              </w:rPr>
              <w:t>》（GB/T</w:t>
            </w:r>
            <w:r>
              <w:rPr>
                <w:rFonts w:hint="eastAsia"/>
                <w:color w:val="auto"/>
                <w:sz w:val="24"/>
                <w:szCs w:val="24"/>
              </w:rPr>
              <w:t>39499</w:t>
            </w:r>
            <w:r>
              <w:rPr>
                <w:color w:val="auto"/>
                <w:sz w:val="24"/>
                <w:szCs w:val="24"/>
              </w:rPr>
              <w:t>－</w:t>
            </w:r>
            <w:r>
              <w:rPr>
                <w:rFonts w:hint="eastAsia"/>
                <w:color w:val="auto"/>
                <w:sz w:val="24"/>
                <w:szCs w:val="24"/>
              </w:rPr>
              <w:t>2020</w:t>
            </w:r>
            <w:r>
              <w:rPr>
                <w:color w:val="auto"/>
                <w:sz w:val="24"/>
                <w:szCs w:val="24"/>
              </w:rPr>
              <w:t>）</w:t>
            </w:r>
            <w:r>
              <w:rPr>
                <w:rFonts w:eastAsiaTheme="minorEastAsia"/>
                <w:color w:val="auto"/>
                <w:sz w:val="24"/>
                <w:szCs w:val="24"/>
              </w:rPr>
              <w:t>的有关规定计算卫生防护距离，各参数取值见表</w:t>
            </w:r>
            <w:r>
              <w:rPr>
                <w:rFonts w:hint="eastAsia" w:eastAsiaTheme="minorEastAsia"/>
                <w:color w:val="auto"/>
                <w:sz w:val="24"/>
                <w:szCs w:val="24"/>
              </w:rPr>
              <w:t>4</w:t>
            </w:r>
            <w:r>
              <w:rPr>
                <w:rFonts w:eastAsiaTheme="minorEastAsia"/>
                <w:color w:val="auto"/>
                <w:sz w:val="24"/>
                <w:szCs w:val="24"/>
              </w:rPr>
              <w:t>-</w:t>
            </w:r>
            <w:r>
              <w:rPr>
                <w:rFonts w:hint="eastAsia" w:eastAsiaTheme="minorEastAsia"/>
                <w:color w:val="auto"/>
                <w:sz w:val="24"/>
                <w:szCs w:val="24"/>
              </w:rPr>
              <w:t>1</w:t>
            </w:r>
            <w:r>
              <w:rPr>
                <w:rFonts w:hint="eastAsia" w:eastAsiaTheme="minorEastAsia"/>
                <w:color w:val="auto"/>
                <w:sz w:val="24"/>
                <w:szCs w:val="24"/>
                <w:lang w:val="en-US" w:eastAsia="zh-CN"/>
              </w:rPr>
              <w:t>2</w:t>
            </w:r>
            <w:r>
              <w:rPr>
                <w:rFonts w:eastAsiaTheme="minorEastAsia"/>
                <w:color w:val="auto"/>
                <w:sz w:val="24"/>
                <w:szCs w:val="24"/>
              </w:rPr>
              <w:t>。</w:t>
            </w:r>
          </w:p>
          <w:p w14:paraId="0D5CEBAE">
            <w:pPr>
              <w:adjustRightInd w:val="0"/>
              <w:snapToGrid w:val="0"/>
              <w:spacing w:line="324" w:lineRule="auto"/>
              <w:jc w:val="center"/>
              <w:rPr>
                <w:rFonts w:eastAsiaTheme="minorEastAsia"/>
                <w:b/>
                <w:bCs/>
                <w:color w:val="auto"/>
                <w:sz w:val="24"/>
                <w:szCs w:val="24"/>
              </w:rPr>
            </w:pPr>
          </w:p>
          <w:p w14:paraId="71FCBD60">
            <w:pPr>
              <w:adjustRightInd w:val="0"/>
              <w:snapToGrid w:val="0"/>
              <w:spacing w:line="324" w:lineRule="auto"/>
              <w:jc w:val="center"/>
              <w:rPr>
                <w:rFonts w:eastAsiaTheme="minorEastAsia"/>
                <w:b/>
                <w:bCs/>
                <w:color w:val="auto"/>
                <w:sz w:val="24"/>
                <w:szCs w:val="24"/>
              </w:rPr>
            </w:pPr>
          </w:p>
          <w:p w14:paraId="1679C291">
            <w:pPr>
              <w:adjustRightInd w:val="0"/>
              <w:snapToGrid w:val="0"/>
              <w:spacing w:line="324" w:lineRule="auto"/>
              <w:jc w:val="center"/>
              <w:rPr>
                <w:rFonts w:eastAsiaTheme="minorEastAsia"/>
                <w:b/>
                <w:bCs/>
                <w:color w:val="auto"/>
                <w:sz w:val="24"/>
                <w:szCs w:val="24"/>
              </w:rPr>
            </w:pPr>
          </w:p>
          <w:p w14:paraId="1CAB0B01">
            <w:pPr>
              <w:adjustRightInd w:val="0"/>
              <w:snapToGrid w:val="0"/>
              <w:spacing w:line="324" w:lineRule="auto"/>
              <w:jc w:val="center"/>
              <w:rPr>
                <w:rFonts w:eastAsiaTheme="minorEastAsia"/>
                <w:b/>
                <w:bCs/>
                <w:color w:val="auto"/>
                <w:szCs w:val="21"/>
              </w:rPr>
            </w:pPr>
            <w:r>
              <w:rPr>
                <w:rFonts w:eastAsiaTheme="minorEastAsia"/>
                <w:b/>
                <w:bCs/>
                <w:color w:val="auto"/>
                <w:sz w:val="24"/>
                <w:szCs w:val="24"/>
              </w:rPr>
              <w:t>表</w:t>
            </w:r>
            <w:r>
              <w:rPr>
                <w:rFonts w:hint="eastAsia" w:eastAsiaTheme="minorEastAsia"/>
                <w:b/>
                <w:bCs/>
                <w:color w:val="auto"/>
                <w:sz w:val="24"/>
                <w:szCs w:val="24"/>
              </w:rPr>
              <w:t>4</w:t>
            </w:r>
            <w:r>
              <w:rPr>
                <w:rFonts w:eastAsiaTheme="minorEastAsia"/>
                <w:b/>
                <w:bCs/>
                <w:color w:val="auto"/>
                <w:sz w:val="24"/>
                <w:szCs w:val="24"/>
              </w:rPr>
              <w:t>-</w:t>
            </w:r>
            <w:r>
              <w:rPr>
                <w:rFonts w:hint="eastAsia" w:eastAsiaTheme="minorEastAsia"/>
                <w:b/>
                <w:bCs/>
                <w:color w:val="auto"/>
                <w:sz w:val="24"/>
                <w:szCs w:val="24"/>
              </w:rPr>
              <w:t>1</w:t>
            </w:r>
            <w:r>
              <w:rPr>
                <w:rFonts w:hint="eastAsia" w:eastAsiaTheme="minorEastAsia"/>
                <w:b/>
                <w:bCs/>
                <w:color w:val="auto"/>
                <w:sz w:val="24"/>
                <w:szCs w:val="24"/>
                <w:lang w:val="en-US" w:eastAsia="zh-CN"/>
              </w:rPr>
              <w:t>2</w:t>
            </w:r>
            <w:r>
              <w:rPr>
                <w:rFonts w:eastAsiaTheme="minorEastAsia"/>
                <w:b/>
                <w:bCs/>
                <w:color w:val="auto"/>
                <w:sz w:val="24"/>
                <w:szCs w:val="24"/>
              </w:rPr>
              <w:t>卫生防护距离计算系数</w:t>
            </w:r>
          </w:p>
          <w:tbl>
            <w:tblPr>
              <w:tblStyle w:val="35"/>
              <w:tblW w:w="777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12"/>
              <w:gridCol w:w="983"/>
              <w:gridCol w:w="613"/>
              <w:gridCol w:w="657"/>
              <w:gridCol w:w="620"/>
              <w:gridCol w:w="613"/>
              <w:gridCol w:w="613"/>
              <w:gridCol w:w="619"/>
              <w:gridCol w:w="613"/>
              <w:gridCol w:w="613"/>
              <w:gridCol w:w="623"/>
            </w:tblGrid>
            <w:tr w14:paraId="0F7FB0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74" w:hRule="atLeast"/>
                <w:jc w:val="center"/>
              </w:trPr>
              <w:tc>
                <w:tcPr>
                  <w:tcW w:w="779" w:type="pct"/>
                  <w:vMerge w:val="restart"/>
                  <w:vAlign w:val="center"/>
                </w:tcPr>
                <w:p w14:paraId="226D3956">
                  <w:pPr>
                    <w:jc w:val="center"/>
                    <w:rPr>
                      <w:rFonts w:eastAsiaTheme="minorEastAsia"/>
                      <w:b/>
                      <w:bCs/>
                      <w:color w:val="auto"/>
                      <w:szCs w:val="21"/>
                    </w:rPr>
                  </w:pPr>
                  <w:r>
                    <w:rPr>
                      <w:rFonts w:eastAsiaTheme="minorEastAsia"/>
                      <w:b/>
                      <w:bCs/>
                      <w:color w:val="auto"/>
                      <w:szCs w:val="21"/>
                    </w:rPr>
                    <w:t>计算系数</w:t>
                  </w:r>
                </w:p>
              </w:tc>
              <w:tc>
                <w:tcPr>
                  <w:tcW w:w="631" w:type="pct"/>
                  <w:vMerge w:val="restart"/>
                  <w:vAlign w:val="center"/>
                </w:tcPr>
                <w:p w14:paraId="66709BFC">
                  <w:pPr>
                    <w:jc w:val="center"/>
                    <w:rPr>
                      <w:rFonts w:eastAsiaTheme="minorEastAsia"/>
                      <w:b/>
                      <w:bCs/>
                      <w:color w:val="auto"/>
                      <w:szCs w:val="21"/>
                    </w:rPr>
                  </w:pPr>
                  <w:r>
                    <w:rPr>
                      <w:rFonts w:eastAsiaTheme="minorEastAsia"/>
                      <w:b/>
                      <w:bCs/>
                      <w:color w:val="auto"/>
                      <w:szCs w:val="21"/>
                    </w:rPr>
                    <w:t>5年平均风速，m/s</w:t>
                  </w:r>
                </w:p>
              </w:tc>
              <w:tc>
                <w:tcPr>
                  <w:tcW w:w="3589" w:type="pct"/>
                  <w:gridSpan w:val="9"/>
                  <w:vAlign w:val="center"/>
                </w:tcPr>
                <w:p w14:paraId="5F1A1FC3">
                  <w:pPr>
                    <w:jc w:val="center"/>
                    <w:rPr>
                      <w:rFonts w:eastAsiaTheme="minorEastAsia"/>
                      <w:b/>
                      <w:bCs/>
                      <w:color w:val="auto"/>
                      <w:szCs w:val="21"/>
                    </w:rPr>
                  </w:pPr>
                  <w:r>
                    <w:rPr>
                      <w:rFonts w:eastAsiaTheme="minorEastAsia"/>
                      <w:b/>
                      <w:bCs/>
                      <w:color w:val="auto"/>
                      <w:szCs w:val="21"/>
                    </w:rPr>
                    <w:t>卫生防护距离L（m）</w:t>
                  </w:r>
                </w:p>
              </w:tc>
            </w:tr>
            <w:tr w14:paraId="6740B7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52" w:hRule="atLeast"/>
                <w:jc w:val="center"/>
              </w:trPr>
              <w:tc>
                <w:tcPr>
                  <w:tcW w:w="779" w:type="pct"/>
                  <w:vMerge w:val="continue"/>
                  <w:vAlign w:val="center"/>
                </w:tcPr>
                <w:p w14:paraId="0F9B7B74">
                  <w:pPr>
                    <w:jc w:val="center"/>
                    <w:rPr>
                      <w:rFonts w:eastAsiaTheme="minorEastAsia"/>
                      <w:color w:val="auto"/>
                      <w:szCs w:val="21"/>
                    </w:rPr>
                  </w:pPr>
                </w:p>
              </w:tc>
              <w:tc>
                <w:tcPr>
                  <w:tcW w:w="631" w:type="pct"/>
                  <w:vMerge w:val="continue"/>
                  <w:vAlign w:val="center"/>
                </w:tcPr>
                <w:p w14:paraId="2EFBB072">
                  <w:pPr>
                    <w:jc w:val="center"/>
                    <w:rPr>
                      <w:rFonts w:eastAsiaTheme="minorEastAsia"/>
                      <w:color w:val="auto"/>
                      <w:szCs w:val="21"/>
                    </w:rPr>
                  </w:pPr>
                </w:p>
              </w:tc>
              <w:tc>
                <w:tcPr>
                  <w:tcW w:w="1214" w:type="pct"/>
                  <w:gridSpan w:val="3"/>
                  <w:vAlign w:val="center"/>
                </w:tcPr>
                <w:p w14:paraId="0E3BA02E">
                  <w:pPr>
                    <w:jc w:val="center"/>
                    <w:rPr>
                      <w:rFonts w:eastAsiaTheme="minorEastAsia"/>
                      <w:color w:val="auto"/>
                      <w:szCs w:val="21"/>
                    </w:rPr>
                  </w:pPr>
                  <w:r>
                    <w:rPr>
                      <w:rFonts w:eastAsiaTheme="minorEastAsia"/>
                      <w:color w:val="auto"/>
                      <w:szCs w:val="21"/>
                    </w:rPr>
                    <w:t>L≤1000</w:t>
                  </w:r>
                </w:p>
              </w:tc>
              <w:tc>
                <w:tcPr>
                  <w:tcW w:w="1185" w:type="pct"/>
                  <w:gridSpan w:val="3"/>
                  <w:vAlign w:val="center"/>
                </w:tcPr>
                <w:p w14:paraId="1A3B3996">
                  <w:pPr>
                    <w:jc w:val="center"/>
                    <w:rPr>
                      <w:rFonts w:eastAsiaTheme="minorEastAsia"/>
                      <w:color w:val="auto"/>
                      <w:szCs w:val="21"/>
                    </w:rPr>
                  </w:pPr>
                  <w:r>
                    <w:rPr>
                      <w:rFonts w:eastAsiaTheme="minorEastAsia"/>
                      <w:color w:val="auto"/>
                      <w:szCs w:val="21"/>
                    </w:rPr>
                    <w:t>1000＜L≤</w:t>
                  </w:r>
                  <w:bookmarkStart w:id="19" w:name="_GoBack"/>
                  <w:bookmarkEnd w:id="19"/>
                  <w:r>
                    <w:rPr>
                      <w:rFonts w:eastAsiaTheme="minorEastAsia"/>
                      <w:color w:val="auto"/>
                      <w:szCs w:val="21"/>
                    </w:rPr>
                    <w:t>2000</w:t>
                  </w:r>
                </w:p>
              </w:tc>
              <w:tc>
                <w:tcPr>
                  <w:tcW w:w="1188" w:type="pct"/>
                  <w:gridSpan w:val="3"/>
                  <w:vAlign w:val="center"/>
                </w:tcPr>
                <w:p w14:paraId="31CF039A">
                  <w:pPr>
                    <w:jc w:val="center"/>
                    <w:rPr>
                      <w:rFonts w:eastAsiaTheme="minorEastAsia"/>
                      <w:color w:val="auto"/>
                      <w:szCs w:val="21"/>
                    </w:rPr>
                  </w:pPr>
                  <w:r>
                    <w:rPr>
                      <w:rFonts w:eastAsiaTheme="minorEastAsia"/>
                      <w:color w:val="auto"/>
                      <w:szCs w:val="21"/>
                    </w:rPr>
                    <w:t>L＞2000</w:t>
                  </w:r>
                </w:p>
              </w:tc>
            </w:tr>
            <w:tr w14:paraId="22DCB8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52" w:hRule="atLeast"/>
                <w:jc w:val="center"/>
              </w:trPr>
              <w:tc>
                <w:tcPr>
                  <w:tcW w:w="779" w:type="pct"/>
                  <w:vMerge w:val="continue"/>
                  <w:vAlign w:val="center"/>
                </w:tcPr>
                <w:p w14:paraId="5B67A222">
                  <w:pPr>
                    <w:jc w:val="center"/>
                    <w:rPr>
                      <w:rFonts w:eastAsiaTheme="minorEastAsia"/>
                      <w:color w:val="auto"/>
                      <w:szCs w:val="21"/>
                    </w:rPr>
                  </w:pPr>
                </w:p>
              </w:tc>
              <w:tc>
                <w:tcPr>
                  <w:tcW w:w="631" w:type="pct"/>
                  <w:vMerge w:val="continue"/>
                  <w:vAlign w:val="center"/>
                </w:tcPr>
                <w:p w14:paraId="5F0FA0A2">
                  <w:pPr>
                    <w:jc w:val="center"/>
                    <w:rPr>
                      <w:rFonts w:eastAsiaTheme="minorEastAsia"/>
                      <w:color w:val="auto"/>
                      <w:szCs w:val="21"/>
                    </w:rPr>
                  </w:pPr>
                </w:p>
              </w:tc>
              <w:tc>
                <w:tcPr>
                  <w:tcW w:w="3589" w:type="pct"/>
                  <w:gridSpan w:val="9"/>
                  <w:vAlign w:val="center"/>
                </w:tcPr>
                <w:p w14:paraId="4B4D3F4D">
                  <w:pPr>
                    <w:jc w:val="center"/>
                    <w:rPr>
                      <w:rFonts w:eastAsiaTheme="minorEastAsia"/>
                      <w:b/>
                      <w:bCs/>
                      <w:color w:val="auto"/>
                      <w:szCs w:val="21"/>
                    </w:rPr>
                  </w:pPr>
                  <w:r>
                    <w:rPr>
                      <w:rFonts w:eastAsiaTheme="minorEastAsia"/>
                      <w:b/>
                      <w:bCs/>
                      <w:color w:val="auto"/>
                      <w:szCs w:val="21"/>
                    </w:rPr>
                    <w:t>工业大气污染源构成类别</w:t>
                  </w:r>
                </w:p>
              </w:tc>
            </w:tr>
            <w:tr w14:paraId="0EF910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23" w:hRule="atLeast"/>
                <w:jc w:val="center"/>
              </w:trPr>
              <w:tc>
                <w:tcPr>
                  <w:tcW w:w="779" w:type="pct"/>
                  <w:vMerge w:val="continue"/>
                  <w:vAlign w:val="center"/>
                </w:tcPr>
                <w:p w14:paraId="57225143">
                  <w:pPr>
                    <w:jc w:val="center"/>
                    <w:rPr>
                      <w:rFonts w:eastAsiaTheme="minorEastAsia"/>
                      <w:color w:val="auto"/>
                      <w:szCs w:val="21"/>
                    </w:rPr>
                  </w:pPr>
                </w:p>
              </w:tc>
              <w:tc>
                <w:tcPr>
                  <w:tcW w:w="631" w:type="pct"/>
                  <w:vMerge w:val="continue"/>
                  <w:vAlign w:val="center"/>
                </w:tcPr>
                <w:p w14:paraId="237341BE">
                  <w:pPr>
                    <w:jc w:val="center"/>
                    <w:rPr>
                      <w:rFonts w:eastAsiaTheme="minorEastAsia"/>
                      <w:color w:val="auto"/>
                      <w:szCs w:val="21"/>
                    </w:rPr>
                  </w:pPr>
                </w:p>
              </w:tc>
              <w:tc>
                <w:tcPr>
                  <w:tcW w:w="394" w:type="pct"/>
                  <w:vAlign w:val="center"/>
                </w:tcPr>
                <w:p w14:paraId="17806FC4">
                  <w:pPr>
                    <w:jc w:val="center"/>
                    <w:rPr>
                      <w:rFonts w:eastAsiaTheme="minorEastAsia"/>
                      <w:color w:val="auto"/>
                      <w:szCs w:val="21"/>
                    </w:rPr>
                  </w:pPr>
                  <w:r>
                    <w:rPr>
                      <w:rFonts w:eastAsiaTheme="minorEastAsia"/>
                      <w:color w:val="auto"/>
                      <w:szCs w:val="21"/>
                    </w:rPr>
                    <w:t>Ⅰ</w:t>
                  </w:r>
                </w:p>
              </w:tc>
              <w:tc>
                <w:tcPr>
                  <w:tcW w:w="422" w:type="pct"/>
                  <w:vAlign w:val="center"/>
                </w:tcPr>
                <w:p w14:paraId="4F64846B">
                  <w:pPr>
                    <w:jc w:val="center"/>
                    <w:rPr>
                      <w:rFonts w:eastAsiaTheme="minorEastAsia"/>
                      <w:color w:val="auto"/>
                      <w:szCs w:val="21"/>
                    </w:rPr>
                  </w:pPr>
                  <w:r>
                    <w:rPr>
                      <w:rFonts w:eastAsiaTheme="minorEastAsia"/>
                      <w:color w:val="auto"/>
                      <w:szCs w:val="21"/>
                    </w:rPr>
                    <w:t>Ⅱ</w:t>
                  </w:r>
                </w:p>
              </w:tc>
              <w:tc>
                <w:tcPr>
                  <w:tcW w:w="398" w:type="pct"/>
                  <w:vAlign w:val="center"/>
                </w:tcPr>
                <w:p w14:paraId="06CBBC0F">
                  <w:pPr>
                    <w:jc w:val="center"/>
                    <w:rPr>
                      <w:rFonts w:eastAsiaTheme="minorEastAsia"/>
                      <w:color w:val="auto"/>
                      <w:szCs w:val="21"/>
                    </w:rPr>
                  </w:pPr>
                  <w:r>
                    <w:rPr>
                      <w:rFonts w:eastAsiaTheme="minorEastAsia"/>
                      <w:color w:val="auto"/>
                      <w:szCs w:val="21"/>
                    </w:rPr>
                    <w:t>Ⅲ</w:t>
                  </w:r>
                </w:p>
              </w:tc>
              <w:tc>
                <w:tcPr>
                  <w:tcW w:w="394" w:type="pct"/>
                  <w:vAlign w:val="center"/>
                </w:tcPr>
                <w:p w14:paraId="49F10321">
                  <w:pPr>
                    <w:jc w:val="center"/>
                    <w:rPr>
                      <w:rFonts w:eastAsiaTheme="minorEastAsia"/>
                      <w:color w:val="auto"/>
                      <w:szCs w:val="21"/>
                    </w:rPr>
                  </w:pPr>
                  <w:r>
                    <w:rPr>
                      <w:rFonts w:eastAsiaTheme="minorEastAsia"/>
                      <w:color w:val="auto"/>
                      <w:szCs w:val="21"/>
                    </w:rPr>
                    <w:t>Ⅰ</w:t>
                  </w:r>
                </w:p>
              </w:tc>
              <w:tc>
                <w:tcPr>
                  <w:tcW w:w="394" w:type="pct"/>
                  <w:vAlign w:val="center"/>
                </w:tcPr>
                <w:p w14:paraId="5CCD05CB">
                  <w:pPr>
                    <w:jc w:val="center"/>
                    <w:rPr>
                      <w:rFonts w:eastAsiaTheme="minorEastAsia"/>
                      <w:color w:val="auto"/>
                      <w:szCs w:val="21"/>
                    </w:rPr>
                  </w:pPr>
                  <w:r>
                    <w:rPr>
                      <w:rFonts w:eastAsiaTheme="minorEastAsia"/>
                      <w:color w:val="auto"/>
                      <w:szCs w:val="21"/>
                    </w:rPr>
                    <w:t>Ⅱ</w:t>
                  </w:r>
                </w:p>
              </w:tc>
              <w:tc>
                <w:tcPr>
                  <w:tcW w:w="397" w:type="pct"/>
                  <w:vAlign w:val="center"/>
                </w:tcPr>
                <w:p w14:paraId="27FEEDDF">
                  <w:pPr>
                    <w:jc w:val="center"/>
                    <w:rPr>
                      <w:rFonts w:eastAsiaTheme="minorEastAsia"/>
                      <w:color w:val="auto"/>
                      <w:szCs w:val="21"/>
                    </w:rPr>
                  </w:pPr>
                  <w:r>
                    <w:rPr>
                      <w:rFonts w:eastAsiaTheme="minorEastAsia"/>
                      <w:color w:val="auto"/>
                      <w:szCs w:val="21"/>
                    </w:rPr>
                    <w:t>Ⅲ</w:t>
                  </w:r>
                </w:p>
              </w:tc>
              <w:tc>
                <w:tcPr>
                  <w:tcW w:w="394" w:type="pct"/>
                  <w:vAlign w:val="center"/>
                </w:tcPr>
                <w:p w14:paraId="519EDCD8">
                  <w:pPr>
                    <w:jc w:val="center"/>
                    <w:rPr>
                      <w:rFonts w:eastAsiaTheme="minorEastAsia"/>
                      <w:color w:val="auto"/>
                      <w:szCs w:val="21"/>
                    </w:rPr>
                  </w:pPr>
                  <w:r>
                    <w:rPr>
                      <w:rFonts w:eastAsiaTheme="minorEastAsia"/>
                      <w:color w:val="auto"/>
                      <w:szCs w:val="21"/>
                    </w:rPr>
                    <w:t>Ⅰ</w:t>
                  </w:r>
                </w:p>
              </w:tc>
              <w:tc>
                <w:tcPr>
                  <w:tcW w:w="394" w:type="pct"/>
                  <w:vAlign w:val="center"/>
                </w:tcPr>
                <w:p w14:paraId="3076B3A6">
                  <w:pPr>
                    <w:jc w:val="center"/>
                    <w:rPr>
                      <w:rFonts w:eastAsiaTheme="minorEastAsia"/>
                      <w:color w:val="auto"/>
                      <w:szCs w:val="21"/>
                    </w:rPr>
                  </w:pPr>
                  <w:r>
                    <w:rPr>
                      <w:rFonts w:eastAsiaTheme="minorEastAsia"/>
                      <w:color w:val="auto"/>
                      <w:szCs w:val="21"/>
                    </w:rPr>
                    <w:t>Ⅱ</w:t>
                  </w:r>
                </w:p>
              </w:tc>
              <w:tc>
                <w:tcPr>
                  <w:tcW w:w="400" w:type="pct"/>
                  <w:vAlign w:val="center"/>
                </w:tcPr>
                <w:p w14:paraId="7D04FA63">
                  <w:pPr>
                    <w:jc w:val="center"/>
                    <w:rPr>
                      <w:rFonts w:eastAsiaTheme="minorEastAsia"/>
                      <w:color w:val="auto"/>
                      <w:szCs w:val="21"/>
                    </w:rPr>
                  </w:pPr>
                  <w:r>
                    <w:rPr>
                      <w:rFonts w:eastAsiaTheme="minorEastAsia"/>
                      <w:color w:val="auto"/>
                      <w:szCs w:val="21"/>
                    </w:rPr>
                    <w:t>Ⅲ</w:t>
                  </w:r>
                </w:p>
              </w:tc>
            </w:tr>
            <w:tr w14:paraId="36B687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23" w:hRule="atLeast"/>
                <w:jc w:val="center"/>
              </w:trPr>
              <w:tc>
                <w:tcPr>
                  <w:tcW w:w="779" w:type="pct"/>
                  <w:vMerge w:val="restart"/>
                  <w:vAlign w:val="center"/>
                </w:tcPr>
                <w:p w14:paraId="46BDAAA9">
                  <w:pPr>
                    <w:jc w:val="center"/>
                    <w:rPr>
                      <w:rFonts w:eastAsiaTheme="minorEastAsia"/>
                      <w:color w:val="auto"/>
                      <w:szCs w:val="21"/>
                    </w:rPr>
                  </w:pPr>
                  <w:r>
                    <w:rPr>
                      <w:rFonts w:eastAsiaTheme="minorEastAsia"/>
                      <w:color w:val="auto"/>
                      <w:szCs w:val="21"/>
                    </w:rPr>
                    <w:t>A</w:t>
                  </w:r>
                </w:p>
              </w:tc>
              <w:tc>
                <w:tcPr>
                  <w:tcW w:w="631" w:type="pct"/>
                  <w:vAlign w:val="center"/>
                </w:tcPr>
                <w:p w14:paraId="1909BC5E">
                  <w:pPr>
                    <w:jc w:val="center"/>
                    <w:rPr>
                      <w:rFonts w:eastAsiaTheme="minorEastAsia"/>
                      <w:color w:val="auto"/>
                      <w:szCs w:val="21"/>
                    </w:rPr>
                  </w:pPr>
                  <w:r>
                    <w:rPr>
                      <w:rFonts w:eastAsiaTheme="minorEastAsia"/>
                      <w:color w:val="auto"/>
                      <w:szCs w:val="21"/>
                    </w:rPr>
                    <w:t>&lt;2</w:t>
                  </w:r>
                </w:p>
              </w:tc>
              <w:tc>
                <w:tcPr>
                  <w:tcW w:w="394" w:type="pct"/>
                  <w:vAlign w:val="center"/>
                </w:tcPr>
                <w:p w14:paraId="2D0FAC0B">
                  <w:pPr>
                    <w:jc w:val="center"/>
                    <w:rPr>
                      <w:rFonts w:eastAsiaTheme="minorEastAsia"/>
                      <w:color w:val="auto"/>
                      <w:szCs w:val="21"/>
                    </w:rPr>
                  </w:pPr>
                  <w:r>
                    <w:rPr>
                      <w:rFonts w:eastAsiaTheme="minorEastAsia"/>
                      <w:color w:val="auto"/>
                      <w:szCs w:val="21"/>
                    </w:rPr>
                    <w:t>400</w:t>
                  </w:r>
                </w:p>
              </w:tc>
              <w:tc>
                <w:tcPr>
                  <w:tcW w:w="422" w:type="pct"/>
                  <w:vAlign w:val="center"/>
                </w:tcPr>
                <w:p w14:paraId="692A424F">
                  <w:pPr>
                    <w:jc w:val="center"/>
                    <w:rPr>
                      <w:rFonts w:eastAsiaTheme="minorEastAsia"/>
                      <w:color w:val="auto"/>
                      <w:szCs w:val="21"/>
                    </w:rPr>
                  </w:pPr>
                  <w:r>
                    <w:rPr>
                      <w:rFonts w:eastAsiaTheme="minorEastAsia"/>
                      <w:color w:val="auto"/>
                      <w:szCs w:val="21"/>
                    </w:rPr>
                    <w:t>400</w:t>
                  </w:r>
                </w:p>
              </w:tc>
              <w:tc>
                <w:tcPr>
                  <w:tcW w:w="398" w:type="pct"/>
                  <w:vAlign w:val="center"/>
                </w:tcPr>
                <w:p w14:paraId="2D83DE03">
                  <w:pPr>
                    <w:jc w:val="center"/>
                    <w:rPr>
                      <w:rFonts w:eastAsiaTheme="minorEastAsia"/>
                      <w:color w:val="auto"/>
                      <w:szCs w:val="21"/>
                    </w:rPr>
                  </w:pPr>
                  <w:r>
                    <w:rPr>
                      <w:rFonts w:eastAsiaTheme="minorEastAsia"/>
                      <w:color w:val="auto"/>
                      <w:szCs w:val="21"/>
                    </w:rPr>
                    <w:t>400</w:t>
                  </w:r>
                </w:p>
              </w:tc>
              <w:tc>
                <w:tcPr>
                  <w:tcW w:w="394" w:type="pct"/>
                  <w:vAlign w:val="center"/>
                </w:tcPr>
                <w:p w14:paraId="5BEB8984">
                  <w:pPr>
                    <w:jc w:val="center"/>
                    <w:rPr>
                      <w:rFonts w:eastAsiaTheme="minorEastAsia"/>
                      <w:color w:val="auto"/>
                      <w:szCs w:val="21"/>
                    </w:rPr>
                  </w:pPr>
                  <w:r>
                    <w:rPr>
                      <w:rFonts w:eastAsiaTheme="minorEastAsia"/>
                      <w:color w:val="auto"/>
                      <w:szCs w:val="21"/>
                    </w:rPr>
                    <w:t>400</w:t>
                  </w:r>
                </w:p>
              </w:tc>
              <w:tc>
                <w:tcPr>
                  <w:tcW w:w="394" w:type="pct"/>
                  <w:vAlign w:val="center"/>
                </w:tcPr>
                <w:p w14:paraId="5B3D6629">
                  <w:pPr>
                    <w:jc w:val="center"/>
                    <w:rPr>
                      <w:rFonts w:eastAsiaTheme="minorEastAsia"/>
                      <w:color w:val="auto"/>
                      <w:szCs w:val="21"/>
                    </w:rPr>
                  </w:pPr>
                  <w:r>
                    <w:rPr>
                      <w:rFonts w:eastAsiaTheme="minorEastAsia"/>
                      <w:color w:val="auto"/>
                      <w:szCs w:val="21"/>
                    </w:rPr>
                    <w:t>400</w:t>
                  </w:r>
                </w:p>
              </w:tc>
              <w:tc>
                <w:tcPr>
                  <w:tcW w:w="397" w:type="pct"/>
                  <w:vAlign w:val="center"/>
                </w:tcPr>
                <w:p w14:paraId="4E9D7C91">
                  <w:pPr>
                    <w:jc w:val="center"/>
                    <w:rPr>
                      <w:rFonts w:eastAsiaTheme="minorEastAsia"/>
                      <w:color w:val="auto"/>
                      <w:szCs w:val="21"/>
                    </w:rPr>
                  </w:pPr>
                  <w:r>
                    <w:rPr>
                      <w:rFonts w:eastAsiaTheme="minorEastAsia"/>
                      <w:color w:val="auto"/>
                      <w:szCs w:val="21"/>
                    </w:rPr>
                    <w:t>400</w:t>
                  </w:r>
                </w:p>
              </w:tc>
              <w:tc>
                <w:tcPr>
                  <w:tcW w:w="394" w:type="pct"/>
                  <w:vAlign w:val="center"/>
                </w:tcPr>
                <w:p w14:paraId="22E872AE">
                  <w:pPr>
                    <w:jc w:val="center"/>
                    <w:rPr>
                      <w:rFonts w:eastAsiaTheme="minorEastAsia"/>
                      <w:color w:val="auto"/>
                      <w:szCs w:val="21"/>
                    </w:rPr>
                  </w:pPr>
                  <w:r>
                    <w:rPr>
                      <w:rFonts w:eastAsiaTheme="minorEastAsia"/>
                      <w:color w:val="auto"/>
                      <w:szCs w:val="21"/>
                    </w:rPr>
                    <w:t>80</w:t>
                  </w:r>
                </w:p>
              </w:tc>
              <w:tc>
                <w:tcPr>
                  <w:tcW w:w="394" w:type="pct"/>
                  <w:vAlign w:val="center"/>
                </w:tcPr>
                <w:p w14:paraId="41E4C30C">
                  <w:pPr>
                    <w:jc w:val="center"/>
                    <w:rPr>
                      <w:rFonts w:eastAsiaTheme="minorEastAsia"/>
                      <w:color w:val="auto"/>
                      <w:szCs w:val="21"/>
                    </w:rPr>
                  </w:pPr>
                  <w:r>
                    <w:rPr>
                      <w:rFonts w:eastAsiaTheme="minorEastAsia"/>
                      <w:color w:val="auto"/>
                      <w:szCs w:val="21"/>
                    </w:rPr>
                    <w:t>80</w:t>
                  </w:r>
                </w:p>
              </w:tc>
              <w:tc>
                <w:tcPr>
                  <w:tcW w:w="400" w:type="pct"/>
                  <w:vAlign w:val="center"/>
                </w:tcPr>
                <w:p w14:paraId="64E078AE">
                  <w:pPr>
                    <w:jc w:val="center"/>
                    <w:rPr>
                      <w:rFonts w:eastAsiaTheme="minorEastAsia"/>
                      <w:color w:val="auto"/>
                      <w:szCs w:val="21"/>
                    </w:rPr>
                  </w:pPr>
                  <w:r>
                    <w:rPr>
                      <w:rFonts w:eastAsiaTheme="minorEastAsia"/>
                      <w:color w:val="auto"/>
                      <w:szCs w:val="21"/>
                    </w:rPr>
                    <w:t>80</w:t>
                  </w:r>
                </w:p>
              </w:tc>
            </w:tr>
            <w:tr w14:paraId="03DA2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23" w:hRule="atLeast"/>
                <w:jc w:val="center"/>
              </w:trPr>
              <w:tc>
                <w:tcPr>
                  <w:tcW w:w="779" w:type="pct"/>
                  <w:vMerge w:val="continue"/>
                  <w:vAlign w:val="center"/>
                </w:tcPr>
                <w:p w14:paraId="0DE209E4">
                  <w:pPr>
                    <w:jc w:val="center"/>
                    <w:rPr>
                      <w:rFonts w:eastAsiaTheme="minorEastAsia"/>
                      <w:color w:val="auto"/>
                      <w:szCs w:val="21"/>
                    </w:rPr>
                  </w:pPr>
                </w:p>
              </w:tc>
              <w:tc>
                <w:tcPr>
                  <w:tcW w:w="631" w:type="pct"/>
                  <w:vAlign w:val="center"/>
                </w:tcPr>
                <w:p w14:paraId="41DE5D99">
                  <w:pPr>
                    <w:jc w:val="center"/>
                    <w:rPr>
                      <w:rFonts w:eastAsiaTheme="minorEastAsia"/>
                      <w:color w:val="auto"/>
                      <w:szCs w:val="21"/>
                    </w:rPr>
                  </w:pPr>
                  <w:r>
                    <w:rPr>
                      <w:rFonts w:eastAsiaTheme="minorEastAsia"/>
                      <w:color w:val="auto"/>
                      <w:szCs w:val="21"/>
                    </w:rPr>
                    <w:t>2-4</w:t>
                  </w:r>
                </w:p>
              </w:tc>
              <w:tc>
                <w:tcPr>
                  <w:tcW w:w="394" w:type="pct"/>
                  <w:vAlign w:val="center"/>
                </w:tcPr>
                <w:p w14:paraId="5DD55EF0">
                  <w:pPr>
                    <w:jc w:val="center"/>
                    <w:rPr>
                      <w:rFonts w:eastAsiaTheme="minorEastAsia"/>
                      <w:color w:val="auto"/>
                      <w:szCs w:val="21"/>
                    </w:rPr>
                  </w:pPr>
                  <w:r>
                    <w:rPr>
                      <w:rFonts w:eastAsiaTheme="minorEastAsia"/>
                      <w:color w:val="auto"/>
                      <w:szCs w:val="21"/>
                    </w:rPr>
                    <w:t>700</w:t>
                  </w:r>
                </w:p>
              </w:tc>
              <w:tc>
                <w:tcPr>
                  <w:tcW w:w="422" w:type="pct"/>
                  <w:vAlign w:val="center"/>
                </w:tcPr>
                <w:p w14:paraId="410CCDEF">
                  <w:pPr>
                    <w:jc w:val="center"/>
                    <w:rPr>
                      <w:rFonts w:eastAsiaTheme="minorEastAsia"/>
                      <w:color w:val="auto"/>
                      <w:szCs w:val="21"/>
                    </w:rPr>
                  </w:pPr>
                  <w:r>
                    <w:rPr>
                      <w:rFonts w:eastAsiaTheme="minorEastAsia"/>
                      <w:color w:val="auto"/>
                      <w:szCs w:val="21"/>
                    </w:rPr>
                    <w:t>470*</w:t>
                  </w:r>
                </w:p>
              </w:tc>
              <w:tc>
                <w:tcPr>
                  <w:tcW w:w="398" w:type="pct"/>
                  <w:vAlign w:val="center"/>
                </w:tcPr>
                <w:p w14:paraId="3C609115">
                  <w:pPr>
                    <w:jc w:val="center"/>
                    <w:rPr>
                      <w:rFonts w:eastAsiaTheme="minorEastAsia"/>
                      <w:color w:val="auto"/>
                      <w:szCs w:val="21"/>
                    </w:rPr>
                  </w:pPr>
                  <w:r>
                    <w:rPr>
                      <w:rFonts w:eastAsiaTheme="minorEastAsia"/>
                      <w:color w:val="auto"/>
                      <w:szCs w:val="21"/>
                    </w:rPr>
                    <w:t>350</w:t>
                  </w:r>
                </w:p>
              </w:tc>
              <w:tc>
                <w:tcPr>
                  <w:tcW w:w="394" w:type="pct"/>
                  <w:vAlign w:val="center"/>
                </w:tcPr>
                <w:p w14:paraId="3B83BC0C">
                  <w:pPr>
                    <w:jc w:val="center"/>
                    <w:rPr>
                      <w:rFonts w:eastAsiaTheme="minorEastAsia"/>
                      <w:color w:val="auto"/>
                      <w:szCs w:val="21"/>
                    </w:rPr>
                  </w:pPr>
                  <w:r>
                    <w:rPr>
                      <w:rFonts w:eastAsiaTheme="minorEastAsia"/>
                      <w:color w:val="auto"/>
                      <w:szCs w:val="21"/>
                    </w:rPr>
                    <w:t>700</w:t>
                  </w:r>
                </w:p>
              </w:tc>
              <w:tc>
                <w:tcPr>
                  <w:tcW w:w="394" w:type="pct"/>
                  <w:vAlign w:val="center"/>
                </w:tcPr>
                <w:p w14:paraId="27F34E78">
                  <w:pPr>
                    <w:jc w:val="center"/>
                    <w:rPr>
                      <w:rFonts w:eastAsiaTheme="minorEastAsia"/>
                      <w:color w:val="auto"/>
                      <w:szCs w:val="21"/>
                    </w:rPr>
                  </w:pPr>
                  <w:r>
                    <w:rPr>
                      <w:rFonts w:eastAsiaTheme="minorEastAsia"/>
                      <w:color w:val="auto"/>
                      <w:szCs w:val="21"/>
                    </w:rPr>
                    <w:t>470</w:t>
                  </w:r>
                </w:p>
              </w:tc>
              <w:tc>
                <w:tcPr>
                  <w:tcW w:w="397" w:type="pct"/>
                  <w:vAlign w:val="center"/>
                </w:tcPr>
                <w:p w14:paraId="04E25440">
                  <w:pPr>
                    <w:jc w:val="center"/>
                    <w:rPr>
                      <w:rFonts w:eastAsiaTheme="minorEastAsia"/>
                      <w:color w:val="auto"/>
                      <w:szCs w:val="21"/>
                    </w:rPr>
                  </w:pPr>
                  <w:r>
                    <w:rPr>
                      <w:rFonts w:eastAsiaTheme="minorEastAsia"/>
                      <w:color w:val="auto"/>
                      <w:szCs w:val="21"/>
                    </w:rPr>
                    <w:t>350</w:t>
                  </w:r>
                </w:p>
              </w:tc>
              <w:tc>
                <w:tcPr>
                  <w:tcW w:w="394" w:type="pct"/>
                  <w:vAlign w:val="center"/>
                </w:tcPr>
                <w:p w14:paraId="52DB3052">
                  <w:pPr>
                    <w:jc w:val="center"/>
                    <w:rPr>
                      <w:rFonts w:eastAsiaTheme="minorEastAsia"/>
                      <w:color w:val="auto"/>
                      <w:szCs w:val="21"/>
                    </w:rPr>
                  </w:pPr>
                  <w:r>
                    <w:rPr>
                      <w:rFonts w:eastAsiaTheme="minorEastAsia"/>
                      <w:color w:val="auto"/>
                      <w:szCs w:val="21"/>
                    </w:rPr>
                    <w:t>380</w:t>
                  </w:r>
                </w:p>
              </w:tc>
              <w:tc>
                <w:tcPr>
                  <w:tcW w:w="394" w:type="pct"/>
                  <w:vAlign w:val="center"/>
                </w:tcPr>
                <w:p w14:paraId="7F1FC0A3">
                  <w:pPr>
                    <w:jc w:val="center"/>
                    <w:rPr>
                      <w:rFonts w:eastAsiaTheme="minorEastAsia"/>
                      <w:color w:val="auto"/>
                      <w:szCs w:val="21"/>
                    </w:rPr>
                  </w:pPr>
                  <w:r>
                    <w:rPr>
                      <w:rFonts w:eastAsiaTheme="minorEastAsia"/>
                      <w:color w:val="auto"/>
                      <w:szCs w:val="21"/>
                    </w:rPr>
                    <w:t>250</w:t>
                  </w:r>
                </w:p>
              </w:tc>
              <w:tc>
                <w:tcPr>
                  <w:tcW w:w="400" w:type="pct"/>
                  <w:vAlign w:val="center"/>
                </w:tcPr>
                <w:p w14:paraId="3A78CF20">
                  <w:pPr>
                    <w:jc w:val="center"/>
                    <w:rPr>
                      <w:rFonts w:eastAsiaTheme="minorEastAsia"/>
                      <w:color w:val="auto"/>
                      <w:szCs w:val="21"/>
                    </w:rPr>
                  </w:pPr>
                  <w:r>
                    <w:rPr>
                      <w:rFonts w:eastAsiaTheme="minorEastAsia"/>
                      <w:color w:val="auto"/>
                      <w:szCs w:val="21"/>
                    </w:rPr>
                    <w:t>190</w:t>
                  </w:r>
                </w:p>
              </w:tc>
            </w:tr>
            <w:tr w14:paraId="5B05F5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23" w:hRule="atLeast"/>
                <w:jc w:val="center"/>
              </w:trPr>
              <w:tc>
                <w:tcPr>
                  <w:tcW w:w="779" w:type="pct"/>
                  <w:vMerge w:val="continue"/>
                  <w:vAlign w:val="center"/>
                </w:tcPr>
                <w:p w14:paraId="11E2967F">
                  <w:pPr>
                    <w:jc w:val="center"/>
                    <w:rPr>
                      <w:rFonts w:eastAsiaTheme="minorEastAsia"/>
                      <w:color w:val="auto"/>
                      <w:szCs w:val="21"/>
                    </w:rPr>
                  </w:pPr>
                </w:p>
              </w:tc>
              <w:tc>
                <w:tcPr>
                  <w:tcW w:w="631" w:type="pct"/>
                  <w:vAlign w:val="center"/>
                </w:tcPr>
                <w:p w14:paraId="278AB326">
                  <w:pPr>
                    <w:jc w:val="center"/>
                    <w:rPr>
                      <w:rFonts w:eastAsiaTheme="minorEastAsia"/>
                      <w:color w:val="auto"/>
                      <w:szCs w:val="21"/>
                    </w:rPr>
                  </w:pPr>
                  <w:r>
                    <w:rPr>
                      <w:rFonts w:eastAsiaTheme="minorEastAsia"/>
                      <w:color w:val="auto"/>
                      <w:szCs w:val="21"/>
                    </w:rPr>
                    <w:t>&gt;4</w:t>
                  </w:r>
                </w:p>
              </w:tc>
              <w:tc>
                <w:tcPr>
                  <w:tcW w:w="394" w:type="pct"/>
                  <w:vAlign w:val="center"/>
                </w:tcPr>
                <w:p w14:paraId="023A82CD">
                  <w:pPr>
                    <w:jc w:val="center"/>
                    <w:rPr>
                      <w:rFonts w:eastAsiaTheme="minorEastAsia"/>
                      <w:color w:val="auto"/>
                      <w:szCs w:val="21"/>
                    </w:rPr>
                  </w:pPr>
                  <w:r>
                    <w:rPr>
                      <w:rFonts w:eastAsiaTheme="minorEastAsia"/>
                      <w:color w:val="auto"/>
                      <w:szCs w:val="21"/>
                    </w:rPr>
                    <w:t>530</w:t>
                  </w:r>
                </w:p>
              </w:tc>
              <w:tc>
                <w:tcPr>
                  <w:tcW w:w="422" w:type="pct"/>
                  <w:vAlign w:val="center"/>
                </w:tcPr>
                <w:p w14:paraId="031B89CA">
                  <w:pPr>
                    <w:jc w:val="center"/>
                    <w:rPr>
                      <w:rFonts w:eastAsiaTheme="minorEastAsia"/>
                      <w:color w:val="auto"/>
                      <w:szCs w:val="21"/>
                    </w:rPr>
                  </w:pPr>
                  <w:r>
                    <w:rPr>
                      <w:rFonts w:eastAsiaTheme="minorEastAsia"/>
                      <w:color w:val="auto"/>
                      <w:szCs w:val="21"/>
                    </w:rPr>
                    <w:t>350</w:t>
                  </w:r>
                </w:p>
              </w:tc>
              <w:tc>
                <w:tcPr>
                  <w:tcW w:w="398" w:type="pct"/>
                  <w:vAlign w:val="center"/>
                </w:tcPr>
                <w:p w14:paraId="5226E8BD">
                  <w:pPr>
                    <w:jc w:val="center"/>
                    <w:rPr>
                      <w:rFonts w:eastAsiaTheme="minorEastAsia"/>
                      <w:color w:val="auto"/>
                      <w:szCs w:val="21"/>
                    </w:rPr>
                  </w:pPr>
                  <w:r>
                    <w:rPr>
                      <w:rFonts w:eastAsiaTheme="minorEastAsia"/>
                      <w:color w:val="auto"/>
                      <w:szCs w:val="21"/>
                    </w:rPr>
                    <w:t>260</w:t>
                  </w:r>
                </w:p>
              </w:tc>
              <w:tc>
                <w:tcPr>
                  <w:tcW w:w="394" w:type="pct"/>
                  <w:vAlign w:val="center"/>
                </w:tcPr>
                <w:p w14:paraId="405D0651">
                  <w:pPr>
                    <w:jc w:val="center"/>
                    <w:rPr>
                      <w:rFonts w:eastAsiaTheme="minorEastAsia"/>
                      <w:color w:val="auto"/>
                      <w:szCs w:val="21"/>
                    </w:rPr>
                  </w:pPr>
                  <w:r>
                    <w:rPr>
                      <w:rFonts w:eastAsiaTheme="minorEastAsia"/>
                      <w:color w:val="auto"/>
                      <w:szCs w:val="21"/>
                    </w:rPr>
                    <w:t>530</w:t>
                  </w:r>
                </w:p>
              </w:tc>
              <w:tc>
                <w:tcPr>
                  <w:tcW w:w="394" w:type="pct"/>
                  <w:vAlign w:val="center"/>
                </w:tcPr>
                <w:p w14:paraId="4B9A7C84">
                  <w:pPr>
                    <w:jc w:val="center"/>
                    <w:rPr>
                      <w:rFonts w:eastAsiaTheme="minorEastAsia"/>
                      <w:color w:val="auto"/>
                      <w:szCs w:val="21"/>
                    </w:rPr>
                  </w:pPr>
                  <w:r>
                    <w:rPr>
                      <w:rFonts w:eastAsiaTheme="minorEastAsia"/>
                      <w:color w:val="auto"/>
                      <w:szCs w:val="21"/>
                    </w:rPr>
                    <w:t>350</w:t>
                  </w:r>
                </w:p>
              </w:tc>
              <w:tc>
                <w:tcPr>
                  <w:tcW w:w="397" w:type="pct"/>
                  <w:vAlign w:val="center"/>
                </w:tcPr>
                <w:p w14:paraId="032EAF3F">
                  <w:pPr>
                    <w:jc w:val="center"/>
                    <w:rPr>
                      <w:rFonts w:eastAsiaTheme="minorEastAsia"/>
                      <w:color w:val="auto"/>
                      <w:szCs w:val="21"/>
                    </w:rPr>
                  </w:pPr>
                  <w:r>
                    <w:rPr>
                      <w:rFonts w:eastAsiaTheme="minorEastAsia"/>
                      <w:color w:val="auto"/>
                      <w:szCs w:val="21"/>
                    </w:rPr>
                    <w:t>260</w:t>
                  </w:r>
                </w:p>
              </w:tc>
              <w:tc>
                <w:tcPr>
                  <w:tcW w:w="394" w:type="pct"/>
                  <w:vAlign w:val="center"/>
                </w:tcPr>
                <w:p w14:paraId="1D52C3E8">
                  <w:pPr>
                    <w:jc w:val="center"/>
                    <w:rPr>
                      <w:rFonts w:eastAsiaTheme="minorEastAsia"/>
                      <w:color w:val="auto"/>
                      <w:szCs w:val="21"/>
                    </w:rPr>
                  </w:pPr>
                  <w:r>
                    <w:rPr>
                      <w:rFonts w:eastAsiaTheme="minorEastAsia"/>
                      <w:color w:val="auto"/>
                      <w:szCs w:val="21"/>
                    </w:rPr>
                    <w:t>290</w:t>
                  </w:r>
                </w:p>
              </w:tc>
              <w:tc>
                <w:tcPr>
                  <w:tcW w:w="394" w:type="pct"/>
                  <w:vAlign w:val="center"/>
                </w:tcPr>
                <w:p w14:paraId="30C59F8F">
                  <w:pPr>
                    <w:jc w:val="center"/>
                    <w:rPr>
                      <w:rFonts w:eastAsiaTheme="minorEastAsia"/>
                      <w:color w:val="auto"/>
                      <w:szCs w:val="21"/>
                    </w:rPr>
                  </w:pPr>
                  <w:r>
                    <w:rPr>
                      <w:rFonts w:eastAsiaTheme="minorEastAsia"/>
                      <w:color w:val="auto"/>
                      <w:szCs w:val="21"/>
                    </w:rPr>
                    <w:t>190</w:t>
                  </w:r>
                </w:p>
              </w:tc>
              <w:tc>
                <w:tcPr>
                  <w:tcW w:w="400" w:type="pct"/>
                  <w:vAlign w:val="center"/>
                </w:tcPr>
                <w:p w14:paraId="31AEAE0C">
                  <w:pPr>
                    <w:jc w:val="center"/>
                    <w:rPr>
                      <w:rFonts w:eastAsiaTheme="minorEastAsia"/>
                      <w:color w:val="auto"/>
                      <w:szCs w:val="21"/>
                    </w:rPr>
                  </w:pPr>
                  <w:r>
                    <w:rPr>
                      <w:rFonts w:eastAsiaTheme="minorEastAsia"/>
                      <w:color w:val="auto"/>
                      <w:szCs w:val="21"/>
                    </w:rPr>
                    <w:t>140</w:t>
                  </w:r>
                </w:p>
              </w:tc>
            </w:tr>
            <w:tr w14:paraId="1800C7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23" w:hRule="atLeast"/>
                <w:jc w:val="center"/>
              </w:trPr>
              <w:tc>
                <w:tcPr>
                  <w:tcW w:w="779" w:type="pct"/>
                  <w:vMerge w:val="restart"/>
                  <w:vAlign w:val="center"/>
                </w:tcPr>
                <w:p w14:paraId="05C93C34">
                  <w:pPr>
                    <w:jc w:val="center"/>
                    <w:rPr>
                      <w:rFonts w:eastAsiaTheme="minorEastAsia"/>
                      <w:color w:val="auto"/>
                      <w:szCs w:val="21"/>
                    </w:rPr>
                  </w:pPr>
                  <w:r>
                    <w:rPr>
                      <w:rFonts w:eastAsiaTheme="minorEastAsia"/>
                      <w:color w:val="auto"/>
                      <w:szCs w:val="21"/>
                    </w:rPr>
                    <w:t>B</w:t>
                  </w:r>
                </w:p>
              </w:tc>
              <w:tc>
                <w:tcPr>
                  <w:tcW w:w="631" w:type="pct"/>
                  <w:vAlign w:val="center"/>
                </w:tcPr>
                <w:p w14:paraId="0701E703">
                  <w:pPr>
                    <w:jc w:val="center"/>
                    <w:rPr>
                      <w:rFonts w:eastAsiaTheme="minorEastAsia"/>
                      <w:color w:val="auto"/>
                      <w:szCs w:val="21"/>
                    </w:rPr>
                  </w:pPr>
                  <w:r>
                    <w:rPr>
                      <w:rFonts w:eastAsiaTheme="minorEastAsia"/>
                      <w:color w:val="auto"/>
                      <w:szCs w:val="21"/>
                    </w:rPr>
                    <w:t>&lt;2</w:t>
                  </w:r>
                </w:p>
              </w:tc>
              <w:tc>
                <w:tcPr>
                  <w:tcW w:w="1214" w:type="pct"/>
                  <w:gridSpan w:val="3"/>
                  <w:vAlign w:val="center"/>
                </w:tcPr>
                <w:p w14:paraId="48CC16F0">
                  <w:pPr>
                    <w:jc w:val="center"/>
                    <w:rPr>
                      <w:rFonts w:eastAsiaTheme="minorEastAsia"/>
                      <w:color w:val="auto"/>
                      <w:szCs w:val="21"/>
                    </w:rPr>
                  </w:pPr>
                  <w:r>
                    <w:rPr>
                      <w:rFonts w:eastAsiaTheme="minorEastAsia"/>
                      <w:color w:val="auto"/>
                      <w:szCs w:val="21"/>
                    </w:rPr>
                    <w:t>0.01</w:t>
                  </w:r>
                </w:p>
              </w:tc>
              <w:tc>
                <w:tcPr>
                  <w:tcW w:w="1185" w:type="pct"/>
                  <w:gridSpan w:val="3"/>
                  <w:vAlign w:val="center"/>
                </w:tcPr>
                <w:p w14:paraId="1B82524D">
                  <w:pPr>
                    <w:jc w:val="center"/>
                    <w:rPr>
                      <w:rFonts w:eastAsiaTheme="minorEastAsia"/>
                      <w:color w:val="auto"/>
                      <w:szCs w:val="21"/>
                    </w:rPr>
                  </w:pPr>
                  <w:r>
                    <w:rPr>
                      <w:rFonts w:eastAsiaTheme="minorEastAsia"/>
                      <w:color w:val="auto"/>
                      <w:szCs w:val="21"/>
                    </w:rPr>
                    <w:t>0.015</w:t>
                  </w:r>
                </w:p>
              </w:tc>
              <w:tc>
                <w:tcPr>
                  <w:tcW w:w="1188" w:type="pct"/>
                  <w:gridSpan w:val="3"/>
                  <w:vAlign w:val="center"/>
                </w:tcPr>
                <w:p w14:paraId="7F5D0825">
                  <w:pPr>
                    <w:jc w:val="center"/>
                    <w:rPr>
                      <w:rFonts w:eastAsiaTheme="minorEastAsia"/>
                      <w:color w:val="auto"/>
                      <w:szCs w:val="21"/>
                    </w:rPr>
                  </w:pPr>
                  <w:r>
                    <w:rPr>
                      <w:rFonts w:eastAsiaTheme="minorEastAsia"/>
                      <w:color w:val="auto"/>
                      <w:szCs w:val="21"/>
                    </w:rPr>
                    <w:t>0.015</w:t>
                  </w:r>
                </w:p>
              </w:tc>
            </w:tr>
            <w:tr w14:paraId="0BDA74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23" w:hRule="atLeast"/>
                <w:jc w:val="center"/>
              </w:trPr>
              <w:tc>
                <w:tcPr>
                  <w:tcW w:w="779" w:type="pct"/>
                  <w:vMerge w:val="continue"/>
                  <w:vAlign w:val="center"/>
                </w:tcPr>
                <w:p w14:paraId="66F2CDD8">
                  <w:pPr>
                    <w:jc w:val="center"/>
                    <w:rPr>
                      <w:rFonts w:eastAsiaTheme="minorEastAsia"/>
                      <w:color w:val="auto"/>
                      <w:szCs w:val="21"/>
                    </w:rPr>
                  </w:pPr>
                </w:p>
              </w:tc>
              <w:tc>
                <w:tcPr>
                  <w:tcW w:w="631" w:type="pct"/>
                  <w:vAlign w:val="center"/>
                </w:tcPr>
                <w:p w14:paraId="66659770">
                  <w:pPr>
                    <w:jc w:val="center"/>
                    <w:rPr>
                      <w:rFonts w:eastAsiaTheme="minorEastAsia"/>
                      <w:color w:val="auto"/>
                      <w:szCs w:val="21"/>
                    </w:rPr>
                  </w:pPr>
                  <w:r>
                    <w:rPr>
                      <w:rFonts w:eastAsiaTheme="minorEastAsia"/>
                      <w:color w:val="auto"/>
                      <w:szCs w:val="21"/>
                    </w:rPr>
                    <w:t>&gt;2</w:t>
                  </w:r>
                </w:p>
              </w:tc>
              <w:tc>
                <w:tcPr>
                  <w:tcW w:w="1214" w:type="pct"/>
                  <w:gridSpan w:val="3"/>
                  <w:vAlign w:val="center"/>
                </w:tcPr>
                <w:p w14:paraId="7976ED09">
                  <w:pPr>
                    <w:jc w:val="center"/>
                    <w:rPr>
                      <w:rFonts w:eastAsiaTheme="minorEastAsia"/>
                      <w:color w:val="auto"/>
                      <w:szCs w:val="21"/>
                    </w:rPr>
                  </w:pPr>
                  <w:r>
                    <w:rPr>
                      <w:rFonts w:eastAsiaTheme="minorEastAsia"/>
                      <w:color w:val="auto"/>
                      <w:szCs w:val="21"/>
                    </w:rPr>
                    <w:t>0.021*</w:t>
                  </w:r>
                </w:p>
              </w:tc>
              <w:tc>
                <w:tcPr>
                  <w:tcW w:w="1185" w:type="pct"/>
                  <w:gridSpan w:val="3"/>
                  <w:vAlign w:val="center"/>
                </w:tcPr>
                <w:p w14:paraId="4C13F337">
                  <w:pPr>
                    <w:jc w:val="center"/>
                    <w:rPr>
                      <w:rFonts w:eastAsiaTheme="minorEastAsia"/>
                      <w:color w:val="auto"/>
                      <w:szCs w:val="21"/>
                    </w:rPr>
                  </w:pPr>
                  <w:r>
                    <w:rPr>
                      <w:rFonts w:eastAsiaTheme="minorEastAsia"/>
                      <w:color w:val="auto"/>
                      <w:szCs w:val="21"/>
                    </w:rPr>
                    <w:t>0.036</w:t>
                  </w:r>
                </w:p>
              </w:tc>
              <w:tc>
                <w:tcPr>
                  <w:tcW w:w="1188" w:type="pct"/>
                  <w:gridSpan w:val="3"/>
                  <w:vAlign w:val="center"/>
                </w:tcPr>
                <w:p w14:paraId="6DA6EB0C">
                  <w:pPr>
                    <w:jc w:val="center"/>
                    <w:rPr>
                      <w:rFonts w:eastAsiaTheme="minorEastAsia"/>
                      <w:color w:val="auto"/>
                      <w:szCs w:val="21"/>
                    </w:rPr>
                  </w:pPr>
                  <w:r>
                    <w:rPr>
                      <w:rFonts w:eastAsiaTheme="minorEastAsia"/>
                      <w:color w:val="auto"/>
                      <w:szCs w:val="21"/>
                    </w:rPr>
                    <w:t>0.036</w:t>
                  </w:r>
                </w:p>
              </w:tc>
            </w:tr>
            <w:tr w14:paraId="1EDF28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23" w:hRule="atLeast"/>
                <w:jc w:val="center"/>
              </w:trPr>
              <w:tc>
                <w:tcPr>
                  <w:tcW w:w="779" w:type="pct"/>
                  <w:vMerge w:val="restart"/>
                  <w:vAlign w:val="center"/>
                </w:tcPr>
                <w:p w14:paraId="1545850B">
                  <w:pPr>
                    <w:jc w:val="center"/>
                    <w:rPr>
                      <w:rFonts w:eastAsiaTheme="minorEastAsia"/>
                      <w:color w:val="auto"/>
                      <w:szCs w:val="21"/>
                    </w:rPr>
                  </w:pPr>
                  <w:r>
                    <w:rPr>
                      <w:rFonts w:eastAsiaTheme="minorEastAsia"/>
                      <w:color w:val="auto"/>
                      <w:szCs w:val="21"/>
                    </w:rPr>
                    <w:t>C</w:t>
                  </w:r>
                </w:p>
              </w:tc>
              <w:tc>
                <w:tcPr>
                  <w:tcW w:w="631" w:type="pct"/>
                  <w:vAlign w:val="center"/>
                </w:tcPr>
                <w:p w14:paraId="5408D4B6">
                  <w:pPr>
                    <w:jc w:val="center"/>
                    <w:rPr>
                      <w:rFonts w:eastAsiaTheme="minorEastAsia"/>
                      <w:color w:val="auto"/>
                      <w:szCs w:val="21"/>
                    </w:rPr>
                  </w:pPr>
                  <w:r>
                    <w:rPr>
                      <w:rFonts w:eastAsiaTheme="minorEastAsia"/>
                      <w:color w:val="auto"/>
                      <w:szCs w:val="21"/>
                    </w:rPr>
                    <w:t>&lt;2</w:t>
                  </w:r>
                </w:p>
              </w:tc>
              <w:tc>
                <w:tcPr>
                  <w:tcW w:w="1214" w:type="pct"/>
                  <w:gridSpan w:val="3"/>
                  <w:vAlign w:val="center"/>
                </w:tcPr>
                <w:p w14:paraId="7AAD118F">
                  <w:pPr>
                    <w:jc w:val="center"/>
                    <w:rPr>
                      <w:rFonts w:eastAsiaTheme="minorEastAsia"/>
                      <w:color w:val="auto"/>
                      <w:szCs w:val="21"/>
                    </w:rPr>
                  </w:pPr>
                  <w:r>
                    <w:rPr>
                      <w:rFonts w:eastAsiaTheme="minorEastAsia"/>
                      <w:color w:val="auto"/>
                      <w:szCs w:val="21"/>
                    </w:rPr>
                    <w:t>1.85</w:t>
                  </w:r>
                </w:p>
              </w:tc>
              <w:tc>
                <w:tcPr>
                  <w:tcW w:w="1185" w:type="pct"/>
                  <w:gridSpan w:val="3"/>
                  <w:vAlign w:val="center"/>
                </w:tcPr>
                <w:p w14:paraId="7968CC3E">
                  <w:pPr>
                    <w:jc w:val="center"/>
                    <w:rPr>
                      <w:rFonts w:eastAsiaTheme="minorEastAsia"/>
                      <w:color w:val="auto"/>
                      <w:szCs w:val="21"/>
                    </w:rPr>
                  </w:pPr>
                  <w:r>
                    <w:rPr>
                      <w:rFonts w:eastAsiaTheme="minorEastAsia"/>
                      <w:color w:val="auto"/>
                      <w:szCs w:val="21"/>
                    </w:rPr>
                    <w:t>1.79</w:t>
                  </w:r>
                </w:p>
              </w:tc>
              <w:tc>
                <w:tcPr>
                  <w:tcW w:w="1188" w:type="pct"/>
                  <w:gridSpan w:val="3"/>
                  <w:vAlign w:val="center"/>
                </w:tcPr>
                <w:p w14:paraId="18DF702B">
                  <w:pPr>
                    <w:jc w:val="center"/>
                    <w:rPr>
                      <w:rFonts w:eastAsiaTheme="minorEastAsia"/>
                      <w:color w:val="auto"/>
                      <w:szCs w:val="21"/>
                    </w:rPr>
                  </w:pPr>
                  <w:r>
                    <w:rPr>
                      <w:rFonts w:eastAsiaTheme="minorEastAsia"/>
                      <w:color w:val="auto"/>
                      <w:szCs w:val="21"/>
                    </w:rPr>
                    <w:t>1.79</w:t>
                  </w:r>
                </w:p>
              </w:tc>
            </w:tr>
            <w:tr w14:paraId="1A5DBE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23" w:hRule="atLeast"/>
                <w:jc w:val="center"/>
              </w:trPr>
              <w:tc>
                <w:tcPr>
                  <w:tcW w:w="779" w:type="pct"/>
                  <w:vMerge w:val="continue"/>
                  <w:vAlign w:val="center"/>
                </w:tcPr>
                <w:p w14:paraId="339014C9">
                  <w:pPr>
                    <w:jc w:val="center"/>
                    <w:rPr>
                      <w:rFonts w:eastAsiaTheme="minorEastAsia"/>
                      <w:color w:val="auto"/>
                      <w:szCs w:val="21"/>
                    </w:rPr>
                  </w:pPr>
                </w:p>
              </w:tc>
              <w:tc>
                <w:tcPr>
                  <w:tcW w:w="631" w:type="pct"/>
                  <w:vAlign w:val="center"/>
                </w:tcPr>
                <w:p w14:paraId="0D071682">
                  <w:pPr>
                    <w:jc w:val="center"/>
                    <w:rPr>
                      <w:rFonts w:eastAsiaTheme="minorEastAsia"/>
                      <w:color w:val="auto"/>
                      <w:szCs w:val="21"/>
                    </w:rPr>
                  </w:pPr>
                  <w:r>
                    <w:rPr>
                      <w:rFonts w:eastAsiaTheme="minorEastAsia"/>
                      <w:color w:val="auto"/>
                      <w:szCs w:val="21"/>
                    </w:rPr>
                    <w:t>&gt;2</w:t>
                  </w:r>
                </w:p>
              </w:tc>
              <w:tc>
                <w:tcPr>
                  <w:tcW w:w="1214" w:type="pct"/>
                  <w:gridSpan w:val="3"/>
                  <w:vAlign w:val="center"/>
                </w:tcPr>
                <w:p w14:paraId="54DDDCF2">
                  <w:pPr>
                    <w:jc w:val="center"/>
                    <w:rPr>
                      <w:rFonts w:eastAsiaTheme="minorEastAsia"/>
                      <w:color w:val="auto"/>
                      <w:szCs w:val="21"/>
                    </w:rPr>
                  </w:pPr>
                  <w:r>
                    <w:rPr>
                      <w:rFonts w:eastAsiaTheme="minorEastAsia"/>
                      <w:color w:val="auto"/>
                      <w:szCs w:val="21"/>
                    </w:rPr>
                    <w:t>1.85*</w:t>
                  </w:r>
                </w:p>
              </w:tc>
              <w:tc>
                <w:tcPr>
                  <w:tcW w:w="1185" w:type="pct"/>
                  <w:gridSpan w:val="3"/>
                  <w:vAlign w:val="center"/>
                </w:tcPr>
                <w:p w14:paraId="7EADAABD">
                  <w:pPr>
                    <w:jc w:val="center"/>
                    <w:rPr>
                      <w:rFonts w:eastAsiaTheme="minorEastAsia"/>
                      <w:color w:val="auto"/>
                      <w:szCs w:val="21"/>
                    </w:rPr>
                  </w:pPr>
                  <w:r>
                    <w:rPr>
                      <w:rFonts w:eastAsiaTheme="minorEastAsia"/>
                      <w:color w:val="auto"/>
                      <w:szCs w:val="21"/>
                    </w:rPr>
                    <w:t>1.77</w:t>
                  </w:r>
                </w:p>
              </w:tc>
              <w:tc>
                <w:tcPr>
                  <w:tcW w:w="1188" w:type="pct"/>
                  <w:gridSpan w:val="3"/>
                  <w:vAlign w:val="center"/>
                </w:tcPr>
                <w:p w14:paraId="057DC6A0">
                  <w:pPr>
                    <w:jc w:val="center"/>
                    <w:rPr>
                      <w:rFonts w:eastAsiaTheme="minorEastAsia"/>
                      <w:color w:val="auto"/>
                      <w:szCs w:val="21"/>
                    </w:rPr>
                  </w:pPr>
                  <w:r>
                    <w:rPr>
                      <w:rFonts w:eastAsiaTheme="minorEastAsia"/>
                      <w:color w:val="auto"/>
                      <w:szCs w:val="21"/>
                    </w:rPr>
                    <w:t>1.77</w:t>
                  </w:r>
                </w:p>
              </w:tc>
            </w:tr>
            <w:tr w14:paraId="02B56C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23" w:hRule="atLeast"/>
                <w:jc w:val="center"/>
              </w:trPr>
              <w:tc>
                <w:tcPr>
                  <w:tcW w:w="779" w:type="pct"/>
                  <w:vMerge w:val="restart"/>
                  <w:vAlign w:val="center"/>
                </w:tcPr>
                <w:p w14:paraId="0C998E8E">
                  <w:pPr>
                    <w:jc w:val="center"/>
                    <w:rPr>
                      <w:rFonts w:eastAsiaTheme="minorEastAsia"/>
                      <w:color w:val="auto"/>
                      <w:szCs w:val="21"/>
                    </w:rPr>
                  </w:pPr>
                  <w:r>
                    <w:rPr>
                      <w:rFonts w:eastAsiaTheme="minorEastAsia"/>
                      <w:color w:val="auto"/>
                      <w:szCs w:val="21"/>
                    </w:rPr>
                    <w:t>D</w:t>
                  </w:r>
                </w:p>
              </w:tc>
              <w:tc>
                <w:tcPr>
                  <w:tcW w:w="631" w:type="pct"/>
                  <w:vAlign w:val="center"/>
                </w:tcPr>
                <w:p w14:paraId="39740AD1">
                  <w:pPr>
                    <w:jc w:val="center"/>
                    <w:rPr>
                      <w:rFonts w:eastAsiaTheme="minorEastAsia"/>
                      <w:color w:val="auto"/>
                      <w:szCs w:val="21"/>
                    </w:rPr>
                  </w:pPr>
                  <w:r>
                    <w:rPr>
                      <w:rFonts w:eastAsiaTheme="minorEastAsia"/>
                      <w:color w:val="auto"/>
                      <w:szCs w:val="21"/>
                    </w:rPr>
                    <w:t>&lt;2</w:t>
                  </w:r>
                </w:p>
              </w:tc>
              <w:tc>
                <w:tcPr>
                  <w:tcW w:w="1214" w:type="pct"/>
                  <w:gridSpan w:val="3"/>
                  <w:vAlign w:val="center"/>
                </w:tcPr>
                <w:p w14:paraId="619DB8BD">
                  <w:pPr>
                    <w:jc w:val="center"/>
                    <w:rPr>
                      <w:rFonts w:eastAsiaTheme="minorEastAsia"/>
                      <w:color w:val="auto"/>
                      <w:szCs w:val="21"/>
                    </w:rPr>
                  </w:pPr>
                  <w:r>
                    <w:rPr>
                      <w:rFonts w:eastAsiaTheme="minorEastAsia"/>
                      <w:color w:val="auto"/>
                      <w:szCs w:val="21"/>
                    </w:rPr>
                    <w:t>0.78</w:t>
                  </w:r>
                </w:p>
              </w:tc>
              <w:tc>
                <w:tcPr>
                  <w:tcW w:w="1185" w:type="pct"/>
                  <w:gridSpan w:val="3"/>
                  <w:vAlign w:val="center"/>
                </w:tcPr>
                <w:p w14:paraId="610CF700">
                  <w:pPr>
                    <w:jc w:val="center"/>
                    <w:rPr>
                      <w:rFonts w:eastAsiaTheme="minorEastAsia"/>
                      <w:color w:val="auto"/>
                      <w:szCs w:val="21"/>
                    </w:rPr>
                  </w:pPr>
                  <w:r>
                    <w:rPr>
                      <w:rFonts w:eastAsiaTheme="minorEastAsia"/>
                      <w:color w:val="auto"/>
                      <w:szCs w:val="21"/>
                    </w:rPr>
                    <w:t>0.78</w:t>
                  </w:r>
                </w:p>
              </w:tc>
              <w:tc>
                <w:tcPr>
                  <w:tcW w:w="1188" w:type="pct"/>
                  <w:gridSpan w:val="3"/>
                  <w:vAlign w:val="center"/>
                </w:tcPr>
                <w:p w14:paraId="3795583E">
                  <w:pPr>
                    <w:jc w:val="center"/>
                    <w:rPr>
                      <w:rFonts w:eastAsiaTheme="minorEastAsia"/>
                      <w:color w:val="auto"/>
                      <w:szCs w:val="21"/>
                    </w:rPr>
                  </w:pPr>
                  <w:r>
                    <w:rPr>
                      <w:rFonts w:eastAsiaTheme="minorEastAsia"/>
                      <w:color w:val="auto"/>
                      <w:szCs w:val="21"/>
                    </w:rPr>
                    <w:t>0.57</w:t>
                  </w:r>
                </w:p>
              </w:tc>
            </w:tr>
            <w:tr w14:paraId="7C5979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51" w:hRule="atLeast"/>
                <w:jc w:val="center"/>
              </w:trPr>
              <w:tc>
                <w:tcPr>
                  <w:tcW w:w="779" w:type="pct"/>
                  <w:vMerge w:val="continue"/>
                  <w:vAlign w:val="center"/>
                </w:tcPr>
                <w:p w14:paraId="08C4FA4C">
                  <w:pPr>
                    <w:jc w:val="center"/>
                    <w:rPr>
                      <w:rFonts w:eastAsiaTheme="minorEastAsia"/>
                      <w:color w:val="auto"/>
                      <w:szCs w:val="21"/>
                    </w:rPr>
                  </w:pPr>
                </w:p>
              </w:tc>
              <w:tc>
                <w:tcPr>
                  <w:tcW w:w="631" w:type="pct"/>
                  <w:vAlign w:val="center"/>
                </w:tcPr>
                <w:p w14:paraId="28179CAD">
                  <w:pPr>
                    <w:jc w:val="center"/>
                    <w:rPr>
                      <w:rFonts w:eastAsiaTheme="minorEastAsia"/>
                      <w:color w:val="auto"/>
                      <w:szCs w:val="21"/>
                    </w:rPr>
                  </w:pPr>
                  <w:r>
                    <w:rPr>
                      <w:rFonts w:eastAsiaTheme="minorEastAsia"/>
                      <w:color w:val="auto"/>
                      <w:szCs w:val="21"/>
                    </w:rPr>
                    <w:t>&gt;2</w:t>
                  </w:r>
                </w:p>
              </w:tc>
              <w:tc>
                <w:tcPr>
                  <w:tcW w:w="1214" w:type="pct"/>
                  <w:gridSpan w:val="3"/>
                  <w:vAlign w:val="center"/>
                </w:tcPr>
                <w:p w14:paraId="0A91CFA4">
                  <w:pPr>
                    <w:jc w:val="center"/>
                    <w:rPr>
                      <w:rFonts w:eastAsiaTheme="minorEastAsia"/>
                      <w:color w:val="auto"/>
                      <w:szCs w:val="21"/>
                    </w:rPr>
                  </w:pPr>
                  <w:r>
                    <w:rPr>
                      <w:rFonts w:eastAsiaTheme="minorEastAsia"/>
                      <w:color w:val="auto"/>
                      <w:szCs w:val="21"/>
                    </w:rPr>
                    <w:t>0.84*</w:t>
                  </w:r>
                </w:p>
              </w:tc>
              <w:tc>
                <w:tcPr>
                  <w:tcW w:w="1185" w:type="pct"/>
                  <w:gridSpan w:val="3"/>
                  <w:vAlign w:val="center"/>
                </w:tcPr>
                <w:p w14:paraId="438C4DC0">
                  <w:pPr>
                    <w:jc w:val="center"/>
                    <w:rPr>
                      <w:rFonts w:eastAsiaTheme="minorEastAsia"/>
                      <w:color w:val="auto"/>
                      <w:szCs w:val="21"/>
                    </w:rPr>
                  </w:pPr>
                  <w:r>
                    <w:rPr>
                      <w:rFonts w:eastAsiaTheme="minorEastAsia"/>
                      <w:color w:val="auto"/>
                      <w:szCs w:val="21"/>
                    </w:rPr>
                    <w:t>0.84</w:t>
                  </w:r>
                </w:p>
              </w:tc>
              <w:tc>
                <w:tcPr>
                  <w:tcW w:w="1188" w:type="pct"/>
                  <w:gridSpan w:val="3"/>
                  <w:vAlign w:val="center"/>
                </w:tcPr>
                <w:p w14:paraId="614B2092">
                  <w:pPr>
                    <w:jc w:val="center"/>
                    <w:rPr>
                      <w:rFonts w:eastAsiaTheme="minorEastAsia"/>
                      <w:color w:val="auto"/>
                      <w:szCs w:val="21"/>
                    </w:rPr>
                  </w:pPr>
                  <w:r>
                    <w:rPr>
                      <w:rFonts w:eastAsiaTheme="minorEastAsia"/>
                      <w:color w:val="auto"/>
                      <w:szCs w:val="21"/>
                    </w:rPr>
                    <w:t>0.76</w:t>
                  </w:r>
                </w:p>
              </w:tc>
            </w:tr>
          </w:tbl>
          <w:p w14:paraId="4D4D1DDC">
            <w:pPr>
              <w:ind w:firstLine="360" w:firstLineChars="200"/>
              <w:rPr>
                <w:rFonts w:eastAsiaTheme="minorEastAsia"/>
                <w:color w:val="auto"/>
                <w:sz w:val="18"/>
                <w:szCs w:val="18"/>
              </w:rPr>
            </w:pPr>
            <w:r>
              <w:rPr>
                <w:rFonts w:eastAsiaTheme="minorEastAsia"/>
                <w:color w:val="auto"/>
                <w:sz w:val="18"/>
                <w:szCs w:val="18"/>
              </w:rPr>
              <w:t>注：*为建设项目计算取值。</w:t>
            </w:r>
          </w:p>
          <w:p w14:paraId="354C43B1">
            <w:pPr>
              <w:pStyle w:val="2"/>
              <w:spacing w:after="0"/>
              <w:ind w:firstLine="100"/>
              <w:rPr>
                <w:color w:val="auto"/>
                <w:sz w:val="10"/>
                <w:szCs w:val="10"/>
              </w:rPr>
            </w:pPr>
          </w:p>
          <w:p w14:paraId="328C7C61">
            <w:pPr>
              <w:spacing w:line="360" w:lineRule="auto"/>
              <w:ind w:firstLine="484" w:firstLineChars="202"/>
              <w:rPr>
                <w:rFonts w:eastAsiaTheme="minorEastAsia"/>
                <w:b/>
                <w:bCs/>
                <w:color w:val="auto"/>
                <w:sz w:val="24"/>
                <w:szCs w:val="24"/>
              </w:rPr>
            </w:pPr>
            <w:r>
              <w:rPr>
                <w:rFonts w:eastAsiaTheme="minorEastAsia"/>
                <w:color w:val="auto"/>
                <w:sz w:val="24"/>
                <w:szCs w:val="24"/>
              </w:rPr>
              <w:t>经计算，本项目卫生防护距离计算结果见表</w:t>
            </w:r>
            <w:r>
              <w:rPr>
                <w:rFonts w:hint="eastAsia" w:eastAsiaTheme="minorEastAsia"/>
                <w:color w:val="auto"/>
                <w:sz w:val="24"/>
                <w:szCs w:val="24"/>
              </w:rPr>
              <w:t>4</w:t>
            </w:r>
            <w:r>
              <w:rPr>
                <w:rFonts w:eastAsiaTheme="minorEastAsia"/>
                <w:color w:val="auto"/>
                <w:sz w:val="24"/>
                <w:szCs w:val="24"/>
              </w:rPr>
              <w:t>-</w:t>
            </w:r>
            <w:r>
              <w:rPr>
                <w:rFonts w:hint="eastAsia" w:eastAsiaTheme="minorEastAsia"/>
                <w:color w:val="auto"/>
                <w:sz w:val="24"/>
                <w:szCs w:val="24"/>
              </w:rPr>
              <w:t>1</w:t>
            </w:r>
            <w:r>
              <w:rPr>
                <w:rFonts w:hint="eastAsia" w:eastAsiaTheme="minorEastAsia"/>
                <w:color w:val="auto"/>
                <w:sz w:val="24"/>
                <w:szCs w:val="24"/>
                <w:lang w:val="en-US" w:eastAsia="zh-CN"/>
              </w:rPr>
              <w:t>3</w:t>
            </w:r>
            <w:r>
              <w:rPr>
                <w:rFonts w:eastAsiaTheme="minorEastAsia"/>
                <w:color w:val="auto"/>
                <w:sz w:val="24"/>
                <w:szCs w:val="24"/>
              </w:rPr>
              <w:t>。</w:t>
            </w:r>
          </w:p>
          <w:p w14:paraId="46EAC812">
            <w:pPr>
              <w:spacing w:line="360" w:lineRule="auto"/>
              <w:jc w:val="center"/>
              <w:rPr>
                <w:rFonts w:eastAsiaTheme="minorEastAsia"/>
                <w:b/>
                <w:bCs/>
                <w:color w:val="auto"/>
                <w:sz w:val="24"/>
                <w:szCs w:val="24"/>
              </w:rPr>
            </w:pPr>
            <w:r>
              <w:rPr>
                <w:rFonts w:eastAsiaTheme="minorEastAsia"/>
                <w:b/>
                <w:bCs/>
                <w:color w:val="auto"/>
                <w:sz w:val="24"/>
                <w:szCs w:val="24"/>
              </w:rPr>
              <w:t>表</w:t>
            </w:r>
            <w:r>
              <w:rPr>
                <w:rFonts w:hint="eastAsia" w:eastAsiaTheme="minorEastAsia"/>
                <w:b/>
                <w:bCs/>
                <w:color w:val="auto"/>
                <w:sz w:val="24"/>
                <w:szCs w:val="24"/>
              </w:rPr>
              <w:t>4</w:t>
            </w:r>
            <w:r>
              <w:rPr>
                <w:rFonts w:eastAsiaTheme="minorEastAsia"/>
                <w:b/>
                <w:bCs/>
                <w:color w:val="auto"/>
                <w:sz w:val="24"/>
                <w:szCs w:val="24"/>
              </w:rPr>
              <w:t>-</w:t>
            </w:r>
            <w:r>
              <w:rPr>
                <w:rFonts w:hint="eastAsia" w:eastAsiaTheme="minorEastAsia"/>
                <w:b/>
                <w:bCs/>
                <w:color w:val="auto"/>
                <w:sz w:val="24"/>
                <w:szCs w:val="24"/>
                <w:lang w:val="en-US" w:eastAsia="zh-CN"/>
              </w:rPr>
              <w:t>13</w:t>
            </w:r>
            <w:r>
              <w:rPr>
                <w:rFonts w:eastAsiaTheme="minorEastAsia"/>
                <w:b/>
                <w:bCs/>
                <w:color w:val="auto"/>
                <w:sz w:val="24"/>
                <w:szCs w:val="24"/>
              </w:rPr>
              <w:t>卫生防护距离计算结果表</w:t>
            </w:r>
          </w:p>
          <w:tbl>
            <w:tblPr>
              <w:tblStyle w:val="35"/>
              <w:tblW w:w="77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21"/>
              <w:gridCol w:w="763"/>
              <w:gridCol w:w="979"/>
              <w:gridCol w:w="702"/>
              <w:gridCol w:w="954"/>
              <w:gridCol w:w="543"/>
              <w:gridCol w:w="560"/>
              <w:gridCol w:w="556"/>
              <w:gridCol w:w="659"/>
              <w:gridCol w:w="679"/>
              <w:gridCol w:w="681"/>
            </w:tblGrid>
            <w:tr w14:paraId="174206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3" w:hRule="atLeast"/>
                <w:jc w:val="center"/>
              </w:trPr>
              <w:tc>
                <w:tcPr>
                  <w:tcW w:w="462" w:type="pct"/>
                  <w:vMerge w:val="restart"/>
                  <w:vAlign w:val="center"/>
                </w:tcPr>
                <w:p w14:paraId="2FF14719">
                  <w:pPr>
                    <w:widowControl/>
                    <w:jc w:val="center"/>
                    <w:rPr>
                      <w:rFonts w:eastAsiaTheme="minorEastAsia"/>
                      <w:color w:val="auto"/>
                      <w:kern w:val="0"/>
                      <w:szCs w:val="21"/>
                    </w:rPr>
                  </w:pPr>
                  <w:r>
                    <w:rPr>
                      <w:rFonts w:eastAsiaTheme="minorEastAsia"/>
                      <w:b/>
                      <w:bCs/>
                      <w:color w:val="auto"/>
                      <w:kern w:val="0"/>
                      <w:szCs w:val="21"/>
                    </w:rPr>
                    <w:t>面源</w:t>
                  </w:r>
                </w:p>
                <w:p w14:paraId="4D9DAEEC">
                  <w:pPr>
                    <w:widowControl/>
                    <w:jc w:val="center"/>
                    <w:rPr>
                      <w:rFonts w:eastAsiaTheme="minorEastAsia"/>
                      <w:color w:val="auto"/>
                      <w:kern w:val="0"/>
                      <w:szCs w:val="21"/>
                    </w:rPr>
                  </w:pPr>
                  <w:r>
                    <w:rPr>
                      <w:rFonts w:eastAsiaTheme="minorEastAsia"/>
                      <w:b/>
                      <w:bCs/>
                      <w:color w:val="auto"/>
                      <w:kern w:val="0"/>
                      <w:szCs w:val="21"/>
                    </w:rPr>
                    <w:t>名称</w:t>
                  </w:r>
                </w:p>
              </w:tc>
              <w:tc>
                <w:tcPr>
                  <w:tcW w:w="489" w:type="pct"/>
                  <w:vMerge w:val="restart"/>
                  <w:vAlign w:val="center"/>
                </w:tcPr>
                <w:p w14:paraId="223E861E">
                  <w:pPr>
                    <w:widowControl/>
                    <w:jc w:val="center"/>
                    <w:rPr>
                      <w:rFonts w:eastAsiaTheme="minorEastAsia"/>
                      <w:color w:val="auto"/>
                      <w:kern w:val="0"/>
                      <w:szCs w:val="21"/>
                    </w:rPr>
                  </w:pPr>
                  <w:r>
                    <w:rPr>
                      <w:rFonts w:eastAsiaTheme="minorEastAsia"/>
                      <w:b/>
                      <w:bCs/>
                      <w:color w:val="auto"/>
                      <w:kern w:val="0"/>
                      <w:szCs w:val="21"/>
                    </w:rPr>
                    <w:t>污染物</w:t>
                  </w:r>
                </w:p>
              </w:tc>
              <w:tc>
                <w:tcPr>
                  <w:tcW w:w="627" w:type="pct"/>
                  <w:vMerge w:val="restart"/>
                  <w:tcMar>
                    <w:top w:w="0" w:type="dxa"/>
                    <w:left w:w="108" w:type="dxa"/>
                    <w:bottom w:w="0" w:type="dxa"/>
                    <w:right w:w="108" w:type="dxa"/>
                  </w:tcMar>
                  <w:vAlign w:val="center"/>
                </w:tcPr>
                <w:p w14:paraId="0A48C7C0">
                  <w:pPr>
                    <w:widowControl/>
                    <w:jc w:val="center"/>
                    <w:rPr>
                      <w:rFonts w:hint="eastAsia" w:eastAsiaTheme="minorEastAsia"/>
                      <w:color w:val="auto"/>
                      <w:kern w:val="0"/>
                      <w:szCs w:val="21"/>
                      <w:lang w:eastAsia="zh-CN"/>
                    </w:rPr>
                  </w:pPr>
                  <w:r>
                    <w:rPr>
                      <w:rFonts w:eastAsiaTheme="minorEastAsia"/>
                      <w:b/>
                      <w:bCs/>
                      <w:color w:val="auto"/>
                      <w:kern w:val="0"/>
                      <w:szCs w:val="21"/>
                    </w:rPr>
                    <w:t>产生量</w:t>
                  </w:r>
                  <w:r>
                    <w:rPr>
                      <w:rFonts w:hint="eastAsia" w:eastAsiaTheme="minorEastAsia"/>
                      <w:b/>
                      <w:bCs/>
                      <w:color w:val="auto"/>
                      <w:kern w:val="0"/>
                      <w:szCs w:val="21"/>
                      <w:lang w:eastAsia="zh-CN"/>
                    </w:rPr>
                    <w:t>（</w:t>
                  </w:r>
                  <w:r>
                    <w:rPr>
                      <w:rFonts w:eastAsiaTheme="minorEastAsia"/>
                      <w:b/>
                      <w:bCs/>
                      <w:color w:val="auto"/>
                      <w:kern w:val="0"/>
                      <w:szCs w:val="21"/>
                    </w:rPr>
                    <w:t>kg/h</w:t>
                  </w:r>
                  <w:r>
                    <w:rPr>
                      <w:rFonts w:hint="eastAsia" w:eastAsiaTheme="minorEastAsia"/>
                      <w:b/>
                      <w:bCs/>
                      <w:color w:val="auto"/>
                      <w:kern w:val="0"/>
                      <w:szCs w:val="21"/>
                      <w:lang w:eastAsia="zh-CN"/>
                    </w:rPr>
                    <w:t>）</w:t>
                  </w:r>
                </w:p>
              </w:tc>
              <w:tc>
                <w:tcPr>
                  <w:tcW w:w="450" w:type="pct"/>
                  <w:vMerge w:val="restart"/>
                  <w:vAlign w:val="center"/>
                </w:tcPr>
                <w:p w14:paraId="1BC861E8">
                  <w:pPr>
                    <w:widowControl/>
                    <w:jc w:val="center"/>
                    <w:rPr>
                      <w:rFonts w:eastAsiaTheme="minorEastAsia"/>
                      <w:color w:val="auto"/>
                      <w:kern w:val="0"/>
                      <w:szCs w:val="21"/>
                    </w:rPr>
                  </w:pPr>
                  <w:r>
                    <w:rPr>
                      <w:rFonts w:eastAsiaTheme="minorEastAsia"/>
                      <w:b/>
                      <w:bCs/>
                      <w:color w:val="auto"/>
                      <w:kern w:val="0"/>
                      <w:szCs w:val="21"/>
                    </w:rPr>
                    <w:t>面源</w:t>
                  </w:r>
                </w:p>
                <w:p w14:paraId="2B775FC6">
                  <w:pPr>
                    <w:widowControl/>
                    <w:jc w:val="center"/>
                    <w:rPr>
                      <w:rFonts w:eastAsiaTheme="minorEastAsia"/>
                      <w:color w:val="auto"/>
                      <w:kern w:val="0"/>
                      <w:szCs w:val="21"/>
                    </w:rPr>
                  </w:pPr>
                  <w:r>
                    <w:rPr>
                      <w:rFonts w:eastAsiaTheme="minorEastAsia"/>
                      <w:b/>
                      <w:bCs/>
                      <w:color w:val="auto"/>
                      <w:kern w:val="0"/>
                      <w:szCs w:val="21"/>
                    </w:rPr>
                    <w:t>面积（m</w:t>
                  </w:r>
                  <w:r>
                    <w:rPr>
                      <w:rFonts w:eastAsiaTheme="minorEastAsia"/>
                      <w:b/>
                      <w:bCs/>
                      <w:color w:val="auto"/>
                      <w:kern w:val="0"/>
                      <w:szCs w:val="21"/>
                      <w:vertAlign w:val="superscript"/>
                    </w:rPr>
                    <w:t>2</w:t>
                  </w:r>
                  <w:r>
                    <w:rPr>
                      <w:rFonts w:eastAsiaTheme="minorEastAsia"/>
                      <w:b/>
                      <w:bCs/>
                      <w:color w:val="auto"/>
                      <w:kern w:val="0"/>
                      <w:szCs w:val="21"/>
                    </w:rPr>
                    <w:t>）</w:t>
                  </w:r>
                </w:p>
              </w:tc>
              <w:tc>
                <w:tcPr>
                  <w:tcW w:w="2098" w:type="pct"/>
                  <w:gridSpan w:val="5"/>
                  <w:vAlign w:val="center"/>
                </w:tcPr>
                <w:p w14:paraId="00675CB2">
                  <w:pPr>
                    <w:widowControl/>
                    <w:jc w:val="center"/>
                    <w:rPr>
                      <w:rFonts w:eastAsiaTheme="minorEastAsia"/>
                      <w:color w:val="auto"/>
                      <w:kern w:val="0"/>
                      <w:szCs w:val="21"/>
                    </w:rPr>
                  </w:pPr>
                  <w:r>
                    <w:rPr>
                      <w:rFonts w:eastAsiaTheme="minorEastAsia"/>
                      <w:b/>
                      <w:bCs/>
                      <w:color w:val="auto"/>
                      <w:kern w:val="0"/>
                      <w:szCs w:val="21"/>
                    </w:rPr>
                    <w:t>计算参数</w:t>
                  </w:r>
                </w:p>
              </w:tc>
              <w:tc>
                <w:tcPr>
                  <w:tcW w:w="872" w:type="pct"/>
                  <w:gridSpan w:val="2"/>
                  <w:vAlign w:val="center"/>
                </w:tcPr>
                <w:p w14:paraId="2245986E">
                  <w:pPr>
                    <w:widowControl/>
                    <w:jc w:val="center"/>
                    <w:rPr>
                      <w:rFonts w:eastAsiaTheme="minorEastAsia"/>
                      <w:color w:val="auto"/>
                      <w:kern w:val="0"/>
                      <w:szCs w:val="21"/>
                    </w:rPr>
                  </w:pPr>
                  <w:r>
                    <w:rPr>
                      <w:rFonts w:eastAsiaTheme="minorEastAsia"/>
                      <w:b/>
                      <w:bCs/>
                      <w:color w:val="auto"/>
                      <w:kern w:val="0"/>
                      <w:szCs w:val="21"/>
                    </w:rPr>
                    <w:t>卫生防护</w:t>
                  </w:r>
                </w:p>
                <w:p w14:paraId="7B7D6DAB">
                  <w:pPr>
                    <w:widowControl/>
                    <w:jc w:val="center"/>
                    <w:rPr>
                      <w:rFonts w:eastAsiaTheme="minorEastAsia"/>
                      <w:color w:val="auto"/>
                      <w:kern w:val="0"/>
                      <w:szCs w:val="21"/>
                    </w:rPr>
                  </w:pPr>
                  <w:r>
                    <w:rPr>
                      <w:rFonts w:eastAsiaTheme="minorEastAsia"/>
                      <w:b/>
                      <w:bCs/>
                      <w:color w:val="auto"/>
                      <w:kern w:val="0"/>
                      <w:szCs w:val="21"/>
                    </w:rPr>
                    <w:t>距离</w:t>
                  </w:r>
                </w:p>
              </w:tc>
            </w:tr>
            <w:tr w14:paraId="3410F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1" w:hRule="atLeast"/>
                <w:jc w:val="center"/>
              </w:trPr>
              <w:tc>
                <w:tcPr>
                  <w:tcW w:w="462" w:type="pct"/>
                  <w:vMerge w:val="continue"/>
                  <w:vAlign w:val="center"/>
                </w:tcPr>
                <w:p w14:paraId="0D0D65CA">
                  <w:pPr>
                    <w:widowControl/>
                    <w:jc w:val="center"/>
                    <w:rPr>
                      <w:rFonts w:eastAsiaTheme="minorEastAsia"/>
                      <w:color w:val="auto"/>
                      <w:kern w:val="0"/>
                      <w:szCs w:val="21"/>
                    </w:rPr>
                  </w:pPr>
                </w:p>
              </w:tc>
              <w:tc>
                <w:tcPr>
                  <w:tcW w:w="489" w:type="pct"/>
                  <w:vMerge w:val="continue"/>
                  <w:vAlign w:val="center"/>
                </w:tcPr>
                <w:p w14:paraId="788EB619">
                  <w:pPr>
                    <w:widowControl/>
                    <w:jc w:val="center"/>
                    <w:rPr>
                      <w:rFonts w:eastAsiaTheme="minorEastAsia"/>
                      <w:color w:val="auto"/>
                      <w:kern w:val="0"/>
                      <w:szCs w:val="21"/>
                    </w:rPr>
                  </w:pPr>
                </w:p>
              </w:tc>
              <w:tc>
                <w:tcPr>
                  <w:tcW w:w="627" w:type="pct"/>
                  <w:vMerge w:val="continue"/>
                  <w:vAlign w:val="center"/>
                </w:tcPr>
                <w:p w14:paraId="5E2D73ED">
                  <w:pPr>
                    <w:widowControl/>
                    <w:jc w:val="center"/>
                    <w:rPr>
                      <w:rFonts w:eastAsiaTheme="minorEastAsia"/>
                      <w:color w:val="auto"/>
                      <w:kern w:val="0"/>
                      <w:szCs w:val="21"/>
                    </w:rPr>
                  </w:pPr>
                </w:p>
              </w:tc>
              <w:tc>
                <w:tcPr>
                  <w:tcW w:w="450" w:type="pct"/>
                  <w:vMerge w:val="continue"/>
                  <w:vAlign w:val="center"/>
                </w:tcPr>
                <w:p w14:paraId="2468A694">
                  <w:pPr>
                    <w:widowControl/>
                    <w:jc w:val="center"/>
                    <w:rPr>
                      <w:rFonts w:eastAsiaTheme="minorEastAsia"/>
                      <w:color w:val="auto"/>
                      <w:kern w:val="0"/>
                      <w:szCs w:val="21"/>
                    </w:rPr>
                  </w:pPr>
                </w:p>
              </w:tc>
              <w:tc>
                <w:tcPr>
                  <w:tcW w:w="611" w:type="pct"/>
                  <w:vAlign w:val="center"/>
                </w:tcPr>
                <w:p w14:paraId="12908ED8">
                  <w:pPr>
                    <w:widowControl/>
                    <w:jc w:val="center"/>
                    <w:rPr>
                      <w:rFonts w:eastAsiaTheme="minorEastAsia"/>
                      <w:color w:val="auto"/>
                      <w:kern w:val="0"/>
                      <w:szCs w:val="21"/>
                    </w:rPr>
                  </w:pPr>
                  <w:r>
                    <w:rPr>
                      <w:rFonts w:eastAsiaTheme="minorEastAsia"/>
                      <w:color w:val="auto"/>
                      <w:kern w:val="0"/>
                      <w:szCs w:val="21"/>
                    </w:rPr>
                    <w:t>Cm</w:t>
                  </w:r>
                </w:p>
                <w:p w14:paraId="25A7FD57">
                  <w:pPr>
                    <w:widowControl/>
                    <w:jc w:val="center"/>
                    <w:rPr>
                      <w:rFonts w:eastAsiaTheme="minorEastAsia"/>
                      <w:color w:val="auto"/>
                      <w:kern w:val="0"/>
                      <w:szCs w:val="21"/>
                    </w:rPr>
                  </w:pPr>
                  <w:r>
                    <w:rPr>
                      <w:rFonts w:eastAsiaTheme="minorEastAsia"/>
                      <w:color w:val="auto"/>
                      <w:kern w:val="0"/>
                      <w:szCs w:val="21"/>
                    </w:rPr>
                    <w:t>（mg/m</w:t>
                  </w:r>
                  <w:r>
                    <w:rPr>
                      <w:rFonts w:eastAsiaTheme="minorEastAsia"/>
                      <w:color w:val="auto"/>
                      <w:kern w:val="0"/>
                      <w:szCs w:val="21"/>
                      <w:vertAlign w:val="superscript"/>
                    </w:rPr>
                    <w:t>3</w:t>
                  </w:r>
                  <w:r>
                    <w:rPr>
                      <w:rFonts w:eastAsiaTheme="minorEastAsia"/>
                      <w:color w:val="auto"/>
                      <w:kern w:val="0"/>
                      <w:szCs w:val="21"/>
                    </w:rPr>
                    <w:t>）</w:t>
                  </w:r>
                </w:p>
              </w:tc>
              <w:tc>
                <w:tcPr>
                  <w:tcW w:w="348" w:type="pct"/>
                  <w:vAlign w:val="center"/>
                </w:tcPr>
                <w:p w14:paraId="682DBE16">
                  <w:pPr>
                    <w:widowControl/>
                    <w:jc w:val="center"/>
                    <w:rPr>
                      <w:rFonts w:eastAsiaTheme="minorEastAsia"/>
                      <w:color w:val="auto"/>
                      <w:kern w:val="0"/>
                      <w:szCs w:val="21"/>
                    </w:rPr>
                  </w:pPr>
                  <w:r>
                    <w:rPr>
                      <w:rFonts w:eastAsiaTheme="minorEastAsia"/>
                      <w:color w:val="auto"/>
                      <w:kern w:val="0"/>
                      <w:szCs w:val="21"/>
                    </w:rPr>
                    <w:t>A</w:t>
                  </w:r>
                </w:p>
              </w:tc>
              <w:tc>
                <w:tcPr>
                  <w:tcW w:w="359" w:type="pct"/>
                  <w:vAlign w:val="center"/>
                </w:tcPr>
                <w:p w14:paraId="68CF8578">
                  <w:pPr>
                    <w:widowControl/>
                    <w:jc w:val="center"/>
                    <w:rPr>
                      <w:rFonts w:eastAsiaTheme="minorEastAsia"/>
                      <w:color w:val="auto"/>
                      <w:kern w:val="0"/>
                      <w:szCs w:val="21"/>
                    </w:rPr>
                  </w:pPr>
                  <w:r>
                    <w:rPr>
                      <w:rFonts w:eastAsiaTheme="minorEastAsia"/>
                      <w:color w:val="auto"/>
                      <w:kern w:val="0"/>
                      <w:szCs w:val="21"/>
                    </w:rPr>
                    <w:t>B</w:t>
                  </w:r>
                </w:p>
              </w:tc>
              <w:tc>
                <w:tcPr>
                  <w:tcW w:w="356" w:type="pct"/>
                  <w:vAlign w:val="center"/>
                </w:tcPr>
                <w:p w14:paraId="3D56A386">
                  <w:pPr>
                    <w:widowControl/>
                    <w:jc w:val="center"/>
                    <w:rPr>
                      <w:rFonts w:eastAsiaTheme="minorEastAsia"/>
                      <w:color w:val="auto"/>
                      <w:kern w:val="0"/>
                      <w:szCs w:val="21"/>
                    </w:rPr>
                  </w:pPr>
                  <w:r>
                    <w:rPr>
                      <w:rFonts w:eastAsiaTheme="minorEastAsia"/>
                      <w:color w:val="auto"/>
                      <w:kern w:val="0"/>
                      <w:szCs w:val="21"/>
                    </w:rPr>
                    <w:t>C</w:t>
                  </w:r>
                </w:p>
              </w:tc>
              <w:tc>
                <w:tcPr>
                  <w:tcW w:w="422" w:type="pct"/>
                  <w:vAlign w:val="center"/>
                </w:tcPr>
                <w:p w14:paraId="11373696">
                  <w:pPr>
                    <w:widowControl/>
                    <w:jc w:val="center"/>
                    <w:rPr>
                      <w:rFonts w:eastAsiaTheme="minorEastAsia"/>
                      <w:color w:val="auto"/>
                      <w:kern w:val="0"/>
                      <w:szCs w:val="21"/>
                    </w:rPr>
                  </w:pPr>
                  <w:r>
                    <w:rPr>
                      <w:rFonts w:eastAsiaTheme="minorEastAsia"/>
                      <w:color w:val="auto"/>
                      <w:kern w:val="0"/>
                      <w:szCs w:val="21"/>
                    </w:rPr>
                    <w:t>D</w:t>
                  </w:r>
                </w:p>
              </w:tc>
              <w:tc>
                <w:tcPr>
                  <w:tcW w:w="435" w:type="pct"/>
                  <w:vAlign w:val="center"/>
                </w:tcPr>
                <w:p w14:paraId="1949CC36">
                  <w:pPr>
                    <w:widowControl/>
                    <w:jc w:val="center"/>
                    <w:rPr>
                      <w:rFonts w:eastAsiaTheme="minorEastAsia"/>
                      <w:color w:val="auto"/>
                      <w:kern w:val="0"/>
                      <w:szCs w:val="21"/>
                    </w:rPr>
                  </w:pPr>
                  <w:r>
                    <w:rPr>
                      <w:rFonts w:eastAsiaTheme="minorEastAsia"/>
                      <w:color w:val="auto"/>
                      <w:kern w:val="0"/>
                      <w:szCs w:val="21"/>
                    </w:rPr>
                    <w:t>L</w:t>
                  </w:r>
                  <w:r>
                    <w:rPr>
                      <w:rFonts w:eastAsiaTheme="minorEastAsia"/>
                      <w:color w:val="auto"/>
                      <w:kern w:val="0"/>
                      <w:szCs w:val="21"/>
                      <w:vertAlign w:val="subscript"/>
                    </w:rPr>
                    <w:t>计</w:t>
                  </w:r>
                  <w:r>
                    <w:rPr>
                      <w:rFonts w:eastAsiaTheme="minorEastAsia"/>
                      <w:color w:val="auto"/>
                      <w:kern w:val="0"/>
                      <w:szCs w:val="21"/>
                    </w:rPr>
                    <w:t>（m）</w:t>
                  </w:r>
                </w:p>
              </w:tc>
              <w:tc>
                <w:tcPr>
                  <w:tcW w:w="436" w:type="pct"/>
                  <w:vAlign w:val="center"/>
                </w:tcPr>
                <w:p w14:paraId="64DE99B0">
                  <w:pPr>
                    <w:widowControl/>
                    <w:jc w:val="center"/>
                    <w:rPr>
                      <w:rFonts w:eastAsiaTheme="minorEastAsia"/>
                      <w:color w:val="auto"/>
                      <w:kern w:val="0"/>
                      <w:szCs w:val="21"/>
                    </w:rPr>
                  </w:pPr>
                  <w:r>
                    <w:rPr>
                      <w:rFonts w:eastAsiaTheme="minorEastAsia"/>
                      <w:color w:val="auto"/>
                      <w:kern w:val="0"/>
                      <w:szCs w:val="21"/>
                    </w:rPr>
                    <w:t>L</w:t>
                  </w:r>
                  <w:r>
                    <w:rPr>
                      <w:rFonts w:eastAsiaTheme="minorEastAsia"/>
                      <w:color w:val="auto"/>
                      <w:kern w:val="0"/>
                      <w:szCs w:val="21"/>
                      <w:vertAlign w:val="subscript"/>
                    </w:rPr>
                    <w:t>卫</w:t>
                  </w:r>
                  <w:r>
                    <w:rPr>
                      <w:rFonts w:eastAsiaTheme="minorEastAsia"/>
                      <w:color w:val="auto"/>
                      <w:kern w:val="0"/>
                      <w:szCs w:val="21"/>
                    </w:rPr>
                    <w:t>（m）</w:t>
                  </w:r>
                </w:p>
              </w:tc>
            </w:tr>
            <w:tr w14:paraId="1F2DC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4" w:hRule="atLeast"/>
                <w:jc w:val="center"/>
              </w:trPr>
              <w:tc>
                <w:tcPr>
                  <w:tcW w:w="462" w:type="pct"/>
                  <w:vMerge w:val="restart"/>
                  <w:vAlign w:val="center"/>
                </w:tcPr>
                <w:p w14:paraId="4A9996D8">
                  <w:pPr>
                    <w:widowControl/>
                    <w:jc w:val="center"/>
                    <w:rPr>
                      <w:rFonts w:hint="default" w:eastAsiaTheme="minorEastAsia"/>
                      <w:color w:val="FF0000"/>
                      <w:kern w:val="0"/>
                      <w:szCs w:val="21"/>
                      <w:lang w:val="en-US" w:eastAsia="zh-CN"/>
                    </w:rPr>
                  </w:pPr>
                  <w:r>
                    <w:rPr>
                      <w:rFonts w:hint="eastAsia" w:eastAsiaTheme="minorEastAsia"/>
                      <w:color w:val="auto"/>
                      <w:kern w:val="0"/>
                      <w:szCs w:val="21"/>
                      <w:lang w:val="en-US" w:eastAsia="zh-CN"/>
                    </w:rPr>
                    <w:t>1#面源（生产车间）</w:t>
                  </w:r>
                </w:p>
              </w:tc>
              <w:tc>
                <w:tcPr>
                  <w:tcW w:w="489" w:type="pct"/>
                  <w:vAlign w:val="center"/>
                </w:tcPr>
                <w:p w14:paraId="4A4CEAC0">
                  <w:pPr>
                    <w:widowControl/>
                    <w:adjustRightInd w:val="0"/>
                    <w:snapToGrid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非甲烷总烃</w:t>
                  </w:r>
                </w:p>
              </w:tc>
              <w:tc>
                <w:tcPr>
                  <w:tcW w:w="627" w:type="pct"/>
                  <w:tcMar>
                    <w:top w:w="0" w:type="dxa"/>
                    <w:left w:w="108" w:type="dxa"/>
                    <w:bottom w:w="0" w:type="dxa"/>
                    <w:right w:w="108" w:type="dxa"/>
                  </w:tcMar>
                  <w:vAlign w:val="center"/>
                </w:tcPr>
                <w:p w14:paraId="3BC8FF40">
                  <w:pPr>
                    <w:widowControl/>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9.45</w:t>
                  </w:r>
                  <w:r>
                    <w:rPr>
                      <w:rFonts w:hint="eastAsia" w:ascii="Times New Roman" w:hAnsi="Times New Roman" w:cs="Times New Roman" w:eastAsiaTheme="minorEastAsia"/>
                      <w:color w:val="auto"/>
                      <w:szCs w:val="21"/>
                      <w:lang w:val="en-US" w:eastAsia="zh-CN"/>
                    </w:rPr>
                    <w:t>×10</w:t>
                  </w:r>
                  <w:r>
                    <w:rPr>
                      <w:rFonts w:hint="eastAsia" w:ascii="Times New Roman" w:hAnsi="Times New Roman" w:cs="Times New Roman" w:eastAsiaTheme="minorEastAsia"/>
                      <w:color w:val="auto"/>
                      <w:szCs w:val="21"/>
                      <w:vertAlign w:val="superscript"/>
                      <w:lang w:val="en-US" w:eastAsia="zh-CN"/>
                    </w:rPr>
                    <w:t>-5</w:t>
                  </w:r>
                </w:p>
              </w:tc>
              <w:tc>
                <w:tcPr>
                  <w:tcW w:w="450" w:type="pct"/>
                  <w:vMerge w:val="restart"/>
                  <w:vAlign w:val="center"/>
                </w:tcPr>
                <w:p w14:paraId="5C99F413">
                  <w:pPr>
                    <w:widowControl/>
                    <w:jc w:val="center"/>
                    <w:rPr>
                      <w:rFonts w:hint="default" w:eastAsiaTheme="minorEastAsia"/>
                      <w:color w:val="auto"/>
                      <w:kern w:val="0"/>
                      <w:szCs w:val="21"/>
                      <w:lang w:val="en-US" w:eastAsia="zh-CN"/>
                    </w:rPr>
                  </w:pPr>
                  <w:r>
                    <w:rPr>
                      <w:rFonts w:hint="eastAsia" w:eastAsiaTheme="minorEastAsia"/>
                      <w:color w:val="auto"/>
                      <w:kern w:val="0"/>
                      <w:szCs w:val="21"/>
                      <w:lang w:val="en-US" w:eastAsia="zh-CN"/>
                    </w:rPr>
                    <w:t>1088</w:t>
                  </w:r>
                </w:p>
              </w:tc>
              <w:tc>
                <w:tcPr>
                  <w:tcW w:w="611" w:type="pct"/>
                  <w:vAlign w:val="center"/>
                </w:tcPr>
                <w:p w14:paraId="1AAAED2C">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 w:val="21"/>
                      <w:szCs w:val="21"/>
                      <w:lang w:val="en-US" w:eastAsia="zh-CN"/>
                    </w:rPr>
                    <w:t>2</w:t>
                  </w:r>
                </w:p>
              </w:tc>
              <w:tc>
                <w:tcPr>
                  <w:tcW w:w="348" w:type="pct"/>
                  <w:vAlign w:val="center"/>
                </w:tcPr>
                <w:p w14:paraId="79DCF07E">
                  <w:pPr>
                    <w:widowControl/>
                    <w:jc w:val="center"/>
                    <w:rPr>
                      <w:rFonts w:hint="eastAsia" w:ascii="Times New Roman" w:hAnsi="Times New Roman" w:cs="Times New Roman" w:eastAsiaTheme="minorEastAsia"/>
                      <w:color w:val="auto"/>
                      <w:kern w:val="0"/>
                      <w:sz w:val="21"/>
                      <w:szCs w:val="21"/>
                      <w:lang w:val="en-US" w:eastAsia="zh-CN" w:bidi="ar-SA"/>
                    </w:rPr>
                  </w:pPr>
                  <w:r>
                    <w:rPr>
                      <w:rFonts w:hint="eastAsia" w:eastAsiaTheme="minorEastAsia"/>
                      <w:color w:val="auto"/>
                      <w:kern w:val="0"/>
                      <w:szCs w:val="21"/>
                    </w:rPr>
                    <w:t>470</w:t>
                  </w:r>
                </w:p>
              </w:tc>
              <w:tc>
                <w:tcPr>
                  <w:tcW w:w="359" w:type="pct"/>
                  <w:vAlign w:val="center"/>
                </w:tcPr>
                <w:p w14:paraId="02B137CF">
                  <w:pPr>
                    <w:widowControl/>
                    <w:jc w:val="center"/>
                    <w:rPr>
                      <w:rFonts w:ascii="Times New Roman" w:hAnsi="Times New Roman" w:cs="Times New Roman" w:eastAsiaTheme="minorEastAsia"/>
                      <w:color w:val="auto"/>
                      <w:kern w:val="0"/>
                      <w:sz w:val="21"/>
                      <w:szCs w:val="21"/>
                      <w:lang w:val="en-US" w:eastAsia="zh-CN" w:bidi="ar-SA"/>
                    </w:rPr>
                  </w:pPr>
                  <w:r>
                    <w:rPr>
                      <w:rFonts w:eastAsiaTheme="minorEastAsia"/>
                      <w:color w:val="auto"/>
                      <w:kern w:val="0"/>
                      <w:szCs w:val="21"/>
                    </w:rPr>
                    <w:t>0.</w:t>
                  </w:r>
                  <w:r>
                    <w:rPr>
                      <w:rFonts w:hint="eastAsia" w:eastAsiaTheme="minorEastAsia"/>
                      <w:color w:val="auto"/>
                      <w:kern w:val="0"/>
                      <w:szCs w:val="21"/>
                    </w:rPr>
                    <w:t>021</w:t>
                  </w:r>
                </w:p>
              </w:tc>
              <w:tc>
                <w:tcPr>
                  <w:tcW w:w="356" w:type="pct"/>
                  <w:vAlign w:val="center"/>
                </w:tcPr>
                <w:p w14:paraId="5EC63AD8">
                  <w:pPr>
                    <w:widowControl/>
                    <w:jc w:val="center"/>
                    <w:rPr>
                      <w:rFonts w:ascii="Times New Roman" w:hAnsi="Times New Roman" w:cs="Times New Roman" w:eastAsiaTheme="minorEastAsia"/>
                      <w:color w:val="auto"/>
                      <w:kern w:val="0"/>
                      <w:sz w:val="21"/>
                      <w:szCs w:val="21"/>
                      <w:lang w:val="en-US" w:eastAsia="zh-CN" w:bidi="ar-SA"/>
                    </w:rPr>
                  </w:pPr>
                  <w:r>
                    <w:rPr>
                      <w:rFonts w:eastAsiaTheme="minorEastAsia"/>
                      <w:color w:val="auto"/>
                      <w:kern w:val="0"/>
                      <w:szCs w:val="21"/>
                    </w:rPr>
                    <w:t>1.85</w:t>
                  </w:r>
                </w:p>
              </w:tc>
              <w:tc>
                <w:tcPr>
                  <w:tcW w:w="422" w:type="pct"/>
                  <w:vAlign w:val="center"/>
                </w:tcPr>
                <w:p w14:paraId="5E79CEBF">
                  <w:pPr>
                    <w:widowControl/>
                    <w:jc w:val="center"/>
                    <w:rPr>
                      <w:rFonts w:ascii="Times New Roman" w:hAnsi="Times New Roman" w:cs="Times New Roman" w:eastAsiaTheme="minorEastAsia"/>
                      <w:color w:val="auto"/>
                      <w:kern w:val="0"/>
                      <w:sz w:val="21"/>
                      <w:szCs w:val="21"/>
                      <w:lang w:val="en-US" w:eastAsia="zh-CN" w:bidi="ar-SA"/>
                    </w:rPr>
                  </w:pPr>
                  <w:r>
                    <w:rPr>
                      <w:rFonts w:eastAsiaTheme="minorEastAsia"/>
                      <w:color w:val="auto"/>
                      <w:kern w:val="0"/>
                      <w:szCs w:val="21"/>
                    </w:rPr>
                    <w:t>0.</w:t>
                  </w:r>
                  <w:r>
                    <w:rPr>
                      <w:rFonts w:hint="eastAsia" w:eastAsiaTheme="minorEastAsia"/>
                      <w:color w:val="auto"/>
                      <w:kern w:val="0"/>
                      <w:szCs w:val="21"/>
                    </w:rPr>
                    <w:t>84</w:t>
                  </w:r>
                </w:p>
              </w:tc>
              <w:tc>
                <w:tcPr>
                  <w:tcW w:w="435" w:type="pct"/>
                  <w:vAlign w:val="center"/>
                </w:tcPr>
                <w:p w14:paraId="6BFE6E4A">
                  <w:pPr>
                    <w:widowControl/>
                    <w:jc w:val="center"/>
                    <w:rPr>
                      <w:rFonts w:hint="default" w:eastAsiaTheme="minorEastAsia"/>
                      <w:color w:val="auto"/>
                      <w:kern w:val="0"/>
                      <w:szCs w:val="21"/>
                      <w:lang w:val="en-US" w:eastAsia="zh-CN"/>
                    </w:rPr>
                  </w:pPr>
                  <w:r>
                    <w:rPr>
                      <w:rFonts w:hint="eastAsia" w:eastAsiaTheme="minorEastAsia"/>
                      <w:color w:val="auto"/>
                      <w:kern w:val="0"/>
                      <w:szCs w:val="21"/>
                      <w:lang w:val="en-US" w:eastAsia="zh-CN"/>
                    </w:rPr>
                    <w:t>0.001</w:t>
                  </w:r>
                </w:p>
              </w:tc>
              <w:tc>
                <w:tcPr>
                  <w:tcW w:w="436" w:type="pct"/>
                  <w:vAlign w:val="center"/>
                </w:tcPr>
                <w:p w14:paraId="704E08C4">
                  <w:pPr>
                    <w:widowControl/>
                    <w:jc w:val="center"/>
                    <w:rPr>
                      <w:rFonts w:hint="default" w:eastAsiaTheme="minorEastAsia"/>
                      <w:color w:val="FF0000"/>
                      <w:kern w:val="0"/>
                      <w:szCs w:val="21"/>
                      <w:lang w:val="en-US" w:eastAsia="zh-CN"/>
                    </w:rPr>
                  </w:pPr>
                  <w:r>
                    <w:rPr>
                      <w:rFonts w:hint="eastAsia" w:eastAsiaTheme="minorEastAsia"/>
                      <w:color w:val="auto"/>
                      <w:kern w:val="0"/>
                      <w:szCs w:val="21"/>
                      <w:lang w:val="en-US" w:eastAsia="zh-CN"/>
                    </w:rPr>
                    <w:t>50</w:t>
                  </w:r>
                </w:p>
              </w:tc>
            </w:tr>
            <w:tr w14:paraId="68D6D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1" w:hRule="atLeast"/>
                <w:jc w:val="center"/>
              </w:trPr>
              <w:tc>
                <w:tcPr>
                  <w:tcW w:w="462" w:type="pct"/>
                  <w:vMerge w:val="continue"/>
                  <w:vAlign w:val="center"/>
                </w:tcPr>
                <w:p w14:paraId="120407F7">
                  <w:pPr>
                    <w:widowControl/>
                    <w:jc w:val="center"/>
                    <w:rPr>
                      <w:rFonts w:hint="eastAsia" w:eastAsiaTheme="minorEastAsia"/>
                      <w:color w:val="FF0000"/>
                      <w:kern w:val="0"/>
                      <w:szCs w:val="21"/>
                      <w:lang w:val="en-US" w:eastAsia="zh-CN"/>
                    </w:rPr>
                  </w:pPr>
                </w:p>
              </w:tc>
              <w:tc>
                <w:tcPr>
                  <w:tcW w:w="489" w:type="pct"/>
                  <w:vAlign w:val="center"/>
                </w:tcPr>
                <w:p w14:paraId="3BE6056E">
                  <w:pPr>
                    <w:widowControl/>
                    <w:adjustRightInd w:val="0"/>
                    <w:snapToGrid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颗粒物</w:t>
                  </w:r>
                </w:p>
              </w:tc>
              <w:tc>
                <w:tcPr>
                  <w:tcW w:w="627" w:type="pct"/>
                  <w:tcMar>
                    <w:top w:w="0" w:type="dxa"/>
                    <w:left w:w="108" w:type="dxa"/>
                    <w:bottom w:w="0" w:type="dxa"/>
                    <w:right w:w="108" w:type="dxa"/>
                  </w:tcMar>
                  <w:vAlign w:val="center"/>
                </w:tcPr>
                <w:p w14:paraId="687414EC">
                  <w:pPr>
                    <w:widowControl/>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1.7</w:t>
                  </w:r>
                  <w:r>
                    <w:rPr>
                      <w:rFonts w:hint="eastAsia" w:ascii="Times New Roman" w:hAnsi="Times New Roman" w:cs="Times New Roman" w:eastAsiaTheme="minorEastAsia"/>
                      <w:color w:val="auto"/>
                      <w:szCs w:val="21"/>
                      <w:lang w:val="en-US" w:eastAsia="zh-CN"/>
                    </w:rPr>
                    <w:t>×10</w:t>
                  </w:r>
                  <w:r>
                    <w:rPr>
                      <w:rFonts w:hint="eastAsia" w:ascii="Times New Roman" w:hAnsi="Times New Roman" w:cs="Times New Roman" w:eastAsiaTheme="minorEastAsia"/>
                      <w:color w:val="auto"/>
                      <w:szCs w:val="21"/>
                      <w:vertAlign w:val="superscript"/>
                      <w:lang w:val="en-US" w:eastAsia="zh-CN"/>
                    </w:rPr>
                    <w:t>-4</w:t>
                  </w:r>
                </w:p>
              </w:tc>
              <w:tc>
                <w:tcPr>
                  <w:tcW w:w="450" w:type="pct"/>
                  <w:vMerge w:val="continue"/>
                  <w:vAlign w:val="center"/>
                </w:tcPr>
                <w:p w14:paraId="0B0C7D44">
                  <w:pPr>
                    <w:widowControl/>
                    <w:jc w:val="center"/>
                    <w:rPr>
                      <w:rFonts w:hint="eastAsia" w:eastAsiaTheme="minorEastAsia"/>
                      <w:color w:val="auto"/>
                      <w:kern w:val="0"/>
                      <w:szCs w:val="21"/>
                      <w:lang w:val="en-US" w:eastAsia="zh-CN"/>
                    </w:rPr>
                  </w:pPr>
                </w:p>
              </w:tc>
              <w:tc>
                <w:tcPr>
                  <w:tcW w:w="611" w:type="pct"/>
                  <w:vAlign w:val="center"/>
                </w:tcPr>
                <w:p w14:paraId="7D08AB61">
                  <w:pPr>
                    <w:jc w:val="center"/>
                    <w:rPr>
                      <w:rFonts w:hint="default" w:eastAsiaTheme="minorEastAsia"/>
                      <w:color w:val="auto"/>
                      <w:sz w:val="21"/>
                      <w:szCs w:val="21"/>
                      <w:lang w:val="en-US" w:eastAsia="zh-CN"/>
                    </w:rPr>
                  </w:pPr>
                  <w:r>
                    <w:rPr>
                      <w:rFonts w:hint="eastAsia" w:eastAsiaTheme="minorEastAsia"/>
                      <w:color w:val="auto"/>
                      <w:sz w:val="21"/>
                      <w:szCs w:val="21"/>
                      <w:lang w:val="en-US" w:eastAsia="zh-CN"/>
                    </w:rPr>
                    <w:t>0.45</w:t>
                  </w:r>
                </w:p>
              </w:tc>
              <w:tc>
                <w:tcPr>
                  <w:tcW w:w="348" w:type="pct"/>
                  <w:shd w:val="clear" w:color="auto" w:fill="auto"/>
                  <w:vAlign w:val="center"/>
                </w:tcPr>
                <w:p w14:paraId="4ADC454E">
                  <w:pPr>
                    <w:widowControl/>
                    <w:jc w:val="center"/>
                    <w:rPr>
                      <w:rFonts w:hint="eastAsia" w:ascii="Times New Roman" w:hAnsi="Times New Roman" w:cs="Times New Roman" w:eastAsiaTheme="minorEastAsia"/>
                      <w:color w:val="auto"/>
                      <w:kern w:val="0"/>
                      <w:sz w:val="21"/>
                      <w:szCs w:val="21"/>
                      <w:lang w:val="en-US" w:eastAsia="zh-CN" w:bidi="ar-SA"/>
                    </w:rPr>
                  </w:pPr>
                  <w:r>
                    <w:rPr>
                      <w:rFonts w:hint="eastAsia" w:eastAsiaTheme="minorEastAsia"/>
                      <w:color w:val="auto"/>
                      <w:kern w:val="0"/>
                      <w:szCs w:val="21"/>
                    </w:rPr>
                    <w:t>470</w:t>
                  </w:r>
                </w:p>
              </w:tc>
              <w:tc>
                <w:tcPr>
                  <w:tcW w:w="359" w:type="pct"/>
                  <w:shd w:val="clear" w:color="auto" w:fill="auto"/>
                  <w:vAlign w:val="center"/>
                </w:tcPr>
                <w:p w14:paraId="5740D79D">
                  <w:pPr>
                    <w:widowControl/>
                    <w:jc w:val="center"/>
                    <w:rPr>
                      <w:rFonts w:ascii="Times New Roman" w:hAnsi="Times New Roman" w:cs="Times New Roman" w:eastAsiaTheme="minorEastAsia"/>
                      <w:color w:val="auto"/>
                      <w:kern w:val="0"/>
                      <w:sz w:val="21"/>
                      <w:szCs w:val="21"/>
                      <w:lang w:val="en-US" w:eastAsia="zh-CN" w:bidi="ar-SA"/>
                    </w:rPr>
                  </w:pPr>
                  <w:r>
                    <w:rPr>
                      <w:rFonts w:eastAsiaTheme="minorEastAsia"/>
                      <w:color w:val="auto"/>
                      <w:kern w:val="0"/>
                      <w:szCs w:val="21"/>
                    </w:rPr>
                    <w:t>0.</w:t>
                  </w:r>
                  <w:r>
                    <w:rPr>
                      <w:rFonts w:hint="eastAsia" w:eastAsiaTheme="minorEastAsia"/>
                      <w:color w:val="auto"/>
                      <w:kern w:val="0"/>
                      <w:szCs w:val="21"/>
                    </w:rPr>
                    <w:t>021</w:t>
                  </w:r>
                </w:p>
              </w:tc>
              <w:tc>
                <w:tcPr>
                  <w:tcW w:w="356" w:type="pct"/>
                  <w:shd w:val="clear" w:color="auto" w:fill="auto"/>
                  <w:vAlign w:val="center"/>
                </w:tcPr>
                <w:p w14:paraId="19DE2939">
                  <w:pPr>
                    <w:widowControl/>
                    <w:jc w:val="center"/>
                    <w:rPr>
                      <w:rFonts w:ascii="Times New Roman" w:hAnsi="Times New Roman" w:cs="Times New Roman" w:eastAsiaTheme="minorEastAsia"/>
                      <w:color w:val="auto"/>
                      <w:kern w:val="0"/>
                      <w:sz w:val="21"/>
                      <w:szCs w:val="21"/>
                      <w:lang w:val="en-US" w:eastAsia="zh-CN" w:bidi="ar-SA"/>
                    </w:rPr>
                  </w:pPr>
                  <w:r>
                    <w:rPr>
                      <w:rFonts w:eastAsiaTheme="minorEastAsia"/>
                      <w:color w:val="auto"/>
                      <w:kern w:val="0"/>
                      <w:szCs w:val="21"/>
                    </w:rPr>
                    <w:t>1.85</w:t>
                  </w:r>
                </w:p>
              </w:tc>
              <w:tc>
                <w:tcPr>
                  <w:tcW w:w="422" w:type="pct"/>
                  <w:shd w:val="clear" w:color="auto" w:fill="auto"/>
                  <w:vAlign w:val="center"/>
                </w:tcPr>
                <w:p w14:paraId="7FD671C7">
                  <w:pPr>
                    <w:widowControl/>
                    <w:jc w:val="center"/>
                    <w:rPr>
                      <w:rFonts w:ascii="Times New Roman" w:hAnsi="Times New Roman" w:cs="Times New Roman" w:eastAsiaTheme="minorEastAsia"/>
                      <w:color w:val="auto"/>
                      <w:kern w:val="0"/>
                      <w:sz w:val="21"/>
                      <w:szCs w:val="21"/>
                      <w:lang w:val="en-US" w:eastAsia="zh-CN" w:bidi="ar-SA"/>
                    </w:rPr>
                  </w:pPr>
                  <w:r>
                    <w:rPr>
                      <w:rFonts w:eastAsiaTheme="minorEastAsia"/>
                      <w:color w:val="auto"/>
                      <w:kern w:val="0"/>
                      <w:szCs w:val="21"/>
                    </w:rPr>
                    <w:t>0.</w:t>
                  </w:r>
                  <w:r>
                    <w:rPr>
                      <w:rFonts w:hint="eastAsia" w:eastAsiaTheme="minorEastAsia"/>
                      <w:color w:val="auto"/>
                      <w:kern w:val="0"/>
                      <w:szCs w:val="21"/>
                    </w:rPr>
                    <w:t>84</w:t>
                  </w:r>
                </w:p>
              </w:tc>
              <w:tc>
                <w:tcPr>
                  <w:tcW w:w="435" w:type="pct"/>
                  <w:vAlign w:val="center"/>
                </w:tcPr>
                <w:p w14:paraId="694A8CB3">
                  <w:pPr>
                    <w:widowControl/>
                    <w:jc w:val="center"/>
                    <w:rPr>
                      <w:rFonts w:hint="default" w:eastAsiaTheme="minorEastAsia"/>
                      <w:color w:val="auto"/>
                      <w:kern w:val="0"/>
                      <w:szCs w:val="21"/>
                      <w:lang w:val="en-US" w:eastAsia="zh-CN"/>
                    </w:rPr>
                  </w:pPr>
                  <w:r>
                    <w:rPr>
                      <w:rFonts w:hint="eastAsia" w:eastAsiaTheme="minorEastAsia"/>
                      <w:color w:val="auto"/>
                      <w:kern w:val="0"/>
                      <w:szCs w:val="21"/>
                      <w:lang w:val="en-US" w:eastAsia="zh-CN"/>
                    </w:rPr>
                    <w:t>0.011</w:t>
                  </w:r>
                </w:p>
              </w:tc>
              <w:tc>
                <w:tcPr>
                  <w:tcW w:w="436" w:type="pct"/>
                  <w:vAlign w:val="center"/>
                </w:tcPr>
                <w:p w14:paraId="16768E60">
                  <w:pPr>
                    <w:widowControl/>
                    <w:jc w:val="center"/>
                    <w:rPr>
                      <w:rFonts w:hint="eastAsia" w:eastAsiaTheme="minorEastAsia"/>
                      <w:color w:val="FF0000"/>
                      <w:kern w:val="0"/>
                      <w:szCs w:val="21"/>
                      <w:lang w:val="en-US" w:eastAsia="zh-CN"/>
                    </w:rPr>
                  </w:pPr>
                  <w:r>
                    <w:rPr>
                      <w:rFonts w:hint="eastAsia" w:eastAsiaTheme="minorEastAsia"/>
                      <w:color w:val="auto"/>
                      <w:kern w:val="0"/>
                      <w:szCs w:val="21"/>
                      <w:lang w:val="en-US" w:eastAsia="zh-CN"/>
                    </w:rPr>
                    <w:t>50</w:t>
                  </w:r>
                </w:p>
              </w:tc>
            </w:tr>
          </w:tbl>
          <w:p w14:paraId="63D665AB">
            <w:pPr>
              <w:pStyle w:val="18"/>
              <w:snapToGrid w:val="0"/>
              <w:spacing w:line="240" w:lineRule="auto"/>
              <w:ind w:firstLine="0"/>
              <w:rPr>
                <w:rFonts w:eastAsiaTheme="minorEastAsia"/>
                <w:bCs/>
                <w:color w:val="FF0000"/>
                <w:sz w:val="10"/>
                <w:szCs w:val="10"/>
              </w:rPr>
            </w:pPr>
          </w:p>
          <w:p w14:paraId="59C06AAF">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ascii="Times New Roman" w:hAnsi="Times New Roman" w:cs="Times New Roman" w:eastAsiaTheme="minorEastAsia"/>
                <w:color w:val="FF0000"/>
                <w:sz w:val="24"/>
                <w:szCs w:val="24"/>
              </w:rPr>
            </w:pPr>
            <w:r>
              <w:rPr>
                <w:rFonts w:eastAsiaTheme="minorEastAsia"/>
                <w:color w:val="auto"/>
                <w:sz w:val="24"/>
                <w:szCs w:val="24"/>
              </w:rPr>
              <w:t>从上表可见，</w:t>
            </w:r>
            <w:r>
              <w:rPr>
                <w:rFonts w:hint="eastAsia"/>
                <w:bCs/>
                <w:color w:val="auto"/>
                <w:sz w:val="24"/>
                <w:szCs w:val="24"/>
              </w:rPr>
              <w:t>本项目</w:t>
            </w:r>
            <w:r>
              <w:rPr>
                <w:color w:val="auto"/>
                <w:sz w:val="24"/>
                <w:szCs w:val="24"/>
              </w:rPr>
              <w:t>全厂卫生防护区域是以</w:t>
            </w:r>
            <w:r>
              <w:rPr>
                <w:rFonts w:hint="eastAsia"/>
                <w:color w:val="auto"/>
                <w:sz w:val="24"/>
                <w:szCs w:val="24"/>
                <w:lang w:val="en-US" w:eastAsia="zh-CN"/>
              </w:rPr>
              <w:t>生产车间</w:t>
            </w:r>
            <w:r>
              <w:rPr>
                <w:rFonts w:hint="eastAsia"/>
                <w:color w:val="auto"/>
                <w:spacing w:val="-2"/>
                <w:sz w:val="24"/>
                <w:szCs w:val="24"/>
                <w:lang w:val="en-US" w:eastAsia="zh-CN"/>
              </w:rPr>
              <w:t>为边界外扩100米</w:t>
            </w:r>
            <w:r>
              <w:rPr>
                <w:bCs/>
                <w:color w:val="auto"/>
                <w:sz w:val="24"/>
                <w:szCs w:val="24"/>
              </w:rPr>
              <w:t>的范围</w:t>
            </w:r>
            <w:r>
              <w:rPr>
                <w:color w:val="auto"/>
                <w:sz w:val="24"/>
                <w:szCs w:val="24"/>
              </w:rPr>
              <w:t>（具体见附图2）</w:t>
            </w:r>
            <w:r>
              <w:rPr>
                <w:rFonts w:hint="eastAsia"/>
                <w:bCs/>
                <w:color w:val="auto"/>
                <w:sz w:val="24"/>
                <w:szCs w:val="24"/>
              </w:rPr>
              <w:t>，</w:t>
            </w:r>
            <w:r>
              <w:rPr>
                <w:rFonts w:eastAsiaTheme="minorEastAsia"/>
                <w:color w:val="auto"/>
                <w:sz w:val="24"/>
                <w:szCs w:val="24"/>
              </w:rPr>
              <w:t>该范围内无居民、学校等环境敏感保护目标，可满足卫生防护距离设置要求。将来在该卫生防护区域范围也不得新建居民、学校、医院等属于环境保护目标的项目。</w:t>
            </w:r>
          </w:p>
          <w:p w14:paraId="31B31C79">
            <w:pPr>
              <w:spacing w:line="360" w:lineRule="auto"/>
              <w:ind w:firstLine="482" w:firstLineChars="200"/>
              <w:rPr>
                <w:rFonts w:hint="default" w:ascii="Times New Roman" w:hAnsi="Times New Roman" w:cs="Times New Roman" w:eastAsiaTheme="minorEastAsia"/>
                <w:b/>
                <w:bCs/>
                <w:color w:val="auto"/>
                <w:sz w:val="24"/>
                <w:szCs w:val="24"/>
                <w:lang w:val="en-US" w:eastAsia="zh-CN"/>
              </w:rPr>
            </w:pPr>
            <w:r>
              <w:rPr>
                <w:rFonts w:hint="eastAsia" w:ascii="Times New Roman" w:hAnsi="Times New Roman" w:cs="Times New Roman" w:eastAsiaTheme="minorEastAsia"/>
                <w:b/>
                <w:bCs/>
                <w:color w:val="auto"/>
                <w:sz w:val="24"/>
                <w:szCs w:val="24"/>
                <w:lang w:val="en-US" w:eastAsia="zh-CN"/>
              </w:rPr>
              <w:t>1.5大气环境影响分析</w:t>
            </w:r>
          </w:p>
          <w:p w14:paraId="588B6E60">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本项目各废气产生源废气污染物排放量均较小，且配备了可行的废气处理装置，产污节点密闭收集，废气捕集效率高，废气</w:t>
            </w:r>
            <w:r>
              <w:rPr>
                <w:rFonts w:hint="eastAsia" w:ascii="Times New Roman" w:hAnsi="Times New Roman" w:eastAsia="宋体" w:cs="Times New Roman"/>
                <w:color w:val="auto"/>
                <w:sz w:val="24"/>
                <w:szCs w:val="24"/>
                <w:lang w:val="en-US" w:eastAsia="zh-CN"/>
              </w:rPr>
              <w:t>均</w:t>
            </w:r>
            <w:r>
              <w:rPr>
                <w:rFonts w:hint="eastAsia" w:ascii="Times New Roman" w:hAnsi="Times New Roman" w:eastAsia="宋体" w:cs="Times New Roman"/>
                <w:color w:val="auto"/>
                <w:sz w:val="24"/>
                <w:szCs w:val="24"/>
              </w:rPr>
              <w:t>经收集处理后排放；在正常工况下，各废气污染物均可达标排放。综上，本项目在严格落实各项废气污染治理措施、制定完善的环境管理制度并有效执行的前提下，本项目废气排放对周边环境影响可接受。</w:t>
            </w:r>
          </w:p>
          <w:p w14:paraId="03008390">
            <w:pPr>
              <w:spacing w:line="336" w:lineRule="auto"/>
              <w:rPr>
                <w:color w:val="FF0000"/>
              </w:rPr>
            </w:pPr>
          </w:p>
          <w:p w14:paraId="2738FEDF">
            <w:pPr>
              <w:pStyle w:val="2"/>
              <w:rPr>
                <w:color w:val="FF0000"/>
              </w:rPr>
            </w:pPr>
          </w:p>
          <w:p w14:paraId="05F6C07D">
            <w:pPr>
              <w:rPr>
                <w:color w:val="FF0000"/>
              </w:rPr>
            </w:pPr>
          </w:p>
          <w:p w14:paraId="7B54CEF5">
            <w:pPr>
              <w:pStyle w:val="2"/>
              <w:rPr>
                <w:color w:val="FF0000"/>
              </w:rPr>
            </w:pPr>
          </w:p>
          <w:p w14:paraId="6E0112A4"/>
        </w:tc>
      </w:tr>
    </w:tbl>
    <w:p w14:paraId="54482356">
      <w:pPr>
        <w:adjustRightInd w:val="0"/>
        <w:snapToGrid w:val="0"/>
        <w:jc w:val="center"/>
        <w:rPr>
          <w:rFonts w:ascii="宋体" w:hAnsi="宋体" w:cs="宋体"/>
          <w:b/>
          <w:bCs/>
          <w:color w:val="FF0000"/>
          <w:sz w:val="24"/>
          <w:szCs w:val="24"/>
        </w:rPr>
        <w:sectPr>
          <w:pgSz w:w="11905" w:h="16838"/>
          <w:pgMar w:top="1276" w:right="1803" w:bottom="1712" w:left="1803" w:header="850" w:footer="992" w:gutter="0"/>
          <w:pgBorders>
            <w:top w:val="none" w:sz="0" w:space="0"/>
            <w:left w:val="none" w:sz="0" w:space="0"/>
            <w:bottom w:val="none" w:sz="0" w:space="0"/>
            <w:right w:val="none" w:sz="0" w:space="0"/>
          </w:pgBorders>
          <w:pgNumType w:fmt="decimal"/>
          <w:cols w:space="0" w:num="1"/>
          <w:docGrid w:type="lines" w:linePitch="319" w:charSpace="0"/>
        </w:sect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
        <w:gridCol w:w="8275"/>
      </w:tblGrid>
      <w:tr w14:paraId="4110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dxa"/>
          </w:tcPr>
          <w:p w14:paraId="26EE8DF4"/>
        </w:tc>
        <w:tc>
          <w:tcPr>
            <w:tcW w:w="8275" w:type="dxa"/>
          </w:tcPr>
          <w:p w14:paraId="42DC885E">
            <w:pPr>
              <w:spacing w:line="336" w:lineRule="auto"/>
              <w:ind w:firstLine="482" w:firstLineChars="200"/>
              <w:rPr>
                <w:rFonts w:eastAsiaTheme="minorEastAsia"/>
                <w:b/>
                <w:bCs/>
                <w:color w:val="auto"/>
                <w:sz w:val="24"/>
                <w:szCs w:val="24"/>
              </w:rPr>
            </w:pPr>
            <w:r>
              <w:rPr>
                <w:rFonts w:hint="eastAsia" w:eastAsiaTheme="minorEastAsia"/>
                <w:b/>
                <w:bCs/>
                <w:color w:val="auto"/>
                <w:sz w:val="24"/>
                <w:szCs w:val="24"/>
                <w:lang w:val="en-US" w:eastAsia="zh-CN"/>
              </w:rPr>
              <w:t>2</w:t>
            </w:r>
            <w:r>
              <w:rPr>
                <w:rFonts w:hint="eastAsia" w:eastAsiaTheme="minorEastAsia"/>
                <w:b/>
                <w:bCs/>
                <w:color w:val="auto"/>
                <w:sz w:val="24"/>
                <w:szCs w:val="24"/>
              </w:rPr>
              <w:t>、废水</w:t>
            </w:r>
          </w:p>
          <w:p w14:paraId="20FE3584">
            <w:pPr>
              <w:pStyle w:val="2"/>
              <w:ind w:firstLine="482" w:firstLineChars="200"/>
              <w:rPr>
                <w:b/>
                <w:bCs/>
                <w:color w:val="auto"/>
                <w:sz w:val="24"/>
                <w:szCs w:val="24"/>
              </w:rPr>
            </w:pPr>
            <w:r>
              <w:rPr>
                <w:rFonts w:hint="eastAsia"/>
                <w:b/>
                <w:bCs/>
                <w:color w:val="auto"/>
                <w:sz w:val="24"/>
                <w:szCs w:val="24"/>
              </w:rPr>
              <w:t>2.1废水产生源强核算</w:t>
            </w:r>
          </w:p>
          <w:p w14:paraId="0C1FC01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both"/>
              <w:textAlignment w:val="auto"/>
              <w:rPr>
                <w:color w:val="auto"/>
                <w:sz w:val="24"/>
                <w:szCs w:val="24"/>
              </w:rPr>
            </w:pPr>
            <w:r>
              <w:rPr>
                <w:rFonts w:hint="eastAsia" w:ascii="Times New Roman" w:hAnsi="Times New Roman" w:eastAsia="宋体" w:cs="Times New Roman"/>
                <w:color w:val="auto"/>
                <w:sz w:val="24"/>
                <w:szCs w:val="24"/>
                <w:lang w:val="en-US" w:eastAsia="zh-CN"/>
              </w:rPr>
              <w:t>本项目员工生活污水</w:t>
            </w:r>
            <w:r>
              <w:rPr>
                <w:rFonts w:hint="eastAsia"/>
                <w:color w:val="auto"/>
                <w:kern w:val="0"/>
                <w:sz w:val="24"/>
                <w:lang w:val="en-US" w:eastAsia="zh-CN"/>
              </w:rPr>
              <w:t>排放</w:t>
            </w:r>
            <w:r>
              <w:rPr>
                <w:rFonts w:hint="eastAsia"/>
                <w:color w:val="auto"/>
                <w:sz w:val="24"/>
                <w:szCs w:val="24"/>
                <w:lang w:eastAsia="zh-CN"/>
              </w:rPr>
              <w:t>参照《常州市农业、林牧渔业、工业、生活和服务业用水定额》（2021年修订）--其他居民服务业（城市）</w:t>
            </w:r>
            <w:r>
              <w:rPr>
                <w:rFonts w:hint="eastAsia"/>
                <w:color w:val="auto"/>
                <w:spacing w:val="-2"/>
                <w:kern w:val="28"/>
                <w:sz w:val="24"/>
                <w:szCs w:val="24"/>
              </w:rPr>
              <w:t>，人均生活用水量为</w:t>
            </w:r>
            <w:r>
              <w:rPr>
                <w:color w:val="auto"/>
                <w:sz w:val="24"/>
                <w:szCs w:val="24"/>
              </w:rPr>
              <w:t>120L/d~150L/d</w:t>
            </w:r>
            <w:r>
              <w:rPr>
                <w:rFonts w:hint="eastAsia"/>
                <w:color w:val="auto"/>
                <w:sz w:val="24"/>
                <w:szCs w:val="24"/>
              </w:rPr>
              <w:t>，本项目人均生活用水量以</w:t>
            </w:r>
            <w:r>
              <w:rPr>
                <w:color w:val="auto"/>
                <w:sz w:val="24"/>
                <w:szCs w:val="24"/>
              </w:rPr>
              <w:t>1</w:t>
            </w:r>
            <w:r>
              <w:rPr>
                <w:rFonts w:hint="eastAsia"/>
                <w:color w:val="auto"/>
                <w:sz w:val="24"/>
                <w:szCs w:val="24"/>
              </w:rPr>
              <w:t>2</w:t>
            </w:r>
            <w:r>
              <w:rPr>
                <w:color w:val="auto"/>
                <w:sz w:val="24"/>
                <w:szCs w:val="24"/>
              </w:rPr>
              <w:t>0L/d</w:t>
            </w:r>
            <w:r>
              <w:rPr>
                <w:rFonts w:hint="eastAsia"/>
                <w:color w:val="auto"/>
                <w:sz w:val="24"/>
                <w:szCs w:val="24"/>
              </w:rPr>
              <w:t>计，本项目职工定员</w:t>
            </w:r>
            <w:r>
              <w:rPr>
                <w:rFonts w:hint="eastAsia"/>
                <w:color w:val="auto"/>
                <w:sz w:val="24"/>
                <w:szCs w:val="24"/>
                <w:lang w:val="en-US" w:eastAsia="zh-CN"/>
              </w:rPr>
              <w:t>20</w:t>
            </w:r>
            <w:r>
              <w:rPr>
                <w:rFonts w:hint="eastAsia"/>
                <w:color w:val="auto"/>
                <w:sz w:val="24"/>
                <w:szCs w:val="24"/>
              </w:rPr>
              <w:t>人，</w:t>
            </w:r>
            <w:r>
              <w:rPr>
                <w:color w:val="auto"/>
                <w:sz w:val="24"/>
                <w:szCs w:val="24"/>
              </w:rPr>
              <w:t>年工作</w:t>
            </w:r>
            <w:r>
              <w:rPr>
                <w:rFonts w:hint="eastAsia"/>
                <w:color w:val="auto"/>
                <w:sz w:val="24"/>
                <w:szCs w:val="24"/>
              </w:rPr>
              <w:t>30</w:t>
            </w:r>
            <w:r>
              <w:rPr>
                <w:color w:val="auto"/>
                <w:sz w:val="24"/>
                <w:szCs w:val="24"/>
              </w:rPr>
              <w:t>0天，则员工生活用水量约</w:t>
            </w:r>
            <w:r>
              <w:rPr>
                <w:rFonts w:hint="eastAsia"/>
                <w:color w:val="auto"/>
                <w:sz w:val="24"/>
                <w:szCs w:val="24"/>
                <w:lang w:val="en-US" w:eastAsia="zh-CN"/>
              </w:rPr>
              <w:t>720</w:t>
            </w:r>
            <w:r>
              <w:rPr>
                <w:color w:val="auto"/>
                <w:sz w:val="24"/>
                <w:szCs w:val="24"/>
              </w:rPr>
              <w:t>m</w:t>
            </w:r>
            <w:r>
              <w:rPr>
                <w:color w:val="auto"/>
                <w:sz w:val="24"/>
                <w:szCs w:val="24"/>
                <w:vertAlign w:val="superscript"/>
              </w:rPr>
              <w:t>3</w:t>
            </w:r>
            <w:r>
              <w:rPr>
                <w:color w:val="auto"/>
                <w:sz w:val="24"/>
                <w:szCs w:val="24"/>
              </w:rPr>
              <w:t>/a，产污系数取0.9，则员工生活污水量约</w:t>
            </w:r>
            <w:r>
              <w:rPr>
                <w:rFonts w:hint="eastAsia"/>
                <w:color w:val="auto"/>
                <w:sz w:val="24"/>
                <w:szCs w:val="24"/>
                <w:lang w:val="en-US" w:eastAsia="zh-CN"/>
              </w:rPr>
              <w:t>648</w:t>
            </w:r>
            <w:r>
              <w:rPr>
                <w:color w:val="auto"/>
                <w:sz w:val="24"/>
                <w:szCs w:val="24"/>
              </w:rPr>
              <w:t>m</w:t>
            </w:r>
            <w:r>
              <w:rPr>
                <w:color w:val="auto"/>
                <w:sz w:val="24"/>
                <w:szCs w:val="24"/>
                <w:vertAlign w:val="superscript"/>
              </w:rPr>
              <w:t>3</w:t>
            </w:r>
            <w:r>
              <w:rPr>
                <w:color w:val="auto"/>
                <w:sz w:val="24"/>
                <w:szCs w:val="24"/>
              </w:rPr>
              <w:t>/a，其中主要污染物为：pH：</w:t>
            </w:r>
            <w:r>
              <w:rPr>
                <w:rFonts w:hint="eastAsia"/>
                <w:color w:val="auto"/>
                <w:sz w:val="24"/>
                <w:szCs w:val="24"/>
                <w:lang w:eastAsia="zh-CN"/>
              </w:rPr>
              <w:t>6.5～9.5</w:t>
            </w:r>
            <w:r>
              <w:rPr>
                <w:color w:val="auto"/>
                <w:sz w:val="24"/>
                <w:szCs w:val="24"/>
              </w:rPr>
              <w:t>、COD 400mg/L、SS</w:t>
            </w:r>
            <w:r>
              <w:rPr>
                <w:rFonts w:hint="eastAsia"/>
                <w:color w:val="auto"/>
                <w:sz w:val="24"/>
                <w:szCs w:val="24"/>
              </w:rPr>
              <w:t xml:space="preserve"> </w:t>
            </w:r>
            <w:r>
              <w:rPr>
                <w:color w:val="auto"/>
                <w:sz w:val="24"/>
                <w:szCs w:val="24"/>
              </w:rPr>
              <w:t>250mg/L、氨氮30mg/L、总磷5mg/L、总</w:t>
            </w:r>
            <w:r>
              <w:rPr>
                <w:rFonts w:hint="eastAsia"/>
                <w:color w:val="auto"/>
                <w:sz w:val="24"/>
                <w:szCs w:val="24"/>
              </w:rPr>
              <w:t>氮50mg/L，</w:t>
            </w:r>
            <w:r>
              <w:rPr>
                <w:color w:val="auto"/>
                <w:sz w:val="24"/>
                <w:szCs w:val="24"/>
              </w:rPr>
              <w:t>员工生活污水</w:t>
            </w:r>
            <w:r>
              <w:rPr>
                <w:rFonts w:hint="eastAsia"/>
                <w:color w:val="auto"/>
                <w:sz w:val="24"/>
                <w:szCs w:val="24"/>
                <w:lang w:val="en-US" w:eastAsia="zh-CN"/>
              </w:rPr>
              <w:t>经园区</w:t>
            </w:r>
            <w:r>
              <w:rPr>
                <w:color w:val="auto"/>
                <w:sz w:val="24"/>
                <w:szCs w:val="24"/>
              </w:rPr>
              <w:t>化粪池预处理达接管标准后，</w:t>
            </w:r>
            <w:r>
              <w:rPr>
                <w:rFonts w:hint="eastAsia"/>
                <w:color w:val="auto"/>
                <w:sz w:val="24"/>
                <w:szCs w:val="24"/>
              </w:rPr>
              <w:t>接管排入市政污水管网，最终排入</w:t>
            </w:r>
            <w:r>
              <w:rPr>
                <w:rFonts w:hint="eastAsia" w:eastAsiaTheme="minorEastAsia"/>
                <w:color w:val="auto"/>
                <w:sz w:val="24"/>
                <w:szCs w:val="24"/>
                <w:lang w:eastAsia="zh-CN"/>
              </w:rPr>
              <w:t>常州市江边污水处理厂</w:t>
            </w:r>
            <w:r>
              <w:rPr>
                <w:color w:val="auto"/>
                <w:sz w:val="24"/>
                <w:szCs w:val="24"/>
              </w:rPr>
              <w:t>集中处理</w:t>
            </w:r>
            <w:r>
              <w:rPr>
                <w:rFonts w:hint="eastAsia"/>
                <w:color w:val="auto"/>
                <w:sz w:val="24"/>
                <w:szCs w:val="24"/>
              </w:rPr>
              <w:t>，尾水最终排入</w:t>
            </w:r>
            <w:r>
              <w:rPr>
                <w:rFonts w:hint="eastAsia"/>
                <w:color w:val="auto"/>
                <w:sz w:val="24"/>
                <w:szCs w:val="24"/>
                <w:lang w:val="en-US" w:eastAsia="zh-CN"/>
              </w:rPr>
              <w:t>长江</w:t>
            </w:r>
            <w:r>
              <w:rPr>
                <w:color w:val="auto"/>
                <w:sz w:val="24"/>
                <w:szCs w:val="24"/>
              </w:rPr>
              <w:t>。</w:t>
            </w:r>
          </w:p>
          <w:p w14:paraId="11545C83">
            <w:pPr>
              <w:pStyle w:val="18"/>
              <w:snapToGrid w:val="0"/>
              <w:ind w:firstLineChars="200"/>
              <w:rPr>
                <w:rFonts w:eastAsiaTheme="minorEastAsia"/>
                <w:b/>
                <w:color w:val="auto"/>
                <w:szCs w:val="24"/>
              </w:rPr>
            </w:pPr>
            <w:r>
              <w:rPr>
                <w:color w:val="auto"/>
                <w:szCs w:val="24"/>
              </w:rPr>
              <w:t>本项目水污染物产生及排放情况见表</w:t>
            </w:r>
            <w:r>
              <w:rPr>
                <w:rFonts w:hint="eastAsia"/>
                <w:color w:val="auto"/>
                <w:szCs w:val="24"/>
              </w:rPr>
              <w:t>4</w:t>
            </w:r>
            <w:r>
              <w:rPr>
                <w:rFonts w:hint="eastAsia"/>
                <w:color w:val="auto"/>
                <w:szCs w:val="24"/>
                <w:lang w:val="en-US" w:eastAsia="zh-CN"/>
              </w:rPr>
              <w:t>-18</w:t>
            </w:r>
            <w:r>
              <w:rPr>
                <w:color w:val="auto"/>
                <w:szCs w:val="24"/>
              </w:rPr>
              <w:t>。</w:t>
            </w:r>
          </w:p>
          <w:p w14:paraId="4B99888F">
            <w:pPr>
              <w:snapToGrid w:val="0"/>
              <w:spacing w:line="324" w:lineRule="auto"/>
              <w:jc w:val="center"/>
              <w:rPr>
                <w:rFonts w:eastAsiaTheme="minorEastAsia"/>
                <w:b/>
                <w:color w:val="auto"/>
                <w:sz w:val="24"/>
                <w:szCs w:val="24"/>
              </w:rPr>
            </w:pPr>
            <w:r>
              <w:rPr>
                <w:rFonts w:eastAsiaTheme="minorEastAsia"/>
                <w:b/>
                <w:color w:val="auto"/>
                <w:sz w:val="24"/>
                <w:szCs w:val="24"/>
              </w:rPr>
              <w:t>表</w:t>
            </w:r>
            <w:r>
              <w:rPr>
                <w:rFonts w:hint="eastAsia" w:eastAsiaTheme="minorEastAsia"/>
                <w:b/>
                <w:color w:val="auto"/>
                <w:sz w:val="24"/>
                <w:szCs w:val="24"/>
                <w:lang w:val="en-US" w:eastAsia="zh-CN"/>
              </w:rPr>
              <w:t>4-18</w:t>
            </w:r>
            <w:r>
              <w:rPr>
                <w:rFonts w:eastAsiaTheme="minorEastAsia"/>
                <w:b/>
                <w:color w:val="auto"/>
                <w:sz w:val="24"/>
                <w:szCs w:val="24"/>
              </w:rPr>
              <w:t>水污染物产生</w:t>
            </w:r>
            <w:r>
              <w:rPr>
                <w:rFonts w:hint="eastAsia" w:eastAsiaTheme="minorEastAsia"/>
                <w:b/>
                <w:color w:val="auto"/>
                <w:sz w:val="24"/>
                <w:szCs w:val="24"/>
              </w:rPr>
              <w:t>及排放</w:t>
            </w:r>
            <w:r>
              <w:rPr>
                <w:rFonts w:eastAsiaTheme="minorEastAsia"/>
                <w:b/>
                <w:color w:val="auto"/>
                <w:sz w:val="24"/>
                <w:szCs w:val="24"/>
              </w:rPr>
              <w:t>情况表</w:t>
            </w:r>
          </w:p>
          <w:tbl>
            <w:tblPr>
              <w:tblStyle w:val="35"/>
              <w:tblW w:w="504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9"/>
              <w:gridCol w:w="868"/>
              <w:gridCol w:w="1102"/>
              <w:gridCol w:w="938"/>
              <w:gridCol w:w="961"/>
              <w:gridCol w:w="797"/>
              <w:gridCol w:w="936"/>
              <w:gridCol w:w="936"/>
              <w:gridCol w:w="819"/>
            </w:tblGrid>
            <w:tr w14:paraId="0F2B88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7" w:hRule="atLeast"/>
                <w:jc w:val="center"/>
              </w:trPr>
              <w:tc>
                <w:tcPr>
                  <w:tcW w:w="456" w:type="pct"/>
                  <w:vAlign w:val="center"/>
                </w:tcPr>
                <w:p w14:paraId="14137E24">
                  <w:pPr>
                    <w:snapToGrid w:val="0"/>
                    <w:jc w:val="center"/>
                    <w:rPr>
                      <w:rFonts w:eastAsiaTheme="minorEastAsia"/>
                      <w:b/>
                      <w:bCs/>
                      <w:color w:val="auto"/>
                      <w:szCs w:val="21"/>
                    </w:rPr>
                  </w:pPr>
                  <w:r>
                    <w:rPr>
                      <w:rFonts w:eastAsiaTheme="minorEastAsia"/>
                      <w:b/>
                      <w:bCs/>
                      <w:color w:val="auto"/>
                      <w:szCs w:val="21"/>
                    </w:rPr>
                    <w:t>废水</w:t>
                  </w:r>
                </w:p>
                <w:p w14:paraId="62DFC2BC">
                  <w:pPr>
                    <w:snapToGrid w:val="0"/>
                    <w:jc w:val="center"/>
                    <w:rPr>
                      <w:rFonts w:eastAsiaTheme="minorEastAsia"/>
                      <w:b/>
                      <w:bCs/>
                      <w:color w:val="auto"/>
                      <w:szCs w:val="21"/>
                    </w:rPr>
                  </w:pPr>
                  <w:r>
                    <w:rPr>
                      <w:rFonts w:eastAsiaTheme="minorEastAsia"/>
                      <w:b/>
                      <w:bCs/>
                      <w:color w:val="auto"/>
                      <w:szCs w:val="21"/>
                    </w:rPr>
                    <w:t>名称</w:t>
                  </w:r>
                </w:p>
              </w:tc>
              <w:tc>
                <w:tcPr>
                  <w:tcW w:w="536" w:type="pct"/>
                  <w:vAlign w:val="center"/>
                </w:tcPr>
                <w:p w14:paraId="46E11BD1">
                  <w:pPr>
                    <w:snapToGrid w:val="0"/>
                    <w:jc w:val="center"/>
                    <w:rPr>
                      <w:rFonts w:eastAsiaTheme="minorEastAsia"/>
                      <w:b/>
                      <w:bCs/>
                      <w:color w:val="auto"/>
                      <w:szCs w:val="21"/>
                    </w:rPr>
                  </w:pPr>
                  <w:r>
                    <w:rPr>
                      <w:rFonts w:eastAsiaTheme="minorEastAsia"/>
                      <w:b/>
                      <w:bCs/>
                      <w:color w:val="auto"/>
                      <w:szCs w:val="21"/>
                    </w:rPr>
                    <w:t>废水量</w:t>
                  </w:r>
                </w:p>
                <w:p w14:paraId="3B0299D2">
                  <w:pPr>
                    <w:snapToGrid w:val="0"/>
                    <w:jc w:val="center"/>
                    <w:rPr>
                      <w:rFonts w:hint="eastAsia" w:eastAsiaTheme="minorEastAsia"/>
                      <w:b/>
                      <w:bCs/>
                      <w:color w:val="auto"/>
                      <w:szCs w:val="21"/>
                      <w:lang w:eastAsia="zh-CN"/>
                    </w:rPr>
                  </w:pPr>
                  <w:r>
                    <w:rPr>
                      <w:rFonts w:hint="eastAsia" w:eastAsiaTheme="minorEastAsia"/>
                      <w:b/>
                      <w:bCs/>
                      <w:color w:val="auto"/>
                      <w:szCs w:val="21"/>
                      <w:lang w:eastAsia="zh-CN"/>
                    </w:rPr>
                    <w:t>（</w:t>
                  </w:r>
                  <w:r>
                    <w:rPr>
                      <w:rFonts w:eastAsiaTheme="minorEastAsia"/>
                      <w:b/>
                      <w:bCs/>
                      <w:color w:val="auto"/>
                      <w:szCs w:val="21"/>
                    </w:rPr>
                    <w:t>m³/a</w:t>
                  </w:r>
                  <w:r>
                    <w:rPr>
                      <w:rFonts w:hint="eastAsia" w:eastAsiaTheme="minorEastAsia"/>
                      <w:b/>
                      <w:bCs/>
                      <w:color w:val="auto"/>
                      <w:szCs w:val="21"/>
                      <w:lang w:eastAsia="zh-CN"/>
                    </w:rPr>
                    <w:t>）</w:t>
                  </w:r>
                </w:p>
              </w:tc>
              <w:tc>
                <w:tcPr>
                  <w:tcW w:w="680" w:type="pct"/>
                  <w:vAlign w:val="center"/>
                </w:tcPr>
                <w:p w14:paraId="4C6A3089">
                  <w:pPr>
                    <w:snapToGrid w:val="0"/>
                    <w:jc w:val="center"/>
                    <w:rPr>
                      <w:rFonts w:eastAsiaTheme="minorEastAsia"/>
                      <w:b/>
                      <w:bCs/>
                      <w:color w:val="auto"/>
                      <w:szCs w:val="21"/>
                    </w:rPr>
                  </w:pPr>
                  <w:r>
                    <w:rPr>
                      <w:rFonts w:eastAsiaTheme="minorEastAsia"/>
                      <w:b/>
                      <w:bCs/>
                      <w:color w:val="auto"/>
                      <w:szCs w:val="21"/>
                    </w:rPr>
                    <w:t>污染物名称</w:t>
                  </w:r>
                </w:p>
              </w:tc>
              <w:tc>
                <w:tcPr>
                  <w:tcW w:w="579" w:type="pct"/>
                  <w:vAlign w:val="center"/>
                </w:tcPr>
                <w:p w14:paraId="030F44EA">
                  <w:pPr>
                    <w:snapToGrid w:val="0"/>
                    <w:jc w:val="center"/>
                    <w:rPr>
                      <w:rFonts w:eastAsiaTheme="minorEastAsia"/>
                      <w:b/>
                      <w:bCs/>
                      <w:color w:val="auto"/>
                      <w:szCs w:val="21"/>
                    </w:rPr>
                  </w:pPr>
                  <w:r>
                    <w:rPr>
                      <w:rFonts w:eastAsiaTheme="minorEastAsia"/>
                      <w:b/>
                      <w:bCs/>
                      <w:color w:val="auto"/>
                      <w:szCs w:val="21"/>
                    </w:rPr>
                    <w:t>污染物</w:t>
                  </w:r>
                </w:p>
                <w:p w14:paraId="79824C35">
                  <w:pPr>
                    <w:snapToGrid w:val="0"/>
                    <w:jc w:val="center"/>
                    <w:rPr>
                      <w:rFonts w:eastAsiaTheme="minorEastAsia"/>
                      <w:b/>
                      <w:bCs/>
                      <w:color w:val="auto"/>
                      <w:szCs w:val="21"/>
                    </w:rPr>
                  </w:pPr>
                  <w:r>
                    <w:rPr>
                      <w:rFonts w:eastAsiaTheme="minorEastAsia"/>
                      <w:b/>
                      <w:bCs/>
                      <w:color w:val="auto"/>
                      <w:szCs w:val="21"/>
                    </w:rPr>
                    <w:t>产生浓度</w:t>
                  </w:r>
                </w:p>
                <w:p w14:paraId="25984A73">
                  <w:pPr>
                    <w:snapToGrid w:val="0"/>
                    <w:jc w:val="center"/>
                    <w:rPr>
                      <w:rFonts w:hint="eastAsia" w:eastAsiaTheme="minorEastAsia"/>
                      <w:b/>
                      <w:bCs/>
                      <w:color w:val="auto"/>
                      <w:szCs w:val="21"/>
                      <w:lang w:eastAsia="zh-CN"/>
                    </w:rPr>
                  </w:pPr>
                  <w:r>
                    <w:rPr>
                      <w:rFonts w:hint="eastAsia" w:eastAsiaTheme="minorEastAsia"/>
                      <w:b/>
                      <w:bCs/>
                      <w:color w:val="auto"/>
                      <w:szCs w:val="21"/>
                      <w:lang w:eastAsia="zh-CN"/>
                    </w:rPr>
                    <w:t>（</w:t>
                  </w:r>
                  <w:r>
                    <w:rPr>
                      <w:rFonts w:eastAsiaTheme="minorEastAsia"/>
                      <w:b/>
                      <w:bCs/>
                      <w:color w:val="auto"/>
                      <w:szCs w:val="21"/>
                    </w:rPr>
                    <w:t>mg/L</w:t>
                  </w:r>
                  <w:r>
                    <w:rPr>
                      <w:rFonts w:hint="eastAsia" w:eastAsiaTheme="minorEastAsia"/>
                      <w:b/>
                      <w:bCs/>
                      <w:color w:val="auto"/>
                      <w:szCs w:val="21"/>
                      <w:lang w:eastAsia="zh-CN"/>
                    </w:rPr>
                    <w:t>）</w:t>
                  </w:r>
                </w:p>
              </w:tc>
              <w:tc>
                <w:tcPr>
                  <w:tcW w:w="593" w:type="pct"/>
                  <w:vAlign w:val="center"/>
                </w:tcPr>
                <w:p w14:paraId="1CD6A901">
                  <w:pPr>
                    <w:snapToGrid w:val="0"/>
                    <w:jc w:val="center"/>
                    <w:rPr>
                      <w:rFonts w:eastAsiaTheme="minorEastAsia"/>
                      <w:b/>
                      <w:bCs/>
                      <w:color w:val="auto"/>
                      <w:szCs w:val="21"/>
                    </w:rPr>
                  </w:pPr>
                  <w:r>
                    <w:rPr>
                      <w:rFonts w:eastAsiaTheme="minorEastAsia"/>
                      <w:b/>
                      <w:bCs/>
                      <w:color w:val="auto"/>
                      <w:szCs w:val="21"/>
                    </w:rPr>
                    <w:t>污染物</w:t>
                  </w:r>
                </w:p>
                <w:p w14:paraId="5C7D0DAF">
                  <w:pPr>
                    <w:snapToGrid w:val="0"/>
                    <w:jc w:val="center"/>
                    <w:rPr>
                      <w:rFonts w:eastAsiaTheme="minorEastAsia"/>
                      <w:b/>
                      <w:bCs/>
                      <w:color w:val="auto"/>
                      <w:szCs w:val="21"/>
                    </w:rPr>
                  </w:pPr>
                  <w:r>
                    <w:rPr>
                      <w:rFonts w:eastAsiaTheme="minorEastAsia"/>
                      <w:b/>
                      <w:bCs/>
                      <w:color w:val="auto"/>
                      <w:szCs w:val="21"/>
                    </w:rPr>
                    <w:t>产生量</w:t>
                  </w:r>
                </w:p>
                <w:p w14:paraId="0C7193C8">
                  <w:pPr>
                    <w:snapToGrid w:val="0"/>
                    <w:jc w:val="center"/>
                    <w:rPr>
                      <w:rFonts w:hint="eastAsia" w:eastAsiaTheme="minorEastAsia"/>
                      <w:b/>
                      <w:bCs/>
                      <w:color w:val="auto"/>
                      <w:szCs w:val="21"/>
                      <w:lang w:eastAsia="zh-CN"/>
                    </w:rPr>
                  </w:pPr>
                  <w:r>
                    <w:rPr>
                      <w:rFonts w:hint="eastAsia" w:eastAsiaTheme="minorEastAsia"/>
                      <w:b/>
                      <w:bCs/>
                      <w:color w:val="auto"/>
                      <w:szCs w:val="21"/>
                      <w:lang w:eastAsia="zh-CN"/>
                    </w:rPr>
                    <w:t>（</w:t>
                  </w:r>
                  <w:r>
                    <w:rPr>
                      <w:rFonts w:eastAsiaTheme="minorEastAsia"/>
                      <w:b/>
                      <w:bCs/>
                      <w:color w:val="auto"/>
                      <w:szCs w:val="21"/>
                    </w:rPr>
                    <w:t>t/a</w:t>
                  </w:r>
                  <w:r>
                    <w:rPr>
                      <w:rFonts w:hint="eastAsia" w:eastAsiaTheme="minorEastAsia"/>
                      <w:b/>
                      <w:bCs/>
                      <w:color w:val="auto"/>
                      <w:szCs w:val="21"/>
                      <w:lang w:eastAsia="zh-CN"/>
                    </w:rPr>
                    <w:t>）</w:t>
                  </w:r>
                </w:p>
              </w:tc>
              <w:tc>
                <w:tcPr>
                  <w:tcW w:w="492" w:type="pct"/>
                  <w:vAlign w:val="center"/>
                </w:tcPr>
                <w:p w14:paraId="4243C379">
                  <w:pPr>
                    <w:snapToGrid w:val="0"/>
                    <w:jc w:val="center"/>
                    <w:rPr>
                      <w:rFonts w:eastAsiaTheme="minorEastAsia"/>
                      <w:b/>
                      <w:bCs/>
                      <w:color w:val="auto"/>
                      <w:szCs w:val="21"/>
                    </w:rPr>
                  </w:pPr>
                  <w:r>
                    <w:rPr>
                      <w:rFonts w:eastAsiaTheme="minorEastAsia"/>
                      <w:b/>
                      <w:bCs/>
                      <w:color w:val="auto"/>
                      <w:szCs w:val="21"/>
                    </w:rPr>
                    <w:t>治理</w:t>
                  </w:r>
                </w:p>
                <w:p w14:paraId="4D64B842">
                  <w:pPr>
                    <w:snapToGrid w:val="0"/>
                    <w:jc w:val="center"/>
                    <w:rPr>
                      <w:rFonts w:eastAsiaTheme="minorEastAsia"/>
                      <w:b/>
                      <w:bCs/>
                      <w:color w:val="auto"/>
                      <w:szCs w:val="21"/>
                    </w:rPr>
                  </w:pPr>
                  <w:r>
                    <w:rPr>
                      <w:rFonts w:eastAsiaTheme="minorEastAsia"/>
                      <w:b/>
                      <w:bCs/>
                      <w:color w:val="auto"/>
                      <w:szCs w:val="21"/>
                    </w:rPr>
                    <w:t>措施</w:t>
                  </w:r>
                </w:p>
              </w:tc>
              <w:tc>
                <w:tcPr>
                  <w:tcW w:w="578" w:type="pct"/>
                  <w:vAlign w:val="center"/>
                </w:tcPr>
                <w:p w14:paraId="11A747CB">
                  <w:pPr>
                    <w:snapToGrid w:val="0"/>
                    <w:jc w:val="center"/>
                    <w:rPr>
                      <w:rFonts w:eastAsiaTheme="minorEastAsia"/>
                      <w:b/>
                      <w:bCs/>
                      <w:color w:val="auto"/>
                      <w:szCs w:val="21"/>
                    </w:rPr>
                  </w:pPr>
                  <w:r>
                    <w:rPr>
                      <w:rFonts w:eastAsiaTheme="minorEastAsia"/>
                      <w:b/>
                      <w:bCs/>
                      <w:color w:val="auto"/>
                      <w:szCs w:val="21"/>
                    </w:rPr>
                    <w:t>污染物</w:t>
                  </w:r>
                </w:p>
                <w:p w14:paraId="7997FBBA">
                  <w:pPr>
                    <w:snapToGrid w:val="0"/>
                    <w:jc w:val="center"/>
                    <w:rPr>
                      <w:rFonts w:eastAsiaTheme="minorEastAsia"/>
                      <w:b/>
                      <w:bCs/>
                      <w:color w:val="auto"/>
                      <w:szCs w:val="21"/>
                    </w:rPr>
                  </w:pPr>
                  <w:r>
                    <w:rPr>
                      <w:rFonts w:eastAsiaTheme="minorEastAsia"/>
                      <w:b/>
                      <w:bCs/>
                      <w:color w:val="auto"/>
                      <w:szCs w:val="21"/>
                    </w:rPr>
                    <w:t>排放浓度</w:t>
                  </w:r>
                </w:p>
                <w:p w14:paraId="73E92DF2">
                  <w:pPr>
                    <w:snapToGrid w:val="0"/>
                    <w:jc w:val="center"/>
                    <w:rPr>
                      <w:rFonts w:hint="eastAsia" w:eastAsiaTheme="minorEastAsia"/>
                      <w:b/>
                      <w:bCs/>
                      <w:color w:val="auto"/>
                      <w:szCs w:val="21"/>
                      <w:lang w:eastAsia="zh-CN"/>
                    </w:rPr>
                  </w:pPr>
                  <w:r>
                    <w:rPr>
                      <w:rFonts w:hint="eastAsia" w:eastAsiaTheme="minorEastAsia"/>
                      <w:b/>
                      <w:bCs/>
                      <w:color w:val="auto"/>
                      <w:szCs w:val="21"/>
                      <w:lang w:eastAsia="zh-CN"/>
                    </w:rPr>
                    <w:t>（</w:t>
                  </w:r>
                  <w:r>
                    <w:rPr>
                      <w:rFonts w:eastAsiaTheme="minorEastAsia"/>
                      <w:b/>
                      <w:bCs/>
                      <w:color w:val="auto"/>
                      <w:szCs w:val="21"/>
                    </w:rPr>
                    <w:t>mg/L</w:t>
                  </w:r>
                  <w:r>
                    <w:rPr>
                      <w:rFonts w:hint="eastAsia" w:eastAsiaTheme="minorEastAsia"/>
                      <w:b/>
                      <w:bCs/>
                      <w:color w:val="auto"/>
                      <w:szCs w:val="21"/>
                      <w:lang w:eastAsia="zh-CN"/>
                    </w:rPr>
                    <w:t>）</w:t>
                  </w:r>
                </w:p>
              </w:tc>
              <w:tc>
                <w:tcPr>
                  <w:tcW w:w="578" w:type="pct"/>
                  <w:vAlign w:val="center"/>
                </w:tcPr>
                <w:p w14:paraId="5954113F">
                  <w:pPr>
                    <w:snapToGrid w:val="0"/>
                    <w:jc w:val="center"/>
                    <w:rPr>
                      <w:rFonts w:eastAsiaTheme="minorEastAsia"/>
                      <w:b/>
                      <w:bCs/>
                      <w:color w:val="auto"/>
                      <w:szCs w:val="21"/>
                    </w:rPr>
                  </w:pPr>
                  <w:r>
                    <w:rPr>
                      <w:rFonts w:eastAsiaTheme="minorEastAsia"/>
                      <w:b/>
                      <w:bCs/>
                      <w:color w:val="auto"/>
                      <w:szCs w:val="21"/>
                    </w:rPr>
                    <w:t>污染物</w:t>
                  </w:r>
                </w:p>
                <w:p w14:paraId="0CC5D0B3">
                  <w:pPr>
                    <w:snapToGrid w:val="0"/>
                    <w:jc w:val="center"/>
                    <w:rPr>
                      <w:rFonts w:eastAsiaTheme="minorEastAsia"/>
                      <w:b/>
                      <w:bCs/>
                      <w:color w:val="auto"/>
                      <w:szCs w:val="21"/>
                    </w:rPr>
                  </w:pPr>
                  <w:r>
                    <w:rPr>
                      <w:rFonts w:eastAsiaTheme="minorEastAsia"/>
                      <w:b/>
                      <w:bCs/>
                      <w:color w:val="auto"/>
                      <w:szCs w:val="21"/>
                    </w:rPr>
                    <w:t>排放量</w:t>
                  </w:r>
                </w:p>
                <w:p w14:paraId="2513D7D6">
                  <w:pPr>
                    <w:snapToGrid w:val="0"/>
                    <w:jc w:val="center"/>
                    <w:rPr>
                      <w:rFonts w:hint="eastAsia" w:eastAsiaTheme="minorEastAsia"/>
                      <w:b/>
                      <w:bCs/>
                      <w:color w:val="auto"/>
                      <w:szCs w:val="21"/>
                      <w:lang w:eastAsia="zh-CN"/>
                    </w:rPr>
                  </w:pPr>
                  <w:r>
                    <w:rPr>
                      <w:rFonts w:hint="eastAsia" w:eastAsiaTheme="minorEastAsia"/>
                      <w:b/>
                      <w:bCs/>
                      <w:color w:val="auto"/>
                      <w:szCs w:val="21"/>
                      <w:lang w:eastAsia="zh-CN"/>
                    </w:rPr>
                    <w:t>（</w:t>
                  </w:r>
                  <w:r>
                    <w:rPr>
                      <w:rFonts w:eastAsiaTheme="minorEastAsia"/>
                      <w:b/>
                      <w:bCs/>
                      <w:color w:val="auto"/>
                      <w:szCs w:val="21"/>
                    </w:rPr>
                    <w:t>t/a</w:t>
                  </w:r>
                  <w:r>
                    <w:rPr>
                      <w:rFonts w:hint="eastAsia" w:eastAsiaTheme="minorEastAsia"/>
                      <w:b/>
                      <w:bCs/>
                      <w:color w:val="auto"/>
                      <w:szCs w:val="21"/>
                      <w:lang w:eastAsia="zh-CN"/>
                    </w:rPr>
                    <w:t>）</w:t>
                  </w:r>
                </w:p>
              </w:tc>
              <w:tc>
                <w:tcPr>
                  <w:tcW w:w="505" w:type="pct"/>
                  <w:vAlign w:val="center"/>
                </w:tcPr>
                <w:p w14:paraId="3B97D971">
                  <w:pPr>
                    <w:snapToGrid w:val="0"/>
                    <w:jc w:val="center"/>
                    <w:rPr>
                      <w:rFonts w:eastAsiaTheme="minorEastAsia"/>
                      <w:b/>
                      <w:bCs/>
                      <w:color w:val="auto"/>
                      <w:szCs w:val="21"/>
                    </w:rPr>
                  </w:pPr>
                  <w:r>
                    <w:rPr>
                      <w:rFonts w:eastAsiaTheme="minorEastAsia"/>
                      <w:b/>
                      <w:bCs/>
                      <w:color w:val="auto"/>
                      <w:szCs w:val="21"/>
                    </w:rPr>
                    <w:t>排放</w:t>
                  </w:r>
                </w:p>
                <w:p w14:paraId="61A9E46E">
                  <w:pPr>
                    <w:snapToGrid w:val="0"/>
                    <w:jc w:val="center"/>
                    <w:rPr>
                      <w:rFonts w:eastAsiaTheme="minorEastAsia"/>
                      <w:b/>
                      <w:bCs/>
                      <w:color w:val="auto"/>
                      <w:szCs w:val="21"/>
                    </w:rPr>
                  </w:pPr>
                  <w:r>
                    <w:rPr>
                      <w:rFonts w:eastAsiaTheme="minorEastAsia"/>
                      <w:b/>
                      <w:bCs/>
                      <w:color w:val="auto"/>
                      <w:szCs w:val="21"/>
                    </w:rPr>
                    <w:t>去向</w:t>
                  </w:r>
                </w:p>
              </w:tc>
            </w:tr>
            <w:tr w14:paraId="01592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456" w:type="pct"/>
                  <w:vMerge w:val="restart"/>
                  <w:vAlign w:val="center"/>
                </w:tcPr>
                <w:p w14:paraId="58D13782">
                  <w:pPr>
                    <w:snapToGrid w:val="0"/>
                    <w:jc w:val="center"/>
                    <w:rPr>
                      <w:rFonts w:eastAsiaTheme="minorEastAsia"/>
                      <w:color w:val="auto"/>
                      <w:szCs w:val="21"/>
                    </w:rPr>
                  </w:pPr>
                  <w:r>
                    <w:rPr>
                      <w:rFonts w:eastAsiaTheme="minorEastAsia"/>
                      <w:color w:val="auto"/>
                      <w:szCs w:val="21"/>
                    </w:rPr>
                    <w:t>生活</w:t>
                  </w:r>
                </w:p>
                <w:p w14:paraId="7936BCAE">
                  <w:pPr>
                    <w:snapToGrid w:val="0"/>
                    <w:jc w:val="center"/>
                    <w:rPr>
                      <w:rFonts w:eastAsiaTheme="minorEastAsia"/>
                      <w:b/>
                      <w:bCs/>
                      <w:color w:val="auto"/>
                      <w:szCs w:val="21"/>
                    </w:rPr>
                  </w:pPr>
                  <w:r>
                    <w:rPr>
                      <w:rFonts w:eastAsiaTheme="minorEastAsia"/>
                      <w:color w:val="auto"/>
                      <w:szCs w:val="21"/>
                    </w:rPr>
                    <w:t>污水</w:t>
                  </w:r>
                </w:p>
              </w:tc>
              <w:tc>
                <w:tcPr>
                  <w:tcW w:w="536" w:type="pct"/>
                  <w:vMerge w:val="restart"/>
                  <w:vAlign w:val="center"/>
                </w:tcPr>
                <w:p w14:paraId="2D8F8EB9">
                  <w:pPr>
                    <w:snapToGrid w:val="0"/>
                    <w:jc w:val="center"/>
                    <w:rPr>
                      <w:rFonts w:hint="default" w:eastAsiaTheme="minorEastAsia"/>
                      <w:b/>
                      <w:bCs/>
                      <w:color w:val="auto"/>
                      <w:szCs w:val="21"/>
                      <w:lang w:val="en-US" w:eastAsia="zh-CN"/>
                    </w:rPr>
                  </w:pPr>
                  <w:r>
                    <w:rPr>
                      <w:rFonts w:hint="eastAsia" w:eastAsiaTheme="minorEastAsia"/>
                      <w:color w:val="auto"/>
                      <w:szCs w:val="21"/>
                      <w:lang w:val="en-US" w:eastAsia="zh-CN"/>
                    </w:rPr>
                    <w:t>648</w:t>
                  </w:r>
                </w:p>
              </w:tc>
              <w:tc>
                <w:tcPr>
                  <w:tcW w:w="680" w:type="pct"/>
                  <w:vAlign w:val="center"/>
                </w:tcPr>
                <w:p w14:paraId="5CFAE1FA">
                  <w:pPr>
                    <w:snapToGrid w:val="0"/>
                    <w:jc w:val="center"/>
                    <w:rPr>
                      <w:rFonts w:eastAsiaTheme="minorEastAsia"/>
                      <w:b/>
                      <w:bCs/>
                      <w:color w:val="auto"/>
                      <w:szCs w:val="21"/>
                    </w:rPr>
                  </w:pPr>
                  <w:r>
                    <w:rPr>
                      <w:rFonts w:eastAsiaTheme="minorEastAsia"/>
                      <w:color w:val="auto"/>
                      <w:szCs w:val="21"/>
                    </w:rPr>
                    <w:t>pH</w:t>
                  </w:r>
                </w:p>
              </w:tc>
              <w:tc>
                <w:tcPr>
                  <w:tcW w:w="1172" w:type="pct"/>
                  <w:gridSpan w:val="2"/>
                  <w:vAlign w:val="center"/>
                </w:tcPr>
                <w:p w14:paraId="3C7FA870">
                  <w:pPr>
                    <w:snapToGrid w:val="0"/>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eastAsiaTheme="minorEastAsia"/>
                      <w:color w:val="auto"/>
                      <w:szCs w:val="21"/>
                      <w:lang w:eastAsia="zh-CN"/>
                    </w:rPr>
                    <w:t>6.5～9.5</w:t>
                  </w:r>
                </w:p>
              </w:tc>
              <w:tc>
                <w:tcPr>
                  <w:tcW w:w="492" w:type="pct"/>
                  <w:vMerge w:val="restart"/>
                  <w:vAlign w:val="center"/>
                </w:tcPr>
                <w:p w14:paraId="7FCEC6B0">
                  <w:pPr>
                    <w:snapToGrid w:val="0"/>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eastAsiaTheme="minorEastAsia"/>
                      <w:color w:val="auto"/>
                      <w:szCs w:val="21"/>
                      <w:lang w:eastAsia="zh-CN"/>
                    </w:rPr>
                    <w:t>化粪池（</w:t>
                  </w:r>
                  <w:r>
                    <w:rPr>
                      <w:rFonts w:hint="eastAsia" w:ascii="Times New Roman" w:hAnsi="Times New Roman" w:cs="Times New Roman" w:eastAsiaTheme="minorEastAsia"/>
                      <w:color w:val="auto"/>
                      <w:szCs w:val="21"/>
                      <w:lang w:val="en-US" w:eastAsia="zh-CN"/>
                    </w:rPr>
                    <w:t>依托</w:t>
                  </w:r>
                  <w:r>
                    <w:rPr>
                      <w:rFonts w:hint="eastAsia" w:ascii="Times New Roman" w:hAnsi="Times New Roman" w:cs="Times New Roman" w:eastAsiaTheme="minorEastAsia"/>
                      <w:color w:val="auto"/>
                      <w:szCs w:val="21"/>
                      <w:lang w:eastAsia="zh-CN"/>
                    </w:rPr>
                    <w:t>）</w:t>
                  </w:r>
                </w:p>
              </w:tc>
              <w:tc>
                <w:tcPr>
                  <w:tcW w:w="1156" w:type="pct"/>
                  <w:gridSpan w:val="2"/>
                  <w:vAlign w:val="center"/>
                </w:tcPr>
                <w:p w14:paraId="15775B7C">
                  <w:pPr>
                    <w:snapToGrid w:val="0"/>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eastAsiaTheme="minorEastAsia"/>
                      <w:color w:val="auto"/>
                      <w:szCs w:val="21"/>
                      <w:lang w:eastAsia="zh-CN"/>
                    </w:rPr>
                    <w:t>6.5～9.5</w:t>
                  </w:r>
                </w:p>
              </w:tc>
              <w:tc>
                <w:tcPr>
                  <w:tcW w:w="505" w:type="pct"/>
                  <w:vMerge w:val="restart"/>
                  <w:vAlign w:val="center"/>
                </w:tcPr>
                <w:p w14:paraId="49985088">
                  <w:pPr>
                    <w:snapToGrid w:val="0"/>
                    <w:jc w:val="center"/>
                    <w:rPr>
                      <w:rFonts w:hint="eastAsia" w:eastAsiaTheme="minorEastAsia"/>
                      <w:bCs/>
                      <w:color w:val="auto"/>
                      <w:szCs w:val="21"/>
                      <w:lang w:eastAsia="zh-CN"/>
                    </w:rPr>
                  </w:pPr>
                  <w:r>
                    <w:rPr>
                      <w:rFonts w:eastAsiaTheme="minorEastAsia"/>
                      <w:bCs/>
                      <w:color w:val="auto"/>
                      <w:szCs w:val="21"/>
                    </w:rPr>
                    <w:t>接管排入</w:t>
                  </w:r>
                  <w:r>
                    <w:rPr>
                      <w:rFonts w:hint="eastAsia" w:eastAsiaTheme="minorEastAsia"/>
                      <w:color w:val="auto"/>
                      <w:szCs w:val="21"/>
                      <w:lang w:eastAsia="zh-CN"/>
                    </w:rPr>
                    <w:t>常州市江边污水处理厂</w:t>
                  </w:r>
                </w:p>
              </w:tc>
            </w:tr>
            <w:tr w14:paraId="29FFD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456" w:type="pct"/>
                  <w:vMerge w:val="continue"/>
                  <w:vAlign w:val="center"/>
                </w:tcPr>
                <w:p w14:paraId="5797DFB6">
                  <w:pPr>
                    <w:snapToGrid w:val="0"/>
                    <w:jc w:val="center"/>
                    <w:rPr>
                      <w:rFonts w:eastAsiaTheme="minorEastAsia"/>
                      <w:color w:val="auto"/>
                      <w:szCs w:val="21"/>
                    </w:rPr>
                  </w:pPr>
                </w:p>
              </w:tc>
              <w:tc>
                <w:tcPr>
                  <w:tcW w:w="536" w:type="pct"/>
                  <w:vMerge w:val="continue"/>
                  <w:vAlign w:val="center"/>
                </w:tcPr>
                <w:p w14:paraId="2ABA0A19">
                  <w:pPr>
                    <w:snapToGrid w:val="0"/>
                    <w:jc w:val="center"/>
                    <w:rPr>
                      <w:rFonts w:eastAsiaTheme="minorEastAsia"/>
                      <w:color w:val="auto"/>
                      <w:szCs w:val="21"/>
                    </w:rPr>
                  </w:pPr>
                </w:p>
              </w:tc>
              <w:tc>
                <w:tcPr>
                  <w:tcW w:w="680" w:type="pct"/>
                  <w:vAlign w:val="center"/>
                </w:tcPr>
                <w:p w14:paraId="4AD2608B">
                  <w:pPr>
                    <w:snapToGrid w:val="0"/>
                    <w:jc w:val="center"/>
                    <w:rPr>
                      <w:rFonts w:eastAsiaTheme="minorEastAsia"/>
                      <w:color w:val="auto"/>
                      <w:szCs w:val="21"/>
                    </w:rPr>
                  </w:pPr>
                  <w:r>
                    <w:rPr>
                      <w:rFonts w:eastAsiaTheme="minorEastAsia"/>
                      <w:color w:val="auto"/>
                      <w:szCs w:val="21"/>
                    </w:rPr>
                    <w:t>COD</w:t>
                  </w:r>
                </w:p>
              </w:tc>
              <w:tc>
                <w:tcPr>
                  <w:tcW w:w="579" w:type="pct"/>
                  <w:vAlign w:val="center"/>
                </w:tcPr>
                <w:p w14:paraId="146B7D0A">
                  <w:pPr>
                    <w:snapToGrid w:val="0"/>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eastAsiaTheme="minorEastAsia"/>
                      <w:color w:val="auto"/>
                      <w:szCs w:val="21"/>
                      <w:lang w:eastAsia="zh-CN"/>
                    </w:rPr>
                    <w:t>400</w:t>
                  </w:r>
                </w:p>
              </w:tc>
              <w:tc>
                <w:tcPr>
                  <w:tcW w:w="593" w:type="pct"/>
                  <w:shd w:val="clear" w:color="auto" w:fill="auto"/>
                  <w:vAlign w:val="center"/>
                </w:tcPr>
                <w:p w14:paraId="3964BC9F">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 xml:space="preserve">0.259 </w:t>
                  </w:r>
                </w:p>
              </w:tc>
              <w:tc>
                <w:tcPr>
                  <w:tcW w:w="492" w:type="pct"/>
                  <w:vMerge w:val="continue"/>
                  <w:vAlign w:val="center"/>
                </w:tcPr>
                <w:p w14:paraId="0DF5B895">
                  <w:pPr>
                    <w:snapToGrid w:val="0"/>
                    <w:jc w:val="center"/>
                    <w:rPr>
                      <w:rFonts w:hint="eastAsia" w:ascii="Times New Roman" w:hAnsi="Times New Roman" w:cs="Times New Roman" w:eastAsiaTheme="minorEastAsia"/>
                      <w:color w:val="auto"/>
                      <w:szCs w:val="21"/>
                      <w:lang w:eastAsia="zh-CN"/>
                    </w:rPr>
                  </w:pPr>
                </w:p>
              </w:tc>
              <w:tc>
                <w:tcPr>
                  <w:tcW w:w="578" w:type="pct"/>
                  <w:vAlign w:val="center"/>
                </w:tcPr>
                <w:p w14:paraId="073E0A69">
                  <w:pPr>
                    <w:snapToGrid w:val="0"/>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eastAsiaTheme="minorEastAsia"/>
                      <w:color w:val="auto"/>
                      <w:szCs w:val="21"/>
                      <w:lang w:eastAsia="zh-CN"/>
                    </w:rPr>
                    <w:t>400</w:t>
                  </w:r>
                </w:p>
              </w:tc>
              <w:tc>
                <w:tcPr>
                  <w:tcW w:w="578" w:type="pct"/>
                  <w:shd w:val="clear" w:color="auto" w:fill="auto"/>
                  <w:vAlign w:val="center"/>
                </w:tcPr>
                <w:p w14:paraId="39872CFD">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 xml:space="preserve">0.259 </w:t>
                  </w:r>
                </w:p>
              </w:tc>
              <w:tc>
                <w:tcPr>
                  <w:tcW w:w="505" w:type="pct"/>
                  <w:vMerge w:val="continue"/>
                  <w:vAlign w:val="center"/>
                </w:tcPr>
                <w:p w14:paraId="7FC97FAE">
                  <w:pPr>
                    <w:adjustRightInd w:val="0"/>
                    <w:snapToGrid w:val="0"/>
                    <w:jc w:val="center"/>
                    <w:rPr>
                      <w:rFonts w:eastAsiaTheme="minorEastAsia"/>
                      <w:color w:val="auto"/>
                      <w:szCs w:val="21"/>
                      <w:lang w:val="en-GB"/>
                    </w:rPr>
                  </w:pPr>
                </w:p>
              </w:tc>
            </w:tr>
            <w:tr w14:paraId="07017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6" w:type="pct"/>
                  <w:vMerge w:val="continue"/>
                  <w:vAlign w:val="center"/>
                </w:tcPr>
                <w:p w14:paraId="6CD4B2B6">
                  <w:pPr>
                    <w:snapToGrid w:val="0"/>
                    <w:jc w:val="center"/>
                    <w:rPr>
                      <w:rFonts w:eastAsiaTheme="minorEastAsia"/>
                      <w:color w:val="auto"/>
                      <w:szCs w:val="21"/>
                    </w:rPr>
                  </w:pPr>
                </w:p>
              </w:tc>
              <w:tc>
                <w:tcPr>
                  <w:tcW w:w="536" w:type="pct"/>
                  <w:vMerge w:val="continue"/>
                  <w:vAlign w:val="center"/>
                </w:tcPr>
                <w:p w14:paraId="3FA983D7">
                  <w:pPr>
                    <w:snapToGrid w:val="0"/>
                    <w:jc w:val="center"/>
                    <w:rPr>
                      <w:rFonts w:eastAsiaTheme="minorEastAsia"/>
                      <w:color w:val="auto"/>
                      <w:szCs w:val="21"/>
                    </w:rPr>
                  </w:pPr>
                </w:p>
              </w:tc>
              <w:tc>
                <w:tcPr>
                  <w:tcW w:w="680" w:type="pct"/>
                  <w:vAlign w:val="center"/>
                </w:tcPr>
                <w:p w14:paraId="6A1F734F">
                  <w:pPr>
                    <w:snapToGrid w:val="0"/>
                    <w:jc w:val="center"/>
                    <w:rPr>
                      <w:rFonts w:eastAsiaTheme="minorEastAsia"/>
                      <w:color w:val="auto"/>
                      <w:szCs w:val="21"/>
                    </w:rPr>
                  </w:pPr>
                  <w:r>
                    <w:rPr>
                      <w:rFonts w:eastAsiaTheme="minorEastAsia"/>
                      <w:color w:val="auto"/>
                      <w:szCs w:val="21"/>
                    </w:rPr>
                    <w:t>SS</w:t>
                  </w:r>
                </w:p>
              </w:tc>
              <w:tc>
                <w:tcPr>
                  <w:tcW w:w="579" w:type="pct"/>
                  <w:vAlign w:val="center"/>
                </w:tcPr>
                <w:p w14:paraId="6D2C0DD2">
                  <w:pPr>
                    <w:snapToGrid w:val="0"/>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eastAsiaTheme="minorEastAsia"/>
                      <w:color w:val="auto"/>
                      <w:szCs w:val="21"/>
                      <w:lang w:eastAsia="zh-CN"/>
                    </w:rPr>
                    <w:t>250</w:t>
                  </w:r>
                </w:p>
              </w:tc>
              <w:tc>
                <w:tcPr>
                  <w:tcW w:w="593" w:type="pct"/>
                  <w:shd w:val="clear" w:color="auto" w:fill="auto"/>
                  <w:vAlign w:val="center"/>
                </w:tcPr>
                <w:p w14:paraId="16476E70">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 xml:space="preserve">0.162 </w:t>
                  </w:r>
                </w:p>
              </w:tc>
              <w:tc>
                <w:tcPr>
                  <w:tcW w:w="492" w:type="pct"/>
                  <w:vMerge w:val="continue"/>
                  <w:vAlign w:val="center"/>
                </w:tcPr>
                <w:p w14:paraId="762436F2">
                  <w:pPr>
                    <w:snapToGrid w:val="0"/>
                    <w:jc w:val="center"/>
                    <w:rPr>
                      <w:rFonts w:hint="eastAsia" w:ascii="Times New Roman" w:hAnsi="Times New Roman" w:cs="Times New Roman" w:eastAsiaTheme="minorEastAsia"/>
                      <w:color w:val="auto"/>
                      <w:szCs w:val="21"/>
                      <w:lang w:eastAsia="zh-CN"/>
                    </w:rPr>
                  </w:pPr>
                </w:p>
              </w:tc>
              <w:tc>
                <w:tcPr>
                  <w:tcW w:w="578" w:type="pct"/>
                  <w:vAlign w:val="center"/>
                </w:tcPr>
                <w:p w14:paraId="66868519">
                  <w:pPr>
                    <w:snapToGrid w:val="0"/>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eastAsiaTheme="minorEastAsia"/>
                      <w:color w:val="auto"/>
                      <w:szCs w:val="21"/>
                      <w:lang w:eastAsia="zh-CN"/>
                    </w:rPr>
                    <w:t>250</w:t>
                  </w:r>
                </w:p>
              </w:tc>
              <w:tc>
                <w:tcPr>
                  <w:tcW w:w="578" w:type="pct"/>
                  <w:shd w:val="clear" w:color="auto" w:fill="auto"/>
                  <w:vAlign w:val="center"/>
                </w:tcPr>
                <w:p w14:paraId="2F84DEEF">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 xml:space="preserve">0.162 </w:t>
                  </w:r>
                </w:p>
              </w:tc>
              <w:tc>
                <w:tcPr>
                  <w:tcW w:w="505" w:type="pct"/>
                  <w:vMerge w:val="continue"/>
                  <w:vAlign w:val="center"/>
                </w:tcPr>
                <w:p w14:paraId="0328593A">
                  <w:pPr>
                    <w:adjustRightInd w:val="0"/>
                    <w:snapToGrid w:val="0"/>
                    <w:jc w:val="center"/>
                    <w:rPr>
                      <w:rFonts w:eastAsiaTheme="minorEastAsia"/>
                      <w:color w:val="auto"/>
                      <w:szCs w:val="21"/>
                      <w:lang w:val="en-GB"/>
                    </w:rPr>
                  </w:pPr>
                </w:p>
              </w:tc>
            </w:tr>
            <w:tr w14:paraId="0820E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456" w:type="pct"/>
                  <w:vMerge w:val="continue"/>
                  <w:vAlign w:val="center"/>
                </w:tcPr>
                <w:p w14:paraId="6F2A024C">
                  <w:pPr>
                    <w:snapToGrid w:val="0"/>
                    <w:jc w:val="center"/>
                    <w:rPr>
                      <w:rFonts w:eastAsiaTheme="minorEastAsia"/>
                      <w:color w:val="auto"/>
                      <w:szCs w:val="21"/>
                    </w:rPr>
                  </w:pPr>
                </w:p>
              </w:tc>
              <w:tc>
                <w:tcPr>
                  <w:tcW w:w="536" w:type="pct"/>
                  <w:vMerge w:val="continue"/>
                  <w:vAlign w:val="center"/>
                </w:tcPr>
                <w:p w14:paraId="2DCD0A58">
                  <w:pPr>
                    <w:snapToGrid w:val="0"/>
                    <w:jc w:val="center"/>
                    <w:rPr>
                      <w:rFonts w:eastAsiaTheme="minorEastAsia"/>
                      <w:color w:val="auto"/>
                      <w:szCs w:val="21"/>
                    </w:rPr>
                  </w:pPr>
                </w:p>
              </w:tc>
              <w:tc>
                <w:tcPr>
                  <w:tcW w:w="680" w:type="pct"/>
                  <w:vAlign w:val="center"/>
                </w:tcPr>
                <w:p w14:paraId="250DC2B1">
                  <w:pPr>
                    <w:snapToGrid w:val="0"/>
                    <w:jc w:val="center"/>
                    <w:rPr>
                      <w:rFonts w:eastAsiaTheme="minorEastAsia"/>
                      <w:color w:val="auto"/>
                      <w:szCs w:val="21"/>
                    </w:rPr>
                  </w:pPr>
                  <w:r>
                    <w:rPr>
                      <w:rFonts w:eastAsiaTheme="minorEastAsia"/>
                      <w:color w:val="auto"/>
                      <w:szCs w:val="21"/>
                    </w:rPr>
                    <w:t>氨氮</w:t>
                  </w:r>
                </w:p>
              </w:tc>
              <w:tc>
                <w:tcPr>
                  <w:tcW w:w="579" w:type="pct"/>
                  <w:vAlign w:val="center"/>
                </w:tcPr>
                <w:p w14:paraId="338D3D43">
                  <w:pPr>
                    <w:snapToGrid w:val="0"/>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eastAsiaTheme="minorEastAsia"/>
                      <w:color w:val="auto"/>
                      <w:szCs w:val="21"/>
                      <w:lang w:eastAsia="zh-CN"/>
                    </w:rPr>
                    <w:t>30</w:t>
                  </w:r>
                </w:p>
              </w:tc>
              <w:tc>
                <w:tcPr>
                  <w:tcW w:w="593" w:type="pct"/>
                  <w:shd w:val="clear" w:color="auto" w:fill="auto"/>
                  <w:vAlign w:val="center"/>
                </w:tcPr>
                <w:p w14:paraId="4F3EF2F2">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 xml:space="preserve">0.019 </w:t>
                  </w:r>
                </w:p>
              </w:tc>
              <w:tc>
                <w:tcPr>
                  <w:tcW w:w="492" w:type="pct"/>
                  <w:vMerge w:val="continue"/>
                  <w:vAlign w:val="center"/>
                </w:tcPr>
                <w:p w14:paraId="1A7C9F37">
                  <w:pPr>
                    <w:snapToGrid w:val="0"/>
                    <w:jc w:val="center"/>
                    <w:rPr>
                      <w:rFonts w:hint="eastAsia" w:ascii="Times New Roman" w:hAnsi="Times New Roman" w:cs="Times New Roman" w:eastAsiaTheme="minorEastAsia"/>
                      <w:color w:val="auto"/>
                      <w:szCs w:val="21"/>
                      <w:lang w:eastAsia="zh-CN"/>
                    </w:rPr>
                  </w:pPr>
                </w:p>
              </w:tc>
              <w:tc>
                <w:tcPr>
                  <w:tcW w:w="578" w:type="pct"/>
                  <w:vAlign w:val="center"/>
                </w:tcPr>
                <w:p w14:paraId="1982D1DC">
                  <w:pPr>
                    <w:snapToGrid w:val="0"/>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eastAsiaTheme="minorEastAsia"/>
                      <w:color w:val="auto"/>
                      <w:szCs w:val="21"/>
                      <w:lang w:eastAsia="zh-CN"/>
                    </w:rPr>
                    <w:t>30</w:t>
                  </w:r>
                </w:p>
              </w:tc>
              <w:tc>
                <w:tcPr>
                  <w:tcW w:w="578" w:type="pct"/>
                  <w:shd w:val="clear" w:color="auto" w:fill="auto"/>
                  <w:vAlign w:val="center"/>
                </w:tcPr>
                <w:p w14:paraId="7DA92531">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 xml:space="preserve">0.019 </w:t>
                  </w:r>
                </w:p>
              </w:tc>
              <w:tc>
                <w:tcPr>
                  <w:tcW w:w="505" w:type="pct"/>
                  <w:vMerge w:val="continue"/>
                  <w:vAlign w:val="center"/>
                </w:tcPr>
                <w:p w14:paraId="70577CD0">
                  <w:pPr>
                    <w:adjustRightInd w:val="0"/>
                    <w:snapToGrid w:val="0"/>
                    <w:jc w:val="center"/>
                    <w:rPr>
                      <w:rFonts w:eastAsiaTheme="minorEastAsia"/>
                      <w:color w:val="auto"/>
                      <w:szCs w:val="21"/>
                      <w:lang w:val="en-GB"/>
                    </w:rPr>
                  </w:pPr>
                </w:p>
              </w:tc>
            </w:tr>
            <w:tr w14:paraId="04B2F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6" w:type="pct"/>
                  <w:vMerge w:val="continue"/>
                  <w:vAlign w:val="center"/>
                </w:tcPr>
                <w:p w14:paraId="1C68E7AD">
                  <w:pPr>
                    <w:snapToGrid w:val="0"/>
                    <w:jc w:val="center"/>
                    <w:rPr>
                      <w:rFonts w:eastAsiaTheme="minorEastAsia"/>
                      <w:color w:val="auto"/>
                      <w:szCs w:val="21"/>
                    </w:rPr>
                  </w:pPr>
                </w:p>
              </w:tc>
              <w:tc>
                <w:tcPr>
                  <w:tcW w:w="536" w:type="pct"/>
                  <w:vMerge w:val="continue"/>
                  <w:vAlign w:val="center"/>
                </w:tcPr>
                <w:p w14:paraId="5FD9AE42">
                  <w:pPr>
                    <w:snapToGrid w:val="0"/>
                    <w:jc w:val="center"/>
                    <w:rPr>
                      <w:rFonts w:eastAsiaTheme="minorEastAsia"/>
                      <w:color w:val="auto"/>
                      <w:szCs w:val="21"/>
                    </w:rPr>
                  </w:pPr>
                </w:p>
              </w:tc>
              <w:tc>
                <w:tcPr>
                  <w:tcW w:w="680" w:type="pct"/>
                  <w:vAlign w:val="center"/>
                </w:tcPr>
                <w:p w14:paraId="3B8766C2">
                  <w:pPr>
                    <w:snapToGrid w:val="0"/>
                    <w:jc w:val="center"/>
                    <w:rPr>
                      <w:rFonts w:eastAsiaTheme="minorEastAsia"/>
                      <w:color w:val="auto"/>
                      <w:szCs w:val="21"/>
                    </w:rPr>
                  </w:pPr>
                  <w:r>
                    <w:rPr>
                      <w:rFonts w:eastAsiaTheme="minorEastAsia"/>
                      <w:color w:val="auto"/>
                      <w:szCs w:val="21"/>
                    </w:rPr>
                    <w:t>总磷</w:t>
                  </w:r>
                </w:p>
              </w:tc>
              <w:tc>
                <w:tcPr>
                  <w:tcW w:w="579" w:type="pct"/>
                  <w:vAlign w:val="center"/>
                </w:tcPr>
                <w:p w14:paraId="0590FD87">
                  <w:pPr>
                    <w:snapToGrid w:val="0"/>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eastAsiaTheme="minorEastAsia"/>
                      <w:color w:val="auto"/>
                      <w:szCs w:val="21"/>
                      <w:lang w:eastAsia="zh-CN"/>
                    </w:rPr>
                    <w:t>5</w:t>
                  </w:r>
                </w:p>
              </w:tc>
              <w:tc>
                <w:tcPr>
                  <w:tcW w:w="593" w:type="pct"/>
                  <w:shd w:val="clear" w:color="auto" w:fill="auto"/>
                  <w:vAlign w:val="center"/>
                </w:tcPr>
                <w:p w14:paraId="1F8CC0FB">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 xml:space="preserve">0.003 </w:t>
                  </w:r>
                </w:p>
              </w:tc>
              <w:tc>
                <w:tcPr>
                  <w:tcW w:w="492" w:type="pct"/>
                  <w:vMerge w:val="continue"/>
                  <w:vAlign w:val="center"/>
                </w:tcPr>
                <w:p w14:paraId="762E6AC8">
                  <w:pPr>
                    <w:snapToGrid w:val="0"/>
                    <w:jc w:val="center"/>
                    <w:rPr>
                      <w:rFonts w:hint="eastAsia" w:ascii="Times New Roman" w:hAnsi="Times New Roman" w:cs="Times New Roman" w:eastAsiaTheme="minorEastAsia"/>
                      <w:color w:val="auto"/>
                      <w:szCs w:val="21"/>
                      <w:lang w:eastAsia="zh-CN"/>
                    </w:rPr>
                  </w:pPr>
                </w:p>
              </w:tc>
              <w:tc>
                <w:tcPr>
                  <w:tcW w:w="578" w:type="pct"/>
                  <w:vAlign w:val="center"/>
                </w:tcPr>
                <w:p w14:paraId="7380D1F7">
                  <w:pPr>
                    <w:snapToGrid w:val="0"/>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eastAsiaTheme="minorEastAsia"/>
                      <w:color w:val="auto"/>
                      <w:szCs w:val="21"/>
                      <w:lang w:eastAsia="zh-CN"/>
                    </w:rPr>
                    <w:t>5</w:t>
                  </w:r>
                </w:p>
              </w:tc>
              <w:tc>
                <w:tcPr>
                  <w:tcW w:w="578" w:type="pct"/>
                  <w:shd w:val="clear" w:color="auto" w:fill="auto"/>
                  <w:vAlign w:val="center"/>
                </w:tcPr>
                <w:p w14:paraId="27C45E79">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 xml:space="preserve">0.003 </w:t>
                  </w:r>
                </w:p>
              </w:tc>
              <w:tc>
                <w:tcPr>
                  <w:tcW w:w="505" w:type="pct"/>
                  <w:vMerge w:val="continue"/>
                  <w:vAlign w:val="center"/>
                </w:tcPr>
                <w:p w14:paraId="3722A385">
                  <w:pPr>
                    <w:adjustRightInd w:val="0"/>
                    <w:snapToGrid w:val="0"/>
                    <w:jc w:val="center"/>
                    <w:rPr>
                      <w:rFonts w:eastAsiaTheme="minorEastAsia"/>
                      <w:color w:val="auto"/>
                      <w:szCs w:val="21"/>
                      <w:lang w:val="en-GB"/>
                    </w:rPr>
                  </w:pPr>
                </w:p>
              </w:tc>
            </w:tr>
            <w:tr w14:paraId="14359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456" w:type="pct"/>
                  <w:vMerge w:val="continue"/>
                  <w:vAlign w:val="center"/>
                </w:tcPr>
                <w:p w14:paraId="761DEA0F">
                  <w:pPr>
                    <w:snapToGrid w:val="0"/>
                    <w:jc w:val="center"/>
                    <w:rPr>
                      <w:rFonts w:eastAsiaTheme="minorEastAsia"/>
                      <w:color w:val="auto"/>
                      <w:szCs w:val="21"/>
                    </w:rPr>
                  </w:pPr>
                </w:p>
              </w:tc>
              <w:tc>
                <w:tcPr>
                  <w:tcW w:w="536" w:type="pct"/>
                  <w:vMerge w:val="continue"/>
                  <w:vAlign w:val="center"/>
                </w:tcPr>
                <w:p w14:paraId="03CA56B7">
                  <w:pPr>
                    <w:snapToGrid w:val="0"/>
                    <w:jc w:val="center"/>
                    <w:rPr>
                      <w:rFonts w:eastAsiaTheme="minorEastAsia"/>
                      <w:color w:val="auto"/>
                      <w:szCs w:val="21"/>
                    </w:rPr>
                  </w:pPr>
                </w:p>
              </w:tc>
              <w:tc>
                <w:tcPr>
                  <w:tcW w:w="680" w:type="pct"/>
                  <w:vAlign w:val="center"/>
                </w:tcPr>
                <w:p w14:paraId="17DB28F9">
                  <w:pPr>
                    <w:snapToGrid w:val="0"/>
                    <w:jc w:val="center"/>
                    <w:rPr>
                      <w:rFonts w:eastAsiaTheme="minorEastAsia"/>
                      <w:color w:val="auto"/>
                      <w:szCs w:val="21"/>
                    </w:rPr>
                  </w:pPr>
                  <w:r>
                    <w:rPr>
                      <w:rFonts w:hint="eastAsia" w:eastAsiaTheme="minorEastAsia"/>
                      <w:color w:val="auto"/>
                      <w:szCs w:val="21"/>
                    </w:rPr>
                    <w:t>总氮</w:t>
                  </w:r>
                </w:p>
              </w:tc>
              <w:tc>
                <w:tcPr>
                  <w:tcW w:w="579" w:type="pct"/>
                  <w:vAlign w:val="center"/>
                </w:tcPr>
                <w:p w14:paraId="00FFEAF8">
                  <w:pPr>
                    <w:snapToGrid w:val="0"/>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eastAsiaTheme="minorEastAsia"/>
                      <w:color w:val="auto"/>
                      <w:szCs w:val="21"/>
                      <w:lang w:eastAsia="zh-CN"/>
                    </w:rPr>
                    <w:t>50</w:t>
                  </w:r>
                </w:p>
              </w:tc>
              <w:tc>
                <w:tcPr>
                  <w:tcW w:w="593" w:type="pct"/>
                  <w:shd w:val="clear" w:color="auto" w:fill="auto"/>
                  <w:vAlign w:val="center"/>
                </w:tcPr>
                <w:p w14:paraId="5310A2A0">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 xml:space="preserve">0.032 </w:t>
                  </w:r>
                </w:p>
              </w:tc>
              <w:tc>
                <w:tcPr>
                  <w:tcW w:w="492" w:type="pct"/>
                  <w:vMerge w:val="continue"/>
                  <w:vAlign w:val="center"/>
                </w:tcPr>
                <w:p w14:paraId="17A3BD87">
                  <w:pPr>
                    <w:snapToGrid w:val="0"/>
                    <w:jc w:val="center"/>
                    <w:rPr>
                      <w:rFonts w:hint="eastAsia" w:ascii="Times New Roman" w:hAnsi="Times New Roman" w:cs="Times New Roman" w:eastAsiaTheme="minorEastAsia"/>
                      <w:color w:val="auto"/>
                      <w:szCs w:val="21"/>
                      <w:lang w:eastAsia="zh-CN"/>
                    </w:rPr>
                  </w:pPr>
                </w:p>
              </w:tc>
              <w:tc>
                <w:tcPr>
                  <w:tcW w:w="578" w:type="pct"/>
                  <w:vAlign w:val="center"/>
                </w:tcPr>
                <w:p w14:paraId="5B4622CE">
                  <w:pPr>
                    <w:snapToGrid w:val="0"/>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eastAsiaTheme="minorEastAsia"/>
                      <w:color w:val="auto"/>
                      <w:szCs w:val="21"/>
                      <w:lang w:eastAsia="zh-CN"/>
                    </w:rPr>
                    <w:t>50</w:t>
                  </w:r>
                </w:p>
              </w:tc>
              <w:tc>
                <w:tcPr>
                  <w:tcW w:w="578" w:type="pct"/>
                  <w:shd w:val="clear" w:color="auto" w:fill="auto"/>
                  <w:vAlign w:val="center"/>
                </w:tcPr>
                <w:p w14:paraId="3E3334FD">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 xml:space="preserve">0.032 </w:t>
                  </w:r>
                </w:p>
              </w:tc>
              <w:tc>
                <w:tcPr>
                  <w:tcW w:w="505" w:type="pct"/>
                  <w:vMerge w:val="continue"/>
                  <w:vAlign w:val="center"/>
                </w:tcPr>
                <w:p w14:paraId="6EFDA71D">
                  <w:pPr>
                    <w:adjustRightInd w:val="0"/>
                    <w:snapToGrid w:val="0"/>
                    <w:jc w:val="center"/>
                    <w:rPr>
                      <w:rFonts w:eastAsiaTheme="minorEastAsia"/>
                      <w:color w:val="auto"/>
                      <w:szCs w:val="21"/>
                      <w:lang w:val="en-GB"/>
                    </w:rPr>
                  </w:pPr>
                </w:p>
              </w:tc>
            </w:tr>
          </w:tbl>
          <w:p w14:paraId="5DFC7814">
            <w:pPr>
              <w:pStyle w:val="43"/>
              <w:spacing w:line="240" w:lineRule="auto"/>
              <w:jc w:val="both"/>
              <w:rPr>
                <w:rFonts w:hint="default"/>
                <w:color w:val="FF0000"/>
                <w:sz w:val="10"/>
                <w:szCs w:val="10"/>
                <w:lang w:val="en-US" w:eastAsia="zh-CN"/>
              </w:rPr>
            </w:pPr>
          </w:p>
          <w:p w14:paraId="1D0BDBF3">
            <w:pPr>
              <w:snapToGrid w:val="0"/>
              <w:spacing w:line="360" w:lineRule="auto"/>
              <w:ind w:firstLine="482" w:firstLineChars="200"/>
              <w:rPr>
                <w:rFonts w:eastAsiaTheme="minorEastAsia"/>
                <w:color w:val="FF0000"/>
                <w:sz w:val="24"/>
                <w:szCs w:val="24"/>
              </w:rPr>
            </w:pPr>
            <w:r>
              <w:rPr>
                <w:rFonts w:hint="eastAsia" w:eastAsiaTheme="minorEastAsia"/>
                <w:b/>
                <w:bCs/>
                <w:color w:val="auto"/>
                <w:sz w:val="24"/>
                <w:szCs w:val="24"/>
              </w:rPr>
              <w:t>2.2</w:t>
            </w:r>
            <w:r>
              <w:rPr>
                <w:rFonts w:eastAsiaTheme="minorEastAsia"/>
                <w:b/>
                <w:bCs/>
                <w:color w:val="auto"/>
                <w:sz w:val="24"/>
                <w:szCs w:val="24"/>
              </w:rPr>
              <w:t>废水</w:t>
            </w:r>
            <w:r>
              <w:rPr>
                <w:rFonts w:hint="eastAsia" w:eastAsiaTheme="minorEastAsia"/>
                <w:b/>
                <w:bCs/>
                <w:color w:val="auto"/>
                <w:sz w:val="24"/>
                <w:szCs w:val="24"/>
              </w:rPr>
              <w:t>治理</w:t>
            </w:r>
            <w:r>
              <w:rPr>
                <w:rFonts w:eastAsiaTheme="minorEastAsia"/>
                <w:b/>
                <w:bCs/>
                <w:color w:val="auto"/>
                <w:sz w:val="24"/>
                <w:szCs w:val="24"/>
              </w:rPr>
              <w:t>措施</w:t>
            </w:r>
          </w:p>
          <w:p w14:paraId="5CA26F8A">
            <w:pPr>
              <w:adjustRightInd w:val="0"/>
              <w:snapToGrid w:val="0"/>
              <w:spacing w:line="360" w:lineRule="auto"/>
              <w:ind w:firstLine="480" w:firstLineChars="200"/>
              <w:rPr>
                <w:rFonts w:eastAsiaTheme="minorEastAsia"/>
                <w:color w:val="auto"/>
                <w:sz w:val="24"/>
              </w:rPr>
            </w:pPr>
            <w:r>
              <w:rPr>
                <w:rFonts w:hint="default" w:ascii="Times New Roman" w:hAnsi="Times New Roman" w:eastAsia="宋体" w:cs="Times New Roman"/>
                <w:color w:val="auto"/>
                <w:sz w:val="24"/>
                <w:szCs w:val="24"/>
                <w:lang w:val="en-US" w:eastAsia="zh-CN"/>
              </w:rPr>
              <w:t>①</w:t>
            </w:r>
            <w:r>
              <w:rPr>
                <w:rFonts w:eastAsiaTheme="minorEastAsia"/>
                <w:color w:val="auto"/>
                <w:sz w:val="24"/>
              </w:rPr>
              <w:t>排水体制</w:t>
            </w:r>
          </w:p>
          <w:p w14:paraId="7D59BA27">
            <w:pPr>
              <w:adjustRightInd w:val="0"/>
              <w:snapToGrid w:val="0"/>
              <w:spacing w:line="360" w:lineRule="auto"/>
              <w:ind w:firstLine="480" w:firstLineChars="200"/>
              <w:rPr>
                <w:rFonts w:eastAsiaTheme="minorEastAsia"/>
                <w:color w:val="auto"/>
                <w:sz w:val="24"/>
              </w:rPr>
            </w:pPr>
            <w:r>
              <w:rPr>
                <w:rFonts w:hint="eastAsia" w:eastAsiaTheme="minorEastAsia"/>
                <w:color w:val="auto"/>
                <w:sz w:val="24"/>
                <w:lang w:val="en-US" w:eastAsia="zh-CN"/>
              </w:rPr>
              <w:t>园区</w:t>
            </w:r>
            <w:r>
              <w:rPr>
                <w:rFonts w:eastAsiaTheme="minorEastAsia"/>
                <w:color w:val="auto"/>
                <w:sz w:val="24"/>
              </w:rPr>
              <w:t>排水实施</w:t>
            </w:r>
            <w:r>
              <w:rPr>
                <w:rFonts w:hint="eastAsia" w:eastAsiaTheme="minorEastAsia"/>
                <w:color w:val="auto"/>
                <w:sz w:val="24"/>
                <w:lang w:eastAsia="zh-CN"/>
              </w:rPr>
              <w:t>“</w:t>
            </w:r>
            <w:r>
              <w:rPr>
                <w:rFonts w:eastAsiaTheme="minorEastAsia"/>
                <w:color w:val="auto"/>
                <w:sz w:val="24"/>
              </w:rPr>
              <w:t>雨污分流</w:t>
            </w:r>
            <w:r>
              <w:rPr>
                <w:rFonts w:hint="eastAsia" w:eastAsiaTheme="minorEastAsia"/>
                <w:color w:val="auto"/>
                <w:sz w:val="24"/>
                <w:lang w:eastAsia="zh-CN"/>
              </w:rPr>
              <w:t>”</w:t>
            </w:r>
            <w:r>
              <w:rPr>
                <w:rFonts w:eastAsiaTheme="minorEastAsia"/>
                <w:color w:val="auto"/>
                <w:sz w:val="24"/>
              </w:rPr>
              <w:t>，雨水</w:t>
            </w:r>
            <w:r>
              <w:rPr>
                <w:rFonts w:hint="eastAsia" w:eastAsiaTheme="minorEastAsia"/>
                <w:color w:val="auto"/>
                <w:sz w:val="24"/>
                <w:lang w:val="en-US" w:eastAsia="zh-CN"/>
              </w:rPr>
              <w:t>经园区</w:t>
            </w:r>
            <w:r>
              <w:rPr>
                <w:rFonts w:eastAsiaTheme="minorEastAsia"/>
                <w:color w:val="auto"/>
                <w:sz w:val="24"/>
              </w:rPr>
              <w:t>雨水管网收集后排入市政雨水管网，就近排入地表水体。</w:t>
            </w:r>
          </w:p>
          <w:p w14:paraId="06F793E4">
            <w:pPr>
              <w:adjustRightInd w:val="0"/>
              <w:snapToGrid w:val="0"/>
              <w:spacing w:line="360" w:lineRule="auto"/>
              <w:ind w:firstLine="480" w:firstLineChars="200"/>
              <w:rPr>
                <w:rFonts w:eastAsiaTheme="minorEastAsia"/>
                <w:color w:val="auto"/>
                <w:sz w:val="24"/>
              </w:rPr>
            </w:pPr>
            <w:r>
              <w:rPr>
                <w:rFonts w:hint="eastAsia" w:eastAsiaTheme="minorEastAsia"/>
                <w:color w:val="auto"/>
                <w:sz w:val="24"/>
              </w:rPr>
              <w:t>本项目</w:t>
            </w:r>
            <w:r>
              <w:rPr>
                <w:rFonts w:hint="eastAsia" w:eastAsiaTheme="minorEastAsia"/>
                <w:color w:val="auto"/>
                <w:sz w:val="24"/>
                <w:lang w:eastAsia="zh-CN"/>
              </w:rPr>
              <w:t>无生产废水</w:t>
            </w:r>
            <w:r>
              <w:rPr>
                <w:rFonts w:hint="eastAsia" w:eastAsiaTheme="minorEastAsia"/>
                <w:color w:val="auto"/>
                <w:sz w:val="24"/>
                <w:lang w:val="en-US" w:eastAsia="zh-CN"/>
              </w:rPr>
              <w:t>产生及</w:t>
            </w:r>
            <w:r>
              <w:rPr>
                <w:rFonts w:hint="eastAsia" w:eastAsiaTheme="minorEastAsia"/>
                <w:color w:val="auto"/>
                <w:sz w:val="24"/>
                <w:lang w:eastAsia="zh-CN"/>
              </w:rPr>
              <w:t>排放</w:t>
            </w:r>
            <w:r>
              <w:rPr>
                <w:rFonts w:ascii="Times New Roman" w:hAnsi="Times New Roman" w:eastAsia="宋体" w:cs="Times New Roman"/>
                <w:color w:val="auto"/>
                <w:sz w:val="24"/>
              </w:rPr>
              <w:t>，</w:t>
            </w:r>
            <w:r>
              <w:rPr>
                <w:rFonts w:hint="eastAsia" w:eastAsiaTheme="minorEastAsia"/>
                <w:color w:val="auto"/>
                <w:sz w:val="24"/>
              </w:rPr>
              <w:t>员工生活污水</w:t>
            </w:r>
            <w:r>
              <w:rPr>
                <w:rFonts w:hint="eastAsia" w:eastAsiaTheme="minorEastAsia"/>
                <w:color w:val="auto"/>
                <w:sz w:val="24"/>
                <w:lang w:val="en-US" w:eastAsia="zh-CN"/>
              </w:rPr>
              <w:t>648</w:t>
            </w:r>
            <w:r>
              <w:rPr>
                <w:rFonts w:hint="eastAsia" w:eastAsiaTheme="minorEastAsia"/>
                <w:color w:val="auto"/>
                <w:sz w:val="24"/>
              </w:rPr>
              <w:t>m</w:t>
            </w:r>
            <w:r>
              <w:rPr>
                <w:rFonts w:hint="eastAsia" w:eastAsiaTheme="minorEastAsia"/>
                <w:color w:val="auto"/>
                <w:sz w:val="24"/>
                <w:vertAlign w:val="superscript"/>
              </w:rPr>
              <w:t>3</w:t>
            </w:r>
            <w:r>
              <w:rPr>
                <w:rFonts w:hint="eastAsia" w:eastAsiaTheme="minorEastAsia"/>
                <w:color w:val="auto"/>
                <w:sz w:val="24"/>
              </w:rPr>
              <w:t>/a</w:t>
            </w:r>
            <w:r>
              <w:rPr>
                <w:rFonts w:hint="eastAsia" w:eastAsiaTheme="minorEastAsia"/>
                <w:color w:val="auto"/>
                <w:sz w:val="24"/>
                <w:lang w:val="en-US" w:eastAsia="zh-CN"/>
              </w:rPr>
              <w:t>经园区</w:t>
            </w:r>
            <w:r>
              <w:rPr>
                <w:rFonts w:eastAsiaTheme="minorEastAsia"/>
                <w:color w:val="auto"/>
                <w:sz w:val="24"/>
              </w:rPr>
              <w:t>化粪池预处理达接管标准后，</w:t>
            </w:r>
            <w:r>
              <w:rPr>
                <w:rFonts w:hint="eastAsia" w:eastAsiaTheme="minorEastAsia"/>
                <w:color w:val="auto"/>
                <w:sz w:val="24"/>
              </w:rPr>
              <w:t>接管排入市政污水管网，</w:t>
            </w:r>
            <w:r>
              <w:rPr>
                <w:rFonts w:hint="eastAsia"/>
                <w:color w:val="auto"/>
                <w:sz w:val="24"/>
                <w:szCs w:val="24"/>
              </w:rPr>
              <w:t>最终排入</w:t>
            </w:r>
            <w:r>
              <w:rPr>
                <w:rFonts w:hint="eastAsia" w:eastAsiaTheme="minorEastAsia"/>
                <w:color w:val="auto"/>
                <w:sz w:val="24"/>
                <w:szCs w:val="24"/>
                <w:lang w:eastAsia="zh-CN"/>
              </w:rPr>
              <w:t>常州市江边污水处理厂</w:t>
            </w:r>
            <w:r>
              <w:rPr>
                <w:color w:val="auto"/>
                <w:sz w:val="24"/>
                <w:szCs w:val="24"/>
              </w:rPr>
              <w:t>集中处理</w:t>
            </w:r>
            <w:r>
              <w:rPr>
                <w:rFonts w:hint="eastAsia"/>
                <w:color w:val="auto"/>
                <w:sz w:val="24"/>
                <w:szCs w:val="24"/>
              </w:rPr>
              <w:t>，尾水最终排入</w:t>
            </w:r>
            <w:r>
              <w:rPr>
                <w:rFonts w:hint="eastAsia" w:eastAsiaTheme="minorEastAsia"/>
                <w:color w:val="auto"/>
                <w:sz w:val="24"/>
                <w:szCs w:val="24"/>
                <w:lang w:val="en-US" w:eastAsia="zh-CN"/>
              </w:rPr>
              <w:t>长江</w:t>
            </w:r>
            <w:r>
              <w:rPr>
                <w:rFonts w:eastAsiaTheme="minorEastAsia"/>
                <w:color w:val="auto"/>
                <w:sz w:val="24"/>
              </w:rPr>
              <w:t>。</w:t>
            </w:r>
          </w:p>
          <w:p w14:paraId="58301AE9">
            <w:pPr>
              <w:adjustRightInd w:val="0"/>
              <w:snapToGrid w:val="0"/>
              <w:spacing w:line="360" w:lineRule="auto"/>
              <w:ind w:firstLine="480" w:firstLineChars="200"/>
              <w:rPr>
                <w:rFonts w:eastAsiaTheme="minorEastAsia"/>
                <w:color w:val="auto"/>
                <w:sz w:val="24"/>
              </w:rPr>
            </w:pPr>
            <w:r>
              <w:rPr>
                <w:rFonts w:hint="default" w:ascii="Times New Roman" w:hAnsi="Times New Roman" w:cs="Times New Roman" w:eastAsiaTheme="minorEastAsia"/>
                <w:color w:val="auto"/>
                <w:sz w:val="24"/>
                <w:szCs w:val="24"/>
                <w:lang w:val="en-US" w:eastAsia="zh-CN"/>
              </w:rPr>
              <w:t>②</w:t>
            </w:r>
            <w:r>
              <w:rPr>
                <w:rFonts w:eastAsiaTheme="minorEastAsia"/>
                <w:color w:val="auto"/>
                <w:sz w:val="24"/>
              </w:rPr>
              <w:t>接管水质可行性分析</w:t>
            </w:r>
          </w:p>
          <w:p w14:paraId="733C4017">
            <w:pPr>
              <w:adjustRightInd w:val="0"/>
              <w:snapToGrid w:val="0"/>
              <w:spacing w:line="360" w:lineRule="auto"/>
              <w:ind w:firstLine="480" w:firstLineChars="200"/>
              <w:rPr>
                <w:rFonts w:ascii="Times New Roman" w:hAnsi="Times New Roman" w:cs="Times New Roman" w:eastAsiaTheme="minorEastAsia"/>
                <w:color w:val="auto"/>
                <w:sz w:val="24"/>
              </w:rPr>
            </w:pPr>
            <w:r>
              <w:rPr>
                <w:rFonts w:eastAsiaTheme="minorEastAsia"/>
                <w:color w:val="auto"/>
                <w:sz w:val="24"/>
              </w:rPr>
              <w:t>本项目</w:t>
            </w:r>
            <w:r>
              <w:rPr>
                <w:rFonts w:hint="eastAsia" w:eastAsiaTheme="minorEastAsia"/>
                <w:color w:val="auto"/>
                <w:sz w:val="24"/>
              </w:rPr>
              <w:t>生活污水</w:t>
            </w:r>
            <w:r>
              <w:rPr>
                <w:rFonts w:eastAsiaTheme="minorEastAsia"/>
                <w:color w:val="auto"/>
                <w:sz w:val="24"/>
              </w:rPr>
              <w:t>接管排放量约</w:t>
            </w:r>
            <w:r>
              <w:rPr>
                <w:rFonts w:hint="eastAsia" w:eastAsiaTheme="minorEastAsia"/>
                <w:color w:val="auto"/>
                <w:sz w:val="24"/>
                <w:lang w:val="en-US" w:eastAsia="zh-CN"/>
              </w:rPr>
              <w:t>648</w:t>
            </w:r>
            <w:r>
              <w:rPr>
                <w:rFonts w:eastAsiaTheme="minorEastAsia"/>
                <w:color w:val="auto"/>
                <w:sz w:val="24"/>
              </w:rPr>
              <w:t>m</w:t>
            </w:r>
            <w:r>
              <w:rPr>
                <w:rFonts w:hint="eastAsia" w:eastAsiaTheme="minorEastAsia"/>
                <w:color w:val="auto"/>
                <w:sz w:val="24"/>
                <w:vertAlign w:val="superscript"/>
              </w:rPr>
              <w:t>3</w:t>
            </w:r>
            <w:r>
              <w:rPr>
                <w:rFonts w:eastAsiaTheme="minorEastAsia"/>
                <w:color w:val="auto"/>
                <w:sz w:val="24"/>
              </w:rPr>
              <w:t>/a，接管排放的水质为pH</w:t>
            </w:r>
            <w:r>
              <w:rPr>
                <w:rFonts w:hint="eastAsia" w:eastAsiaTheme="minorEastAsia"/>
                <w:color w:val="auto"/>
                <w:sz w:val="24"/>
                <w:lang w:eastAsia="zh-CN"/>
              </w:rPr>
              <w:t>：6.5～9.5</w:t>
            </w:r>
            <w:r>
              <w:rPr>
                <w:rFonts w:eastAsiaTheme="minorEastAsia"/>
                <w:color w:val="auto"/>
                <w:sz w:val="24"/>
              </w:rPr>
              <w:t>、COD：400mg/L、SS：250mg/L、氨氮：30mg/L、总磷：5mg/L、总</w:t>
            </w:r>
            <w:r>
              <w:rPr>
                <w:rFonts w:hint="eastAsia" w:eastAsiaTheme="minorEastAsia"/>
                <w:color w:val="auto"/>
                <w:sz w:val="24"/>
              </w:rPr>
              <w:t>氮</w:t>
            </w:r>
            <w:r>
              <w:rPr>
                <w:rFonts w:eastAsiaTheme="minorEastAsia"/>
                <w:color w:val="auto"/>
                <w:sz w:val="24"/>
              </w:rPr>
              <w:t>：5</w:t>
            </w:r>
            <w:r>
              <w:rPr>
                <w:rFonts w:hint="eastAsia" w:eastAsiaTheme="minorEastAsia"/>
                <w:color w:val="auto"/>
                <w:sz w:val="24"/>
              </w:rPr>
              <w:t>0</w:t>
            </w:r>
            <w:r>
              <w:rPr>
                <w:rFonts w:eastAsiaTheme="minorEastAsia"/>
                <w:color w:val="auto"/>
                <w:sz w:val="24"/>
              </w:rPr>
              <w:t>mg/L，可达到《污水排入城镇下水道水质标准》（GB/T 31962-2015）表1中B等级标准，即：pH</w:t>
            </w:r>
            <w:r>
              <w:rPr>
                <w:rFonts w:hint="eastAsia" w:eastAsiaTheme="minorEastAsia"/>
                <w:color w:val="auto"/>
                <w:sz w:val="24"/>
                <w:lang w:eastAsia="zh-CN"/>
              </w:rPr>
              <w:t>：</w:t>
            </w:r>
            <w:r>
              <w:rPr>
                <w:rFonts w:hint="eastAsia" w:eastAsiaTheme="minorEastAsia"/>
                <w:color w:val="auto"/>
                <w:sz w:val="24"/>
              </w:rPr>
              <w:t>6.5</w:t>
            </w:r>
            <w:r>
              <w:rPr>
                <w:rFonts w:eastAsiaTheme="minorEastAsia"/>
                <w:color w:val="auto"/>
                <w:sz w:val="24"/>
              </w:rPr>
              <w:t>～9</w:t>
            </w:r>
            <w:r>
              <w:rPr>
                <w:rFonts w:hint="eastAsia" w:eastAsiaTheme="minorEastAsia"/>
                <w:color w:val="auto"/>
                <w:sz w:val="24"/>
              </w:rPr>
              <w:t>.5</w:t>
            </w:r>
            <w:r>
              <w:rPr>
                <w:rFonts w:eastAsiaTheme="minorEastAsia"/>
                <w:color w:val="auto"/>
                <w:sz w:val="24"/>
              </w:rPr>
              <w:t>、COD≤500mg/L、SS≤400mg/L、氨氮≤45mg/L、总磷≤8mg/L、总</w:t>
            </w:r>
            <w:r>
              <w:rPr>
                <w:rFonts w:hint="eastAsia" w:eastAsiaTheme="minorEastAsia"/>
                <w:color w:val="auto"/>
                <w:sz w:val="24"/>
              </w:rPr>
              <w:t>氮</w:t>
            </w:r>
            <w:r>
              <w:rPr>
                <w:rFonts w:eastAsiaTheme="minorEastAsia"/>
                <w:color w:val="auto"/>
                <w:sz w:val="24"/>
              </w:rPr>
              <w:t>≤</w:t>
            </w:r>
            <w:r>
              <w:rPr>
                <w:rFonts w:hint="eastAsia" w:eastAsiaTheme="minorEastAsia"/>
                <w:color w:val="auto"/>
                <w:sz w:val="24"/>
              </w:rPr>
              <w:t>70</w:t>
            </w:r>
            <w:r>
              <w:rPr>
                <w:rFonts w:eastAsiaTheme="minorEastAsia"/>
                <w:color w:val="auto"/>
                <w:sz w:val="24"/>
              </w:rPr>
              <w:t>mg/L，可接管排入市政污水管网，</w:t>
            </w:r>
            <w:r>
              <w:rPr>
                <w:rFonts w:hint="eastAsia" w:eastAsiaTheme="minorEastAsia"/>
                <w:color w:val="auto"/>
                <w:sz w:val="24"/>
              </w:rPr>
              <w:t>最终排入</w:t>
            </w:r>
            <w:r>
              <w:rPr>
                <w:rFonts w:hint="eastAsia" w:eastAsiaTheme="minorEastAsia"/>
                <w:color w:val="auto"/>
                <w:sz w:val="24"/>
                <w:szCs w:val="24"/>
                <w:lang w:eastAsia="zh-CN"/>
              </w:rPr>
              <w:t>常州市江边污水处理厂</w:t>
            </w:r>
            <w:r>
              <w:rPr>
                <w:rFonts w:hint="eastAsia" w:eastAsiaTheme="minorEastAsia"/>
                <w:color w:val="auto"/>
                <w:sz w:val="24"/>
              </w:rPr>
              <w:t>集中处理，尾</w:t>
            </w:r>
            <w:r>
              <w:rPr>
                <w:rFonts w:hint="eastAsia" w:ascii="Times New Roman" w:hAnsi="Times New Roman" w:cs="Times New Roman" w:eastAsiaTheme="minorEastAsia"/>
                <w:color w:val="auto"/>
                <w:sz w:val="24"/>
              </w:rPr>
              <w:t>水最终排入</w:t>
            </w:r>
            <w:r>
              <w:rPr>
                <w:rFonts w:hint="eastAsia" w:ascii="Times New Roman" w:hAnsi="Times New Roman" w:cs="Times New Roman" w:eastAsiaTheme="minorEastAsia"/>
                <w:color w:val="auto"/>
                <w:sz w:val="24"/>
                <w:lang w:val="en-US" w:eastAsia="zh-CN"/>
              </w:rPr>
              <w:t>长江</w:t>
            </w:r>
            <w:r>
              <w:rPr>
                <w:rFonts w:ascii="Times New Roman" w:hAnsi="Times New Roman" w:cs="Times New Roman" w:eastAsiaTheme="minorEastAsia"/>
                <w:color w:val="auto"/>
                <w:sz w:val="24"/>
              </w:rPr>
              <w:t>。</w:t>
            </w:r>
          </w:p>
          <w:p w14:paraId="6CF990AD">
            <w:pPr>
              <w:adjustRightInd w:val="0"/>
              <w:snapToGrid w:val="0"/>
              <w:spacing w:line="360" w:lineRule="auto"/>
              <w:ind w:firstLine="480" w:firstLineChars="200"/>
              <w:rPr>
                <w:rFonts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③</w:t>
            </w:r>
            <w:r>
              <w:rPr>
                <w:rFonts w:ascii="Times New Roman" w:hAnsi="Times New Roman" w:cs="Times New Roman" w:eastAsiaTheme="minorEastAsia"/>
                <w:color w:val="auto"/>
                <w:sz w:val="24"/>
              </w:rPr>
              <w:t>接管容量可行性分析</w:t>
            </w:r>
          </w:p>
          <w:p w14:paraId="1CED15BA">
            <w:pPr>
              <w:adjustRightInd w:val="0"/>
              <w:snapToGrid w:val="0"/>
              <w:spacing w:line="360" w:lineRule="auto"/>
              <w:ind w:firstLine="480" w:firstLineChars="200"/>
              <w:rPr>
                <w:rFonts w:hint="eastAsia" w:ascii="Times New Roman" w:hAnsi="Times New Roman" w:cs="Times New Roman" w:eastAsiaTheme="minorEastAsia"/>
                <w:color w:val="auto"/>
                <w:sz w:val="24"/>
              </w:rPr>
            </w:pPr>
            <w:r>
              <w:rPr>
                <w:rFonts w:hint="eastAsia" w:ascii="Times New Roman" w:hAnsi="Times New Roman" w:cs="Times New Roman" w:eastAsiaTheme="minorEastAsia"/>
                <w:color w:val="auto"/>
                <w:sz w:val="24"/>
              </w:rPr>
              <w:t>常州市江边污水处理厂位于新龙路以北、338省道以南、藻江河以西、长江路以东区域。一期工程项目于2003年获得江苏省环保厅批复</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苏环管</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2003</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173号</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，采用MUCT工艺，2005年9月投入试运行，2007年底通过竣工环保验收。二期工程项目于2006年获得江苏省环保厅批复</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苏环管</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2006</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224号</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，采用改良A</w:t>
            </w:r>
            <w:r>
              <w:rPr>
                <w:rFonts w:hint="eastAsia" w:ascii="Times New Roman" w:hAnsi="Times New Roman" w:cs="Times New Roman" w:eastAsiaTheme="minorEastAsia"/>
                <w:color w:val="auto"/>
                <w:sz w:val="24"/>
                <w:vertAlign w:val="superscript"/>
              </w:rPr>
              <w:t>2</w:t>
            </w:r>
            <w:r>
              <w:rPr>
                <w:rFonts w:hint="eastAsia" w:ascii="Times New Roman" w:hAnsi="Times New Roman" w:cs="Times New Roman" w:eastAsiaTheme="minorEastAsia"/>
                <w:color w:val="auto"/>
                <w:sz w:val="24"/>
              </w:rPr>
              <w:t>/O工艺，在扩建同时完成20万m</w:t>
            </w:r>
            <w:r>
              <w:rPr>
                <w:rFonts w:hint="eastAsia" w:ascii="Times New Roman" w:hAnsi="Times New Roman" w:cs="Times New Roman" w:eastAsiaTheme="minorEastAsia"/>
                <w:color w:val="auto"/>
                <w:sz w:val="24"/>
                <w:vertAlign w:val="superscript"/>
              </w:rPr>
              <w:t>3</w:t>
            </w:r>
            <w:r>
              <w:rPr>
                <w:rFonts w:hint="eastAsia" w:ascii="Times New Roman" w:hAnsi="Times New Roman" w:cs="Times New Roman" w:eastAsiaTheme="minorEastAsia"/>
                <w:color w:val="auto"/>
                <w:sz w:val="24"/>
              </w:rPr>
              <w:t>/d工程提标改造，2013年1月通过竣工环保验收。三期项目于2010年11月获得江苏省环保厅批复</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苏环管</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2010</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261号</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，采用改良型A</w:t>
            </w:r>
            <w:r>
              <w:rPr>
                <w:rFonts w:hint="eastAsia" w:ascii="Times New Roman" w:hAnsi="Times New Roman" w:cs="Times New Roman" w:eastAsiaTheme="minorEastAsia"/>
                <w:color w:val="auto"/>
                <w:sz w:val="24"/>
                <w:vertAlign w:val="superscript"/>
              </w:rPr>
              <w:t>2</w:t>
            </w:r>
            <w:r>
              <w:rPr>
                <w:rFonts w:hint="eastAsia" w:ascii="Times New Roman" w:hAnsi="Times New Roman" w:cs="Times New Roman" w:eastAsiaTheme="minorEastAsia"/>
                <w:color w:val="auto"/>
                <w:sz w:val="24"/>
              </w:rPr>
              <w:t>/O活性污泥工艺，并采用微絮凝过滤工艺对污水进行深度处理，于2012年6月投运。四期工程于 2017年10月19日取得常州市环境保护局批复</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常环审</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2017</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21号</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，设计处理规模20万m</w:t>
            </w:r>
            <w:r>
              <w:rPr>
                <w:rFonts w:hint="eastAsia" w:ascii="Times New Roman" w:hAnsi="Times New Roman" w:cs="Times New Roman" w:eastAsiaTheme="minorEastAsia"/>
                <w:color w:val="auto"/>
                <w:sz w:val="24"/>
                <w:vertAlign w:val="superscript"/>
              </w:rPr>
              <w:t>3</w:t>
            </w:r>
            <w:r>
              <w:rPr>
                <w:rFonts w:hint="eastAsia" w:ascii="Times New Roman" w:hAnsi="Times New Roman" w:cs="Times New Roman" w:eastAsiaTheme="minorEastAsia"/>
                <w:color w:val="auto"/>
                <w:sz w:val="24"/>
              </w:rPr>
              <w:t>/d，四期工程采用“A</w:t>
            </w:r>
            <w:r>
              <w:rPr>
                <w:rFonts w:hint="eastAsia" w:ascii="Times New Roman" w:hAnsi="Times New Roman" w:cs="Times New Roman" w:eastAsiaTheme="minorEastAsia"/>
                <w:color w:val="auto"/>
                <w:sz w:val="24"/>
                <w:vertAlign w:val="superscript"/>
              </w:rPr>
              <w:t>2</w:t>
            </w:r>
            <w:r>
              <w:rPr>
                <w:rFonts w:hint="eastAsia" w:ascii="Times New Roman" w:hAnsi="Times New Roman" w:cs="Times New Roman" w:eastAsiaTheme="minorEastAsia"/>
                <w:color w:val="auto"/>
                <w:sz w:val="24"/>
              </w:rPr>
              <w:t>/O生物处理+沉淀+高效沉淀池+深床滤池+次氯酸钠消毒”处理工艺，四期工程中8万m</w:t>
            </w:r>
            <w:r>
              <w:rPr>
                <w:rFonts w:hint="eastAsia" w:ascii="Times New Roman" w:hAnsi="Times New Roman" w:cs="Times New Roman" w:eastAsiaTheme="minorEastAsia"/>
                <w:color w:val="auto"/>
                <w:sz w:val="24"/>
                <w:vertAlign w:val="superscript"/>
              </w:rPr>
              <w:t>3</w:t>
            </w:r>
            <w:r>
              <w:rPr>
                <w:rFonts w:hint="eastAsia" w:ascii="Times New Roman" w:hAnsi="Times New Roman" w:cs="Times New Roman" w:eastAsiaTheme="minorEastAsia"/>
                <w:color w:val="auto"/>
                <w:sz w:val="24"/>
              </w:rPr>
              <w:t>/d通过原有排放口排放至长江、8万m</w:t>
            </w:r>
            <w:r>
              <w:rPr>
                <w:rFonts w:hint="eastAsia" w:ascii="Times New Roman" w:hAnsi="Times New Roman" w:cs="Times New Roman" w:eastAsiaTheme="minorEastAsia"/>
                <w:color w:val="auto"/>
                <w:sz w:val="24"/>
                <w:vertAlign w:val="superscript"/>
              </w:rPr>
              <w:t>3</w:t>
            </w:r>
            <w:r>
              <w:rPr>
                <w:rFonts w:hint="eastAsia" w:ascii="Times New Roman" w:hAnsi="Times New Roman" w:cs="Times New Roman" w:eastAsiaTheme="minorEastAsia"/>
                <w:color w:val="auto"/>
                <w:sz w:val="24"/>
              </w:rPr>
              <w:t>/d 回用到已建新龙生态林、4万m</w:t>
            </w:r>
            <w:r>
              <w:rPr>
                <w:rFonts w:hint="eastAsia" w:ascii="Times New Roman" w:hAnsi="Times New Roman" w:cs="Times New Roman" w:eastAsiaTheme="minorEastAsia"/>
                <w:color w:val="auto"/>
                <w:sz w:val="24"/>
                <w:vertAlign w:val="superscript"/>
              </w:rPr>
              <w:t>3</w:t>
            </w:r>
            <w:r>
              <w:rPr>
                <w:rFonts w:hint="eastAsia" w:ascii="Times New Roman" w:hAnsi="Times New Roman" w:cs="Times New Roman" w:eastAsiaTheme="minorEastAsia"/>
                <w:color w:val="auto"/>
                <w:sz w:val="24"/>
              </w:rPr>
              <w:t>/d回用至常州市精细化工园区。</w:t>
            </w:r>
          </w:p>
          <w:p w14:paraId="31EFA586">
            <w:pPr>
              <w:adjustRightInd w:val="0"/>
              <w:snapToGrid w:val="0"/>
              <w:spacing w:line="360" w:lineRule="auto"/>
              <w:ind w:firstLine="480" w:firstLineChars="200"/>
              <w:rPr>
                <w:rFonts w:hint="eastAsia" w:ascii="Times New Roman" w:hAnsi="Times New Roman" w:cs="Times New Roman" w:eastAsiaTheme="minorEastAsia"/>
                <w:color w:val="auto"/>
                <w:sz w:val="24"/>
              </w:rPr>
            </w:pPr>
            <w:r>
              <w:rPr>
                <w:rFonts w:hint="eastAsia" w:ascii="Times New Roman" w:hAnsi="Times New Roman" w:cs="Times New Roman" w:eastAsiaTheme="minorEastAsia"/>
                <w:color w:val="auto"/>
                <w:sz w:val="24"/>
              </w:rPr>
              <w:t>常州市江边污水处理厂近几年进水量保持稳定增长，一至三期工程已经形成30万m</w:t>
            </w:r>
            <w:r>
              <w:rPr>
                <w:rFonts w:hint="eastAsia" w:ascii="Times New Roman" w:hAnsi="Times New Roman" w:cs="Times New Roman" w:eastAsiaTheme="minorEastAsia"/>
                <w:color w:val="auto"/>
                <w:sz w:val="24"/>
                <w:vertAlign w:val="superscript"/>
              </w:rPr>
              <w:t>3</w:t>
            </w:r>
            <w:r>
              <w:rPr>
                <w:rFonts w:hint="eastAsia" w:ascii="Times New Roman" w:hAnsi="Times New Roman" w:cs="Times New Roman" w:eastAsiaTheme="minorEastAsia"/>
                <w:color w:val="auto"/>
                <w:sz w:val="24"/>
              </w:rPr>
              <w:t>/d的污水处理规模，处理负荷率年均达到77.5%，丰水期处理负荷率达到95%以上。四期扩建工程已于2020年10月通过竣工验收，新增20万m</w:t>
            </w:r>
            <w:r>
              <w:rPr>
                <w:rFonts w:hint="eastAsia" w:ascii="Times New Roman" w:hAnsi="Times New Roman" w:cs="Times New Roman" w:eastAsiaTheme="minorEastAsia"/>
                <w:color w:val="auto"/>
                <w:sz w:val="24"/>
                <w:vertAlign w:val="superscript"/>
              </w:rPr>
              <w:t>3</w:t>
            </w:r>
            <w:r>
              <w:rPr>
                <w:rFonts w:hint="eastAsia" w:ascii="Times New Roman" w:hAnsi="Times New Roman" w:cs="Times New Roman" w:eastAsiaTheme="minorEastAsia"/>
                <w:color w:val="auto"/>
                <w:sz w:val="24"/>
              </w:rPr>
              <w:t>/d污水处理能力</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同时增加12万m</w:t>
            </w:r>
            <w:r>
              <w:rPr>
                <w:rFonts w:hint="eastAsia" w:ascii="Times New Roman" w:hAnsi="Times New Roman" w:cs="Times New Roman" w:eastAsiaTheme="minorEastAsia"/>
                <w:color w:val="auto"/>
                <w:sz w:val="24"/>
                <w:vertAlign w:val="superscript"/>
              </w:rPr>
              <w:t>3</w:t>
            </w:r>
            <w:r>
              <w:rPr>
                <w:rFonts w:hint="eastAsia" w:ascii="Times New Roman" w:hAnsi="Times New Roman" w:cs="Times New Roman" w:eastAsiaTheme="minorEastAsia"/>
                <w:color w:val="auto"/>
                <w:sz w:val="24"/>
              </w:rPr>
              <w:t>/d再生水回用规模</w:t>
            </w:r>
            <w:r>
              <w:rPr>
                <w:rFonts w:hint="eastAsia"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rPr>
              <w:t>。</w:t>
            </w:r>
          </w:p>
          <w:p w14:paraId="00ADC0BB">
            <w:pPr>
              <w:adjustRightInd w:val="0"/>
              <w:snapToGrid w:val="0"/>
              <w:spacing w:line="360" w:lineRule="auto"/>
              <w:ind w:firstLine="480" w:firstLineChars="200"/>
              <w:rPr>
                <w:rFonts w:eastAsiaTheme="minorEastAsia"/>
                <w:color w:val="auto"/>
                <w:sz w:val="24"/>
              </w:rPr>
            </w:pPr>
            <w:r>
              <w:rPr>
                <w:rFonts w:hint="eastAsia" w:ascii="Times New Roman" w:hAnsi="Times New Roman" w:cs="Times New Roman" w:eastAsiaTheme="minorEastAsia"/>
                <w:color w:val="auto"/>
                <w:sz w:val="24"/>
              </w:rPr>
              <w:t>五期项目采用“粗细格栅+曝气沉砂+AAO+二沉池+高效沉淀池＋深床滤池＋消毒工艺”，新增处理能力20万m3/d，于2022年12月获得常州市环境保护局批复（常环审〔2022〕19号），目前正在建设过程中。项目所在地管网已建成完善，能保证项目建成后污水接入常州市江边污水处理厂。</w:t>
            </w:r>
          </w:p>
          <w:p w14:paraId="3524098E">
            <w:pPr>
              <w:adjustRightInd w:val="0"/>
              <w:snapToGrid w:val="0"/>
              <w:spacing w:line="360" w:lineRule="auto"/>
              <w:ind w:firstLine="480" w:firstLineChars="200"/>
              <w:rPr>
                <w:rFonts w:eastAsiaTheme="minorEastAsia"/>
                <w:color w:val="auto"/>
                <w:sz w:val="24"/>
              </w:rPr>
            </w:pPr>
            <w:r>
              <w:rPr>
                <w:rFonts w:eastAsiaTheme="minorEastAsia"/>
                <w:color w:val="auto"/>
                <w:sz w:val="24"/>
              </w:rPr>
              <w:t>本项目废水排放量约</w:t>
            </w:r>
            <w:r>
              <w:rPr>
                <w:rFonts w:hint="eastAsia" w:eastAsiaTheme="minorEastAsia"/>
                <w:color w:val="auto"/>
                <w:sz w:val="24"/>
                <w:lang w:val="en-US" w:eastAsia="zh-CN"/>
              </w:rPr>
              <w:t>2.16</w:t>
            </w:r>
            <w:r>
              <w:rPr>
                <w:rFonts w:eastAsiaTheme="minorEastAsia"/>
                <w:color w:val="auto"/>
                <w:sz w:val="24"/>
              </w:rPr>
              <w:t>m</w:t>
            </w:r>
            <w:r>
              <w:rPr>
                <w:rFonts w:eastAsiaTheme="minorEastAsia"/>
                <w:color w:val="auto"/>
                <w:sz w:val="24"/>
                <w:vertAlign w:val="superscript"/>
              </w:rPr>
              <w:t>3</w:t>
            </w:r>
            <w:r>
              <w:rPr>
                <w:rFonts w:eastAsiaTheme="minorEastAsia"/>
                <w:color w:val="auto"/>
                <w:sz w:val="24"/>
              </w:rPr>
              <w:t>/d，占常州市江边污水处理厂处理量比例极小，因此常州市江边污水处理厂可接纳本项目的废水。</w:t>
            </w:r>
          </w:p>
          <w:p w14:paraId="449FCA33">
            <w:pPr>
              <w:adjustRightInd w:val="0"/>
              <w:snapToGrid w:val="0"/>
              <w:spacing w:line="360" w:lineRule="auto"/>
              <w:ind w:left="480"/>
              <w:rPr>
                <w:rFonts w:eastAsiaTheme="minorEastAsia"/>
                <w:b/>
                <w:bCs/>
                <w:color w:val="auto"/>
                <w:sz w:val="24"/>
                <w:szCs w:val="24"/>
              </w:rPr>
            </w:pPr>
            <w:r>
              <w:rPr>
                <w:rFonts w:hint="eastAsia" w:ascii="Times New Roman" w:hAnsi="Times New Roman" w:cs="Times New Roman" w:eastAsiaTheme="minorEastAsia"/>
                <w:color w:val="auto"/>
                <w:sz w:val="24"/>
                <w:szCs w:val="24"/>
              </w:rPr>
              <w:t>④</w:t>
            </w:r>
            <w:r>
              <w:rPr>
                <w:rFonts w:ascii="Times New Roman" w:hAnsi="Times New Roman" w:cs="Times New Roman" w:eastAsiaTheme="minorEastAsia"/>
                <w:color w:val="auto"/>
                <w:sz w:val="24"/>
                <w:szCs w:val="24"/>
              </w:rPr>
              <w:t>污水</w:t>
            </w:r>
            <w:r>
              <w:rPr>
                <w:rFonts w:hint="eastAsia" w:cs="Times New Roman" w:eastAsiaTheme="minorEastAsia"/>
                <w:color w:val="auto"/>
                <w:sz w:val="24"/>
                <w:szCs w:val="24"/>
                <w:lang w:val="en-US" w:eastAsia="zh-CN"/>
              </w:rPr>
              <w:t>处理</w:t>
            </w:r>
            <w:r>
              <w:rPr>
                <w:rFonts w:eastAsiaTheme="minorEastAsia"/>
                <w:color w:val="auto"/>
                <w:sz w:val="24"/>
              </w:rPr>
              <w:t>厂处理工艺可行性分析</w:t>
            </w:r>
          </w:p>
          <w:p w14:paraId="10633EF8">
            <w:pPr>
              <w:adjustRightInd w:val="0"/>
              <w:snapToGrid w:val="0"/>
              <w:spacing w:line="360" w:lineRule="auto"/>
              <w:ind w:firstLine="480" w:firstLineChars="200"/>
              <w:rPr>
                <w:rFonts w:hint="eastAsia" w:eastAsiaTheme="minorEastAsia"/>
                <w:color w:val="auto"/>
                <w:sz w:val="24"/>
                <w:szCs w:val="24"/>
                <w:lang w:eastAsia="zh-CN"/>
              </w:rPr>
            </w:pPr>
            <w:r>
              <w:rPr>
                <w:rFonts w:hint="eastAsia" w:eastAsiaTheme="minorEastAsia"/>
                <w:color w:val="auto"/>
                <w:sz w:val="24"/>
                <w:szCs w:val="24"/>
              </w:rPr>
              <w:t>江边污水处理厂原一期工程污水处理规模为10万t/d，采用改良型A</w:t>
            </w:r>
            <w:r>
              <w:rPr>
                <w:rFonts w:hint="eastAsia" w:eastAsiaTheme="minorEastAsia"/>
                <w:color w:val="auto"/>
                <w:sz w:val="24"/>
                <w:szCs w:val="24"/>
                <w:vertAlign w:val="superscript"/>
              </w:rPr>
              <w:t>2</w:t>
            </w:r>
            <w:r>
              <w:rPr>
                <w:rFonts w:hint="eastAsia" w:eastAsiaTheme="minorEastAsia"/>
                <w:color w:val="auto"/>
                <w:sz w:val="24"/>
                <w:szCs w:val="24"/>
              </w:rPr>
              <w:t xml:space="preserve">O </w:t>
            </w:r>
            <w:r>
              <w:rPr>
                <w:rFonts w:hint="eastAsia" w:eastAsiaTheme="minorEastAsia"/>
                <w:color w:val="auto"/>
                <w:sz w:val="24"/>
                <w:szCs w:val="24"/>
                <w:lang w:eastAsia="zh-CN"/>
              </w:rPr>
              <w:t>（</w:t>
            </w:r>
            <w:r>
              <w:rPr>
                <w:rFonts w:hint="eastAsia" w:eastAsiaTheme="minorEastAsia"/>
                <w:color w:val="auto"/>
                <w:sz w:val="24"/>
                <w:szCs w:val="24"/>
              </w:rPr>
              <w:t>MUCT</w:t>
            </w:r>
            <w:r>
              <w:rPr>
                <w:rFonts w:hint="eastAsia" w:eastAsiaTheme="minorEastAsia"/>
                <w:color w:val="auto"/>
                <w:sz w:val="24"/>
                <w:szCs w:val="24"/>
                <w:lang w:eastAsia="zh-CN"/>
              </w:rPr>
              <w:t>）</w:t>
            </w:r>
            <w:r>
              <w:rPr>
                <w:rFonts w:hint="eastAsia" w:eastAsiaTheme="minorEastAsia"/>
                <w:color w:val="auto"/>
                <w:sz w:val="24"/>
                <w:szCs w:val="24"/>
              </w:rPr>
              <w:t>工艺</w:t>
            </w:r>
            <w:r>
              <w:rPr>
                <w:rFonts w:hint="eastAsia" w:eastAsiaTheme="minorEastAsia"/>
                <w:color w:val="auto"/>
                <w:sz w:val="24"/>
                <w:szCs w:val="24"/>
                <w:lang w:eastAsia="zh-CN"/>
              </w:rPr>
              <w:t>；</w:t>
            </w:r>
            <w:r>
              <w:rPr>
                <w:rFonts w:hint="eastAsia" w:eastAsiaTheme="minorEastAsia"/>
                <w:color w:val="auto"/>
                <w:sz w:val="24"/>
                <w:szCs w:val="24"/>
              </w:rPr>
              <w:t xml:space="preserve">原二期工程扩建10万t/d，采用水解酸化+改良A²O </w:t>
            </w:r>
            <w:r>
              <w:rPr>
                <w:rFonts w:hint="eastAsia" w:eastAsiaTheme="minorEastAsia"/>
                <w:color w:val="auto"/>
                <w:sz w:val="24"/>
                <w:szCs w:val="24"/>
                <w:lang w:eastAsia="zh-CN"/>
              </w:rPr>
              <w:t>（</w:t>
            </w:r>
            <w:r>
              <w:rPr>
                <w:rFonts w:hint="eastAsia" w:eastAsiaTheme="minorEastAsia"/>
                <w:color w:val="auto"/>
                <w:sz w:val="24"/>
                <w:szCs w:val="24"/>
              </w:rPr>
              <w:t>MUCT</w:t>
            </w:r>
            <w:r>
              <w:rPr>
                <w:rFonts w:hint="eastAsia" w:eastAsiaTheme="minorEastAsia"/>
                <w:color w:val="auto"/>
                <w:sz w:val="24"/>
                <w:szCs w:val="24"/>
                <w:lang w:eastAsia="zh-CN"/>
              </w:rPr>
              <w:t>）</w:t>
            </w:r>
            <w:r>
              <w:rPr>
                <w:rFonts w:hint="eastAsia" w:eastAsiaTheme="minorEastAsia"/>
                <w:color w:val="auto"/>
                <w:sz w:val="24"/>
                <w:szCs w:val="24"/>
              </w:rPr>
              <w:t>工艺，新建一座规模为20万t/d的水解酸化池。一期、二期工程于2009年初完成了提标改造工程，提标改造工程对一、二期污水均通过二期新建的水解酸化池进行预处理，并采用“高密度澄清池+V型滤池+CIO</w:t>
            </w:r>
            <w:r>
              <w:rPr>
                <w:rFonts w:hint="eastAsia" w:eastAsiaTheme="minorEastAsia"/>
                <w:color w:val="auto"/>
                <w:sz w:val="24"/>
                <w:szCs w:val="24"/>
                <w:vertAlign w:val="subscript"/>
              </w:rPr>
              <w:t>2</w:t>
            </w:r>
            <w:r>
              <w:rPr>
                <w:rFonts w:hint="eastAsia" w:eastAsiaTheme="minorEastAsia"/>
                <w:color w:val="auto"/>
                <w:sz w:val="24"/>
                <w:szCs w:val="24"/>
              </w:rPr>
              <w:t>消毒工艺”对尾水进行深度处理，从而使出水达到排放要求</w:t>
            </w:r>
            <w:r>
              <w:rPr>
                <w:rFonts w:hint="eastAsia" w:eastAsiaTheme="minorEastAsia"/>
                <w:color w:val="auto"/>
                <w:sz w:val="24"/>
                <w:szCs w:val="24"/>
                <w:lang w:eastAsia="zh-CN"/>
              </w:rPr>
              <w:t>。</w:t>
            </w:r>
          </w:p>
          <w:p w14:paraId="5E235769">
            <w:pPr>
              <w:adjustRightInd w:val="0"/>
              <w:snapToGrid w:val="0"/>
              <w:spacing w:line="360" w:lineRule="auto"/>
              <w:ind w:firstLine="480" w:firstLineChars="200"/>
              <w:rPr>
                <w:rFonts w:hint="eastAsia" w:eastAsiaTheme="minorEastAsia"/>
                <w:color w:val="auto"/>
                <w:sz w:val="24"/>
                <w:szCs w:val="24"/>
                <w:lang w:eastAsia="zh-CN"/>
              </w:rPr>
            </w:pPr>
            <w:r>
              <w:rPr>
                <w:rFonts w:hint="eastAsia" w:eastAsiaTheme="minorEastAsia"/>
                <w:color w:val="auto"/>
                <w:sz w:val="24"/>
                <w:szCs w:val="24"/>
                <w:lang w:eastAsia="zh-CN"/>
              </w:rPr>
              <w:t>江边污水处理厂三期工程扩建10万t/d，污水处理工艺为“水解酸化+改良型A</w:t>
            </w:r>
            <w:r>
              <w:rPr>
                <w:rFonts w:hint="eastAsia" w:eastAsiaTheme="minorEastAsia"/>
                <w:color w:val="auto"/>
                <w:sz w:val="24"/>
                <w:szCs w:val="24"/>
                <w:vertAlign w:val="superscript"/>
                <w:lang w:eastAsia="zh-CN"/>
              </w:rPr>
              <w:t>2</w:t>
            </w:r>
            <w:r>
              <w:rPr>
                <w:rFonts w:hint="eastAsia" w:eastAsiaTheme="minorEastAsia"/>
                <w:color w:val="auto"/>
                <w:sz w:val="24"/>
                <w:szCs w:val="24"/>
                <w:lang w:eastAsia="zh-CN"/>
              </w:rPr>
              <w:t>0活性污泥+微絮凝过滤+二氧化氯消毒”工艺，主要是新增水解酸化池、A</w:t>
            </w:r>
            <w:r>
              <w:rPr>
                <w:rFonts w:hint="eastAsia" w:eastAsiaTheme="minorEastAsia"/>
                <w:color w:val="auto"/>
                <w:sz w:val="24"/>
                <w:szCs w:val="24"/>
                <w:vertAlign w:val="superscript"/>
                <w:lang w:eastAsia="zh-CN"/>
              </w:rPr>
              <w:t>2</w:t>
            </w:r>
            <w:r>
              <w:rPr>
                <w:rFonts w:hint="eastAsia" w:eastAsiaTheme="minorEastAsia"/>
                <w:color w:val="auto"/>
                <w:sz w:val="24"/>
                <w:szCs w:val="24"/>
                <w:lang w:eastAsia="zh-CN"/>
              </w:rPr>
              <w:t>O生物反应池、V型滤池等。</w:t>
            </w:r>
          </w:p>
          <w:p w14:paraId="50ACC82A">
            <w:pPr>
              <w:adjustRightInd w:val="0"/>
              <w:snapToGrid w:val="0"/>
              <w:spacing w:line="360" w:lineRule="auto"/>
              <w:ind w:firstLine="480" w:firstLineChars="200"/>
              <w:rPr>
                <w:rFonts w:hint="eastAsia" w:eastAsiaTheme="minorEastAsia"/>
                <w:color w:val="auto"/>
                <w:sz w:val="24"/>
                <w:szCs w:val="24"/>
                <w:lang w:eastAsia="zh-CN"/>
              </w:rPr>
            </w:pPr>
            <w:r>
              <w:rPr>
                <w:rFonts w:hint="eastAsia" w:eastAsiaTheme="minorEastAsia"/>
                <w:color w:val="auto"/>
                <w:sz w:val="24"/>
                <w:szCs w:val="24"/>
                <w:lang w:eastAsia="zh-CN"/>
              </w:rPr>
              <w:t>四期工程采用“A</w:t>
            </w:r>
            <w:r>
              <w:rPr>
                <w:rFonts w:hint="eastAsia" w:eastAsiaTheme="minorEastAsia"/>
                <w:color w:val="auto"/>
                <w:sz w:val="24"/>
                <w:szCs w:val="24"/>
                <w:vertAlign w:val="superscript"/>
                <w:lang w:eastAsia="zh-CN"/>
              </w:rPr>
              <w:t>2</w:t>
            </w:r>
            <w:r>
              <w:rPr>
                <w:rFonts w:hint="eastAsia" w:eastAsiaTheme="minorEastAsia"/>
                <w:color w:val="auto"/>
                <w:sz w:val="24"/>
                <w:szCs w:val="24"/>
                <w:lang w:eastAsia="zh-CN"/>
              </w:rPr>
              <w:t>O生物处理+沉淀+高效沉淀池十深床滤池十次氯酸钠消毒”工艺。进水全部为生活污水（包括城镇生活污水和企业生活污水），出水达到国家排放标准中的一级A标准，同时满足尾水回用的水质要求。</w:t>
            </w:r>
          </w:p>
          <w:p w14:paraId="3DEA8294">
            <w:pPr>
              <w:adjustRightInd w:val="0"/>
              <w:snapToGrid w:val="0"/>
              <w:spacing w:line="360" w:lineRule="auto"/>
              <w:ind w:firstLine="480" w:firstLineChars="200"/>
              <w:rPr>
                <w:rFonts w:hint="eastAsia" w:eastAsiaTheme="minorEastAsia"/>
                <w:color w:val="auto"/>
                <w:sz w:val="24"/>
                <w:szCs w:val="24"/>
                <w:lang w:eastAsia="zh-CN"/>
              </w:rPr>
            </w:pPr>
            <w:r>
              <w:rPr>
                <w:rFonts w:hint="eastAsia" w:eastAsiaTheme="minorEastAsia"/>
                <w:color w:val="auto"/>
                <w:sz w:val="24"/>
                <w:szCs w:val="24"/>
                <w:lang w:eastAsia="zh-CN"/>
              </w:rPr>
              <w:t>五期项目采用“粗细格栅+曝气沉砂+AAO+二沉池+高效沉淀池＋深床滤池＋消毒工艺”，新增处理能力20万m3/d，于2022年12月获得常州市环境保护局批复（常环审〔2022〕19号），目前正在建设过程中。</w:t>
            </w:r>
          </w:p>
          <w:p w14:paraId="7B53B9BD">
            <w:pPr>
              <w:adjustRightInd w:val="0"/>
              <w:snapToGrid w:val="0"/>
              <w:spacing w:line="360" w:lineRule="auto"/>
              <w:ind w:firstLine="480" w:firstLineChars="200"/>
              <w:rPr>
                <w:rFonts w:hint="eastAsia" w:eastAsiaTheme="minorEastAsia"/>
                <w:color w:val="auto"/>
                <w:sz w:val="24"/>
                <w:szCs w:val="24"/>
              </w:rPr>
            </w:pPr>
            <w:r>
              <w:rPr>
                <w:rFonts w:eastAsiaTheme="minorEastAsia"/>
                <w:color w:val="auto"/>
                <w:sz w:val="24"/>
                <w:szCs w:val="24"/>
              </w:rPr>
              <w:t>综上所述，本项目生活污水预处理后接管排入常州市江边污水处理厂集中处理可行、可靠</w:t>
            </w:r>
            <w:r>
              <w:rPr>
                <w:rFonts w:hint="eastAsia" w:eastAsiaTheme="minorEastAsia"/>
                <w:color w:val="auto"/>
                <w:sz w:val="24"/>
                <w:szCs w:val="24"/>
              </w:rPr>
              <w:t>。</w:t>
            </w:r>
          </w:p>
          <w:p w14:paraId="285905A4">
            <w:pPr>
              <w:adjustRightInd w:val="0"/>
              <w:snapToGrid w:val="0"/>
              <w:spacing w:line="360" w:lineRule="auto"/>
              <w:jc w:val="center"/>
              <w:rPr>
                <w:rFonts w:hint="eastAsia" w:eastAsiaTheme="minorEastAsia"/>
                <w:b/>
                <w:bCs/>
                <w:color w:val="auto"/>
                <w:sz w:val="24"/>
                <w:szCs w:val="24"/>
                <w:lang w:eastAsia="zh-CN"/>
              </w:rPr>
            </w:pPr>
            <w:r>
              <w:rPr>
                <w:rFonts w:hint="eastAsia" w:eastAsiaTheme="minorEastAsia"/>
                <w:b/>
                <w:bCs/>
                <w:color w:val="auto"/>
                <w:sz w:val="24"/>
                <w:szCs w:val="24"/>
                <w:lang w:eastAsia="zh-CN"/>
              </w:rPr>
              <w:drawing>
                <wp:inline distT="0" distB="0" distL="114300" distR="114300">
                  <wp:extent cx="5113020" cy="2109470"/>
                  <wp:effectExtent l="0" t="0" r="11430" b="5080"/>
                  <wp:docPr id="11" name="图片 11" descr="0de1fbf46a9fcc158e2d57141dcc8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de1fbf46a9fcc158e2d57141dcc8965"/>
                          <pic:cNvPicPr>
                            <a:picLocks noChangeAspect="1"/>
                          </pic:cNvPicPr>
                        </pic:nvPicPr>
                        <pic:blipFill>
                          <a:blip r:embed="rId18"/>
                          <a:srcRect t="8893" b="2920"/>
                          <a:stretch>
                            <a:fillRect/>
                          </a:stretch>
                        </pic:blipFill>
                        <pic:spPr>
                          <a:xfrm>
                            <a:off x="0" y="0"/>
                            <a:ext cx="5113020" cy="2109470"/>
                          </a:xfrm>
                          <a:prstGeom prst="rect">
                            <a:avLst/>
                          </a:prstGeom>
                        </pic:spPr>
                      </pic:pic>
                    </a:graphicData>
                  </a:graphic>
                </wp:inline>
              </w:drawing>
            </w:r>
          </w:p>
          <w:p w14:paraId="510868E9">
            <w:pPr>
              <w:pStyle w:val="2"/>
              <w:ind w:left="0" w:leftChars="0" w:firstLine="0" w:firstLineChars="0"/>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图</w:t>
            </w:r>
            <w:r>
              <w:rPr>
                <w:rFonts w:hint="eastAsia" w:ascii="Times New Roman" w:hAnsi="Times New Roman" w:eastAsia="宋体" w:cs="Times New Roman"/>
                <w:b/>
                <w:bCs/>
                <w:color w:val="auto"/>
                <w:sz w:val="24"/>
                <w:szCs w:val="24"/>
              </w:rPr>
              <w:t>4</w:t>
            </w:r>
            <w:r>
              <w:rPr>
                <w:rFonts w:ascii="Times New Roman" w:hAnsi="Times New Roman" w:eastAsia="宋体" w:cs="Times New Roman"/>
                <w:b/>
                <w:bCs/>
                <w:color w:val="auto"/>
                <w:sz w:val="24"/>
                <w:szCs w:val="24"/>
              </w:rPr>
              <w:t>-</w:t>
            </w:r>
            <w:r>
              <w:rPr>
                <w:rFonts w:hint="eastAsia" w:ascii="Times New Roman" w:hAnsi="Times New Roman" w:eastAsia="宋体" w:cs="Times New Roman"/>
                <w:b/>
                <w:bCs/>
                <w:color w:val="auto"/>
                <w:sz w:val="24"/>
                <w:szCs w:val="24"/>
                <w:lang w:val="en-US" w:eastAsia="zh-CN"/>
              </w:rPr>
              <w:t>4</w:t>
            </w:r>
            <w:r>
              <w:rPr>
                <w:rFonts w:ascii="Times New Roman" w:hAnsi="Times New Roman" w:eastAsia="宋体" w:cs="Times New Roman"/>
                <w:b/>
                <w:bCs/>
                <w:color w:val="auto"/>
                <w:sz w:val="24"/>
                <w:szCs w:val="24"/>
              </w:rPr>
              <w:t>常州市江边污水处理厂</w:t>
            </w:r>
            <w:r>
              <w:rPr>
                <w:rFonts w:hint="eastAsia" w:ascii="Times New Roman" w:hAnsi="Times New Roman" w:eastAsia="宋体" w:cs="Times New Roman"/>
                <w:b/>
                <w:bCs/>
                <w:color w:val="auto"/>
                <w:sz w:val="24"/>
                <w:szCs w:val="24"/>
                <w:lang w:val="en-US" w:eastAsia="zh-CN"/>
              </w:rPr>
              <w:t>五</w:t>
            </w:r>
            <w:r>
              <w:rPr>
                <w:rFonts w:ascii="Times New Roman" w:hAnsi="Times New Roman" w:eastAsia="宋体" w:cs="Times New Roman"/>
                <w:b/>
                <w:bCs/>
                <w:color w:val="auto"/>
                <w:sz w:val="24"/>
                <w:szCs w:val="24"/>
              </w:rPr>
              <w:t>期工艺流程图</w:t>
            </w:r>
          </w:p>
          <w:p w14:paraId="1FDDFB81">
            <w:pPr>
              <w:adjustRightInd w:val="0"/>
              <w:snapToGrid w:val="0"/>
              <w:spacing w:line="360" w:lineRule="auto"/>
              <w:ind w:firstLine="480" w:firstLineChars="200"/>
              <w:rPr>
                <w:rFonts w:eastAsiaTheme="minorEastAsia"/>
                <w:color w:val="auto"/>
                <w:sz w:val="24"/>
                <w:szCs w:val="24"/>
              </w:rPr>
            </w:pPr>
            <w:r>
              <w:rPr>
                <w:rFonts w:hint="eastAsia" w:ascii="Times New Roman" w:hAnsi="Times New Roman" w:cs="Times New Roman" w:eastAsiaTheme="minorEastAsia"/>
                <w:color w:val="auto"/>
                <w:sz w:val="24"/>
                <w:szCs w:val="24"/>
              </w:rPr>
              <w:t>⑤</w:t>
            </w:r>
            <w:r>
              <w:rPr>
                <w:rFonts w:ascii="Times New Roman" w:hAnsi="Times New Roman" w:cs="Times New Roman" w:eastAsiaTheme="minorEastAsia"/>
                <w:color w:val="auto"/>
                <w:sz w:val="24"/>
                <w:szCs w:val="24"/>
              </w:rPr>
              <w:t>管网</w:t>
            </w:r>
            <w:r>
              <w:rPr>
                <w:rFonts w:eastAsiaTheme="minorEastAsia"/>
                <w:color w:val="auto"/>
                <w:sz w:val="24"/>
                <w:szCs w:val="24"/>
              </w:rPr>
              <w:t>可达性分析</w:t>
            </w:r>
          </w:p>
          <w:p w14:paraId="14C82002">
            <w:pPr>
              <w:adjustRightInd w:val="0"/>
              <w:snapToGrid w:val="0"/>
              <w:spacing w:line="360" w:lineRule="auto"/>
              <w:ind w:firstLine="480" w:firstLineChars="200"/>
              <w:rPr>
                <w:rFonts w:eastAsiaTheme="minorEastAsia"/>
                <w:color w:val="auto"/>
                <w:sz w:val="24"/>
                <w:szCs w:val="24"/>
              </w:rPr>
            </w:pPr>
            <w:r>
              <w:rPr>
                <w:rFonts w:eastAsiaTheme="minorEastAsia"/>
                <w:color w:val="auto"/>
                <w:sz w:val="24"/>
                <w:szCs w:val="24"/>
              </w:rPr>
              <w:t>常州市江边污水处理厂收集系统服务范围为中心城区，其北为长江、东与江阴、戚墅堰接壤、西与丹阳交界、南到新运河，包含中心组团、高新组团、城西组团、城东组团、新港组团、新龙组团及孟河、奔牛等周边片区。本项目所在地属于该污水处理厂的服务范围内，因此，本项目</w:t>
            </w:r>
            <w:r>
              <w:rPr>
                <w:rFonts w:hint="eastAsia" w:eastAsiaTheme="minorEastAsia"/>
                <w:color w:val="auto"/>
                <w:sz w:val="24"/>
                <w:szCs w:val="24"/>
                <w:lang w:val="en-US" w:eastAsia="zh-CN"/>
              </w:rPr>
              <w:t>生活污水</w:t>
            </w:r>
            <w:r>
              <w:rPr>
                <w:rFonts w:eastAsiaTheme="minorEastAsia"/>
                <w:color w:val="auto"/>
                <w:sz w:val="24"/>
                <w:szCs w:val="24"/>
              </w:rPr>
              <w:t>完全可以接入常州市江边污水处理厂。</w:t>
            </w:r>
          </w:p>
          <w:p w14:paraId="2B8267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eastAsiaTheme="minorEastAsia"/>
                <w:color w:val="auto"/>
                <w:sz w:val="24"/>
                <w:szCs w:val="24"/>
              </w:rPr>
            </w:pPr>
            <w:r>
              <w:rPr>
                <w:rFonts w:hint="eastAsia" w:eastAsiaTheme="minorEastAsia"/>
                <w:color w:val="auto"/>
                <w:sz w:val="24"/>
                <w:szCs w:val="24"/>
              </w:rPr>
              <w:t>⑥</w:t>
            </w:r>
            <w:r>
              <w:rPr>
                <w:rFonts w:eastAsiaTheme="minorEastAsia"/>
                <w:color w:val="auto"/>
                <w:sz w:val="24"/>
                <w:szCs w:val="24"/>
              </w:rPr>
              <w:t>排污口规范化设置</w:t>
            </w:r>
          </w:p>
          <w:p w14:paraId="4312CED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eastAsiaTheme="minorEastAsia"/>
                <w:color w:val="auto"/>
                <w:sz w:val="24"/>
                <w:szCs w:val="24"/>
              </w:rPr>
            </w:pPr>
            <w:r>
              <w:rPr>
                <w:rFonts w:hint="eastAsia" w:eastAsiaTheme="minorEastAsia"/>
                <w:color w:val="auto"/>
                <w:sz w:val="24"/>
                <w:szCs w:val="24"/>
                <w:lang w:val="en-US" w:eastAsia="zh-CN"/>
              </w:rPr>
              <w:t>园区</w:t>
            </w:r>
            <w:r>
              <w:rPr>
                <w:rFonts w:eastAsiaTheme="minorEastAsia"/>
                <w:color w:val="auto"/>
                <w:sz w:val="24"/>
                <w:szCs w:val="24"/>
              </w:rPr>
              <w:t>排水已实施</w:t>
            </w:r>
            <w:r>
              <w:rPr>
                <w:rFonts w:hint="eastAsia" w:eastAsiaTheme="minorEastAsia"/>
                <w:color w:val="auto"/>
                <w:sz w:val="24"/>
                <w:szCs w:val="24"/>
                <w:lang w:eastAsia="zh-CN"/>
              </w:rPr>
              <w:t>“</w:t>
            </w:r>
            <w:r>
              <w:rPr>
                <w:rFonts w:eastAsiaTheme="minorEastAsia"/>
                <w:color w:val="auto"/>
                <w:sz w:val="24"/>
                <w:szCs w:val="24"/>
              </w:rPr>
              <w:t>雨污分流</w:t>
            </w:r>
            <w:r>
              <w:rPr>
                <w:rFonts w:hint="eastAsia" w:eastAsiaTheme="minorEastAsia"/>
                <w:color w:val="auto"/>
                <w:sz w:val="24"/>
                <w:szCs w:val="24"/>
                <w:lang w:eastAsia="zh-CN"/>
              </w:rPr>
              <w:t>”</w:t>
            </w:r>
            <w:r>
              <w:rPr>
                <w:rFonts w:eastAsiaTheme="minorEastAsia"/>
                <w:color w:val="auto"/>
                <w:sz w:val="24"/>
                <w:szCs w:val="24"/>
              </w:rPr>
              <w:t>，污水接管口、雨水</w:t>
            </w:r>
            <w:r>
              <w:rPr>
                <w:rFonts w:hint="eastAsia" w:eastAsiaTheme="minorEastAsia"/>
                <w:color w:val="auto"/>
                <w:sz w:val="24"/>
                <w:szCs w:val="24"/>
                <w:lang w:val="en-US" w:eastAsia="zh-CN"/>
              </w:rPr>
              <w:t>排放</w:t>
            </w:r>
            <w:r>
              <w:rPr>
                <w:rFonts w:eastAsiaTheme="minorEastAsia"/>
                <w:color w:val="auto"/>
                <w:sz w:val="24"/>
                <w:szCs w:val="24"/>
              </w:rPr>
              <w:t>口根据江苏省环保厅《江苏省排污口设置及规范化整治管理办法》进行规范化设置。</w:t>
            </w:r>
          </w:p>
          <w:p w14:paraId="1C5383A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lang w:val="en-US" w:eastAsia="zh-CN"/>
              </w:rPr>
              <w:t>综上</w:t>
            </w:r>
            <w:r>
              <w:rPr>
                <w:rFonts w:hint="eastAsia" w:ascii="Times New Roman" w:hAnsi="Times New Roman" w:cs="Times New Roman" w:eastAsiaTheme="minorEastAsia"/>
                <w:color w:val="auto"/>
                <w:sz w:val="24"/>
                <w:szCs w:val="24"/>
                <w:lang w:val="en-US" w:eastAsia="zh-CN"/>
              </w:rPr>
              <w:t>所述，本项目生活污水预处理后接管排入常州市江边污水处理厂集中处理可行、可靠。</w:t>
            </w:r>
          </w:p>
          <w:p w14:paraId="32078D4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rPr>
              <w:t>⑦污染防治可行技术要求</w:t>
            </w:r>
          </w:p>
          <w:p w14:paraId="58DF51C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rPr>
              <w:t>根据</w:t>
            </w:r>
            <w:r>
              <w:rPr>
                <w:rFonts w:hint="eastAsia"/>
                <w:color w:val="auto"/>
                <w:sz w:val="24"/>
                <w:szCs w:val="24"/>
                <w:lang w:eastAsia="zh-CN"/>
              </w:rPr>
              <w:t>《</w:t>
            </w:r>
            <w:r>
              <w:rPr>
                <w:rFonts w:hint="eastAsia"/>
                <w:color w:val="auto"/>
                <w:sz w:val="24"/>
                <w:szCs w:val="24"/>
                <w:lang w:eastAsia="zh-CN"/>
              </w:rPr>
              <w:fldChar w:fldCharType="begin"/>
            </w:r>
            <w:r>
              <w:rPr>
                <w:rFonts w:hint="eastAsia"/>
                <w:color w:val="auto"/>
                <w:sz w:val="24"/>
                <w:szCs w:val="24"/>
                <w:lang w:eastAsia="zh-CN"/>
              </w:rPr>
              <w:instrText xml:space="preserve"> HYPERLINK "http://www.mee.gov.cn/ywgz/fgbz/bz/bzwb/pwxk/201907/t20190726_712441.shtml" </w:instrText>
            </w:r>
            <w:r>
              <w:rPr>
                <w:rFonts w:hint="eastAsia"/>
                <w:color w:val="auto"/>
                <w:sz w:val="24"/>
                <w:szCs w:val="24"/>
                <w:lang w:eastAsia="zh-CN"/>
              </w:rPr>
              <w:fldChar w:fldCharType="separate"/>
            </w:r>
            <w:r>
              <w:rPr>
                <w:rFonts w:hint="eastAsia"/>
                <w:color w:val="auto"/>
                <w:sz w:val="24"/>
                <w:szCs w:val="24"/>
                <w:lang w:eastAsia="zh-CN"/>
              </w:rPr>
              <w:t>排污许可证申请与核发技术规范总则》（HJ942-2018）</w:t>
            </w:r>
            <w:r>
              <w:rPr>
                <w:rFonts w:hint="eastAsia"/>
                <w:color w:val="auto"/>
                <w:sz w:val="24"/>
                <w:szCs w:val="24"/>
                <w:lang w:eastAsia="zh-CN"/>
              </w:rPr>
              <w:fldChar w:fldCharType="end"/>
            </w:r>
            <w:r>
              <w:rPr>
                <w:rFonts w:hint="eastAsia" w:ascii="Times New Roman" w:hAnsi="Times New Roman" w:cs="Times New Roman" w:eastAsiaTheme="minorEastAsia"/>
                <w:color w:val="auto"/>
                <w:sz w:val="24"/>
                <w:szCs w:val="24"/>
              </w:rPr>
              <w:t>要求，设置污染防治设施。具体污染防治可行技术要求见表4</w:t>
            </w:r>
            <w:r>
              <w:rPr>
                <w:rFonts w:hint="eastAsia" w:ascii="Times New Roman" w:hAnsi="Times New Roman" w:cs="Times New Roman" w:eastAsiaTheme="minorEastAsia"/>
                <w:color w:val="auto"/>
                <w:sz w:val="24"/>
                <w:szCs w:val="24"/>
                <w:lang w:val="en-US" w:eastAsia="zh-CN"/>
              </w:rPr>
              <w:t>-1</w:t>
            </w:r>
            <w:r>
              <w:rPr>
                <w:rFonts w:hint="eastAsia" w:cs="Times New Roman" w:eastAsiaTheme="minorEastAsia"/>
                <w:color w:val="auto"/>
                <w:sz w:val="24"/>
                <w:szCs w:val="24"/>
                <w:lang w:val="en-US" w:eastAsia="zh-CN"/>
              </w:rPr>
              <w:t>9</w:t>
            </w:r>
            <w:r>
              <w:rPr>
                <w:rFonts w:hint="eastAsia" w:ascii="Times New Roman" w:hAnsi="Times New Roman" w:cs="Times New Roman" w:eastAsiaTheme="minorEastAsia"/>
                <w:color w:val="auto"/>
                <w:sz w:val="24"/>
                <w:szCs w:val="24"/>
                <w:lang w:val="en-US" w:eastAsia="zh-CN"/>
              </w:rPr>
              <w:t>。</w:t>
            </w:r>
          </w:p>
          <w:p w14:paraId="541365A2">
            <w:pPr>
              <w:tabs>
                <w:tab w:val="left" w:pos="1144"/>
              </w:tabs>
              <w:spacing w:line="360" w:lineRule="auto"/>
              <w:ind w:right="6"/>
              <w:jc w:val="center"/>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表4</w:t>
            </w:r>
            <w:r>
              <w:rPr>
                <w:rFonts w:hint="eastAsia" w:ascii="Times New Roman" w:hAnsi="Times New Roman" w:eastAsia="宋体" w:cs="Times New Roman"/>
                <w:b/>
                <w:bCs/>
                <w:color w:val="auto"/>
                <w:sz w:val="24"/>
                <w:szCs w:val="24"/>
                <w:lang w:val="en-US" w:eastAsia="zh-CN"/>
              </w:rPr>
              <w:t>-1</w:t>
            </w:r>
            <w:r>
              <w:rPr>
                <w:rFonts w:hint="eastAsia" w:cs="Times New Roman"/>
                <w:b/>
                <w:bCs/>
                <w:color w:val="auto"/>
                <w:sz w:val="24"/>
                <w:szCs w:val="24"/>
                <w:lang w:val="en-US" w:eastAsia="zh-CN"/>
              </w:rPr>
              <w:t>9</w:t>
            </w:r>
            <w:r>
              <w:rPr>
                <w:rFonts w:hint="eastAsia" w:ascii="Times New Roman" w:hAnsi="Times New Roman" w:eastAsia="宋体" w:cs="Times New Roman"/>
                <w:b/>
                <w:bCs/>
                <w:color w:val="auto"/>
                <w:sz w:val="24"/>
                <w:szCs w:val="24"/>
              </w:rPr>
              <w:t>污染防治可行技术情况</w:t>
            </w:r>
          </w:p>
          <w:tbl>
            <w:tblPr>
              <w:tblStyle w:val="36"/>
              <w:tblW w:w="8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173"/>
              <w:gridCol w:w="2362"/>
              <w:gridCol w:w="1247"/>
              <w:gridCol w:w="1188"/>
            </w:tblGrid>
            <w:tr w14:paraId="2AAAD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3496" w:type="pct"/>
                  <w:gridSpan w:val="3"/>
                  <w:vAlign w:val="center"/>
                </w:tcPr>
                <w:p w14:paraId="4B8D7F80">
                  <w:pPr>
                    <w:jc w:val="center"/>
                    <w:rPr>
                      <w:rFonts w:hint="eastAsia" w:ascii="Times New Roman" w:hAnsi="Times New Roman" w:eastAsia="宋体" w:cs="Times New Roman"/>
                      <w:b/>
                      <w:bCs/>
                      <w:color w:val="auto"/>
                      <w:szCs w:val="21"/>
                    </w:rPr>
                  </w:pPr>
                  <w:r>
                    <w:rPr>
                      <w:rFonts w:hint="eastAsia" w:ascii="Times New Roman" w:hAnsi="Times New Roman" w:eastAsia="宋体" w:cs="Times New Roman"/>
                      <w:b/>
                      <w:bCs/>
                      <w:color w:val="auto"/>
                      <w:szCs w:val="21"/>
                      <w:lang w:eastAsia="zh-CN"/>
                    </w:rPr>
                    <w:t>《</w:t>
                  </w:r>
                  <w:r>
                    <w:rPr>
                      <w:rFonts w:hint="eastAsia" w:ascii="Times New Roman" w:hAnsi="Times New Roman" w:eastAsia="宋体" w:cs="Times New Roman"/>
                      <w:b/>
                      <w:bCs/>
                      <w:color w:val="auto"/>
                      <w:szCs w:val="21"/>
                      <w:lang w:eastAsia="zh-CN"/>
                    </w:rPr>
                    <w:fldChar w:fldCharType="begin"/>
                  </w:r>
                  <w:r>
                    <w:rPr>
                      <w:rFonts w:hint="eastAsia" w:ascii="Times New Roman" w:hAnsi="Times New Roman" w:eastAsia="宋体" w:cs="Times New Roman"/>
                      <w:b/>
                      <w:bCs/>
                      <w:color w:val="auto"/>
                      <w:szCs w:val="21"/>
                      <w:lang w:eastAsia="zh-CN"/>
                    </w:rPr>
                    <w:instrText xml:space="preserve"> HYPERLINK "http://www.mee.gov.cn/ywgz/fgbz/bz/bzwb/pwxk/201907/t20190726_712441.shtml" </w:instrText>
                  </w:r>
                  <w:r>
                    <w:rPr>
                      <w:rFonts w:hint="eastAsia" w:ascii="Times New Roman" w:hAnsi="Times New Roman" w:eastAsia="宋体" w:cs="Times New Roman"/>
                      <w:b/>
                      <w:bCs/>
                      <w:color w:val="auto"/>
                      <w:szCs w:val="21"/>
                      <w:lang w:eastAsia="zh-CN"/>
                    </w:rPr>
                    <w:fldChar w:fldCharType="separate"/>
                  </w:r>
                  <w:r>
                    <w:rPr>
                      <w:rFonts w:hint="eastAsia" w:ascii="Times New Roman" w:hAnsi="Times New Roman" w:eastAsia="宋体" w:cs="Times New Roman"/>
                      <w:b/>
                      <w:bCs/>
                      <w:color w:val="auto"/>
                      <w:szCs w:val="21"/>
                      <w:lang w:eastAsia="zh-CN"/>
                    </w:rPr>
                    <w:t>排污许可证申请与核发技术规范总则》（HJ942-2018）</w:t>
                  </w:r>
                  <w:r>
                    <w:rPr>
                      <w:rFonts w:hint="eastAsia" w:ascii="Times New Roman" w:hAnsi="Times New Roman" w:eastAsia="宋体" w:cs="Times New Roman"/>
                      <w:b/>
                      <w:bCs/>
                      <w:color w:val="auto"/>
                      <w:szCs w:val="21"/>
                      <w:lang w:eastAsia="zh-CN"/>
                    </w:rPr>
                    <w:fldChar w:fldCharType="end"/>
                  </w:r>
                </w:p>
              </w:tc>
              <w:tc>
                <w:tcPr>
                  <w:tcW w:w="769" w:type="pct"/>
                  <w:vMerge w:val="restart"/>
                  <w:vAlign w:val="center"/>
                </w:tcPr>
                <w:p w14:paraId="37D26F69">
                  <w:pPr>
                    <w:jc w:val="center"/>
                    <w:rPr>
                      <w:rFonts w:hint="eastAsia"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实际污染防治措施</w:t>
                  </w:r>
                </w:p>
              </w:tc>
              <w:tc>
                <w:tcPr>
                  <w:tcW w:w="733" w:type="pct"/>
                  <w:vMerge w:val="restart"/>
                  <w:vAlign w:val="center"/>
                </w:tcPr>
                <w:p w14:paraId="50792434">
                  <w:pPr>
                    <w:jc w:val="center"/>
                    <w:rPr>
                      <w:b/>
                      <w:bCs/>
                      <w:color w:val="auto"/>
                      <w:szCs w:val="21"/>
                    </w:rPr>
                  </w:pPr>
                  <w:r>
                    <w:rPr>
                      <w:rFonts w:hint="eastAsia"/>
                      <w:b/>
                      <w:bCs/>
                      <w:color w:val="auto"/>
                      <w:szCs w:val="21"/>
                    </w:rPr>
                    <w:t>是否为可行性技术</w:t>
                  </w:r>
                </w:p>
              </w:tc>
            </w:tr>
            <w:tr w14:paraId="6BE69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96" w:type="pct"/>
                  <w:vAlign w:val="center"/>
                </w:tcPr>
                <w:p w14:paraId="5F7B751B">
                  <w:pPr>
                    <w:jc w:val="center"/>
                    <w:rPr>
                      <w:b/>
                      <w:bCs/>
                      <w:color w:val="auto"/>
                      <w:szCs w:val="21"/>
                    </w:rPr>
                  </w:pPr>
                  <w:r>
                    <w:rPr>
                      <w:rFonts w:hint="eastAsia"/>
                      <w:b/>
                      <w:bCs/>
                      <w:color w:val="auto"/>
                      <w:szCs w:val="21"/>
                    </w:rPr>
                    <w:t>废水类别</w:t>
                  </w:r>
                </w:p>
              </w:tc>
              <w:tc>
                <w:tcPr>
                  <w:tcW w:w="1341" w:type="pct"/>
                  <w:vAlign w:val="center"/>
                </w:tcPr>
                <w:p w14:paraId="34C7A063">
                  <w:pPr>
                    <w:jc w:val="center"/>
                    <w:rPr>
                      <w:b/>
                      <w:bCs/>
                      <w:color w:val="auto"/>
                      <w:szCs w:val="21"/>
                    </w:rPr>
                  </w:pPr>
                  <w:r>
                    <w:rPr>
                      <w:rFonts w:hint="eastAsia"/>
                      <w:b/>
                      <w:bCs/>
                      <w:color w:val="auto"/>
                      <w:szCs w:val="21"/>
                    </w:rPr>
                    <w:t>污染物项目</w:t>
                  </w:r>
                </w:p>
              </w:tc>
              <w:tc>
                <w:tcPr>
                  <w:tcW w:w="1458" w:type="pct"/>
                  <w:vAlign w:val="center"/>
                </w:tcPr>
                <w:p w14:paraId="565DD68A">
                  <w:pPr>
                    <w:jc w:val="center"/>
                    <w:rPr>
                      <w:b/>
                      <w:bCs/>
                      <w:color w:val="auto"/>
                      <w:szCs w:val="21"/>
                    </w:rPr>
                  </w:pPr>
                  <w:r>
                    <w:rPr>
                      <w:rFonts w:hint="eastAsia"/>
                      <w:b/>
                      <w:bCs/>
                      <w:color w:val="auto"/>
                      <w:szCs w:val="21"/>
                    </w:rPr>
                    <w:t>推荐污染物防治设施</w:t>
                  </w:r>
                </w:p>
              </w:tc>
              <w:tc>
                <w:tcPr>
                  <w:tcW w:w="769" w:type="pct"/>
                  <w:vMerge w:val="continue"/>
                  <w:vAlign w:val="center"/>
                </w:tcPr>
                <w:p w14:paraId="5BF8934B">
                  <w:pPr>
                    <w:jc w:val="center"/>
                    <w:rPr>
                      <w:color w:val="auto"/>
                      <w:szCs w:val="21"/>
                    </w:rPr>
                  </w:pPr>
                </w:p>
              </w:tc>
              <w:tc>
                <w:tcPr>
                  <w:tcW w:w="733" w:type="pct"/>
                  <w:vMerge w:val="continue"/>
                  <w:vAlign w:val="center"/>
                </w:tcPr>
                <w:p w14:paraId="4DF77752">
                  <w:pPr>
                    <w:jc w:val="center"/>
                    <w:rPr>
                      <w:color w:val="auto"/>
                      <w:szCs w:val="21"/>
                    </w:rPr>
                  </w:pPr>
                </w:p>
              </w:tc>
            </w:tr>
            <w:tr w14:paraId="33EA24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6" w:type="pct"/>
                  <w:shd w:val="clear" w:color="auto" w:fill="auto"/>
                  <w:vAlign w:val="center"/>
                </w:tcPr>
                <w:p w14:paraId="664F8E55">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生活污水</w:t>
                  </w:r>
                </w:p>
              </w:tc>
              <w:tc>
                <w:tcPr>
                  <w:tcW w:w="1341" w:type="pct"/>
                  <w:shd w:val="clear" w:color="auto" w:fill="auto"/>
                  <w:vAlign w:val="center"/>
                </w:tcPr>
                <w:p w14:paraId="4E5CA8E1">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pH值、悬浮物、化学需氧量、氨氮、总磷</w:t>
                  </w:r>
                  <w:r>
                    <w:rPr>
                      <w:rFonts w:hint="eastAsia"/>
                      <w:color w:val="auto"/>
                      <w:szCs w:val="21"/>
                      <w:lang w:eastAsia="zh-CN"/>
                    </w:rPr>
                    <w:t>、总氮</w:t>
                  </w:r>
                </w:p>
              </w:tc>
              <w:tc>
                <w:tcPr>
                  <w:tcW w:w="1458" w:type="pct"/>
                  <w:shd w:val="clear" w:color="auto" w:fill="auto"/>
                  <w:vAlign w:val="center"/>
                </w:tcPr>
                <w:p w14:paraId="471AD2DC">
                  <w:pPr>
                    <w:jc w:val="center"/>
                    <w:rPr>
                      <w:rFonts w:hint="default" w:ascii="Times New Roman" w:hAnsi="Times New Roman" w:eastAsia="宋体" w:cs="Times New Roman"/>
                      <w:color w:val="auto"/>
                      <w:kern w:val="2"/>
                      <w:sz w:val="21"/>
                      <w:szCs w:val="21"/>
                      <w:lang w:val="en-US" w:eastAsia="zh-CN" w:bidi="ar-SA"/>
                    </w:rPr>
                  </w:pPr>
                  <w:r>
                    <w:rPr>
                      <w:color w:val="auto"/>
                      <w:szCs w:val="21"/>
                    </w:rPr>
                    <w:t>生活污水处理设施：隔油池</w:t>
                  </w:r>
                  <w:r>
                    <w:rPr>
                      <w:rFonts w:hint="eastAsia"/>
                      <w:color w:val="auto"/>
                      <w:szCs w:val="21"/>
                    </w:rPr>
                    <w:t>、</w:t>
                  </w:r>
                  <w:r>
                    <w:rPr>
                      <w:color w:val="auto"/>
                      <w:szCs w:val="21"/>
                    </w:rPr>
                    <w:t>化粪池、</w:t>
                  </w:r>
                  <w:r>
                    <w:rPr>
                      <w:rFonts w:hint="eastAsia"/>
                      <w:color w:val="auto"/>
                      <w:szCs w:val="21"/>
                    </w:rPr>
                    <w:t>调节池、好氧生物处理</w:t>
                  </w:r>
                </w:p>
              </w:tc>
              <w:tc>
                <w:tcPr>
                  <w:tcW w:w="769" w:type="pct"/>
                  <w:shd w:val="clear" w:color="auto" w:fill="auto"/>
                  <w:vAlign w:val="center"/>
                </w:tcPr>
                <w:p w14:paraId="14B658BF">
                  <w:pPr>
                    <w:jc w:val="center"/>
                    <w:rPr>
                      <w:color w:val="auto"/>
                      <w:szCs w:val="21"/>
                    </w:rPr>
                  </w:pPr>
                  <w:r>
                    <w:rPr>
                      <w:color w:val="auto"/>
                      <w:szCs w:val="21"/>
                    </w:rPr>
                    <w:t>化粪池</w:t>
                  </w:r>
                </w:p>
                <w:p w14:paraId="06322B8A">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w:t>
                  </w:r>
                  <w:r>
                    <w:rPr>
                      <w:rFonts w:hint="eastAsia"/>
                      <w:color w:val="auto"/>
                      <w:szCs w:val="21"/>
                      <w:lang w:val="en-US" w:eastAsia="zh-CN"/>
                    </w:rPr>
                    <w:t>依托</w:t>
                  </w:r>
                  <w:r>
                    <w:rPr>
                      <w:rFonts w:hint="eastAsia"/>
                      <w:color w:val="auto"/>
                      <w:szCs w:val="21"/>
                      <w:lang w:eastAsia="zh-CN"/>
                    </w:rPr>
                    <w:t>）</w:t>
                  </w:r>
                </w:p>
              </w:tc>
              <w:tc>
                <w:tcPr>
                  <w:tcW w:w="733" w:type="pct"/>
                  <w:shd w:val="clear" w:color="auto" w:fill="auto"/>
                  <w:vAlign w:val="center"/>
                </w:tcPr>
                <w:p w14:paraId="23A3D214">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是</w:t>
                  </w:r>
                </w:p>
              </w:tc>
            </w:tr>
          </w:tbl>
          <w:p w14:paraId="2554FA11">
            <w:pPr>
              <w:pStyle w:val="43"/>
              <w:spacing w:line="240" w:lineRule="auto"/>
              <w:jc w:val="both"/>
              <w:rPr>
                <w:rFonts w:hint="default"/>
                <w:color w:val="FF0000"/>
                <w:sz w:val="10"/>
                <w:szCs w:val="10"/>
                <w:lang w:val="en-US" w:eastAsia="zh-CN"/>
              </w:rPr>
            </w:pPr>
          </w:p>
          <w:p w14:paraId="386D4AC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b/>
                <w:bCs/>
                <w:color w:val="auto"/>
                <w:sz w:val="24"/>
                <w:szCs w:val="24"/>
              </w:rPr>
            </w:pPr>
            <w:r>
              <w:rPr>
                <w:b/>
                <w:bCs/>
                <w:color w:val="auto"/>
                <w:sz w:val="24"/>
                <w:szCs w:val="24"/>
              </w:rPr>
              <w:t>2.</w:t>
            </w:r>
            <w:r>
              <w:rPr>
                <w:rFonts w:hint="eastAsia"/>
                <w:b/>
                <w:bCs/>
                <w:color w:val="auto"/>
                <w:sz w:val="24"/>
                <w:szCs w:val="24"/>
              </w:rPr>
              <w:t>3废水监测要求</w:t>
            </w:r>
          </w:p>
          <w:p w14:paraId="583D26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auto"/>
                <w:sz w:val="24"/>
                <w:szCs w:val="24"/>
              </w:rPr>
            </w:pPr>
            <w:r>
              <w:rPr>
                <w:rFonts w:hint="eastAsia"/>
                <w:color w:val="auto"/>
                <w:sz w:val="24"/>
                <w:szCs w:val="24"/>
              </w:rPr>
              <w:t>根据《排污单位自行监测技术指南总则》（HJ819-2017）中要求，安排监测计划。具体监测要求见表4</w:t>
            </w:r>
            <w:r>
              <w:rPr>
                <w:rFonts w:hint="eastAsia"/>
                <w:color w:val="auto"/>
                <w:sz w:val="24"/>
                <w:szCs w:val="24"/>
                <w:lang w:val="en-US" w:eastAsia="zh-CN"/>
              </w:rPr>
              <w:t>-22</w:t>
            </w:r>
            <w:r>
              <w:rPr>
                <w:rFonts w:hint="eastAsia"/>
                <w:color w:val="auto"/>
                <w:sz w:val="24"/>
                <w:szCs w:val="24"/>
              </w:rPr>
              <w:t>。</w:t>
            </w:r>
          </w:p>
          <w:p w14:paraId="2D6CE1CC">
            <w:pPr>
              <w:tabs>
                <w:tab w:val="left" w:pos="1144"/>
              </w:tabs>
              <w:spacing w:line="360" w:lineRule="auto"/>
              <w:ind w:right="6"/>
              <w:jc w:val="center"/>
              <w:rPr>
                <w:b/>
                <w:bCs/>
                <w:color w:val="auto"/>
                <w:sz w:val="24"/>
                <w:szCs w:val="24"/>
                <w:vertAlign w:val="baseline"/>
              </w:rPr>
            </w:pPr>
            <w:r>
              <w:rPr>
                <w:b/>
                <w:bCs/>
                <w:color w:val="auto"/>
                <w:sz w:val="24"/>
                <w:szCs w:val="24"/>
              </w:rPr>
              <w:t>表4</w:t>
            </w:r>
            <w:r>
              <w:rPr>
                <w:rFonts w:hint="eastAsia"/>
                <w:b/>
                <w:bCs/>
                <w:color w:val="auto"/>
                <w:sz w:val="24"/>
                <w:szCs w:val="24"/>
                <w:lang w:val="en-US" w:eastAsia="zh-CN"/>
              </w:rPr>
              <w:t>-22</w:t>
            </w:r>
            <w:r>
              <w:rPr>
                <w:b/>
                <w:bCs/>
                <w:color w:val="auto"/>
                <w:sz w:val="24"/>
                <w:szCs w:val="24"/>
              </w:rPr>
              <w:t>废</w:t>
            </w:r>
            <w:r>
              <w:rPr>
                <w:rFonts w:hint="eastAsia"/>
                <w:b/>
                <w:bCs/>
                <w:color w:val="auto"/>
                <w:sz w:val="24"/>
                <w:szCs w:val="24"/>
              </w:rPr>
              <w:t>水</w:t>
            </w:r>
            <w:r>
              <w:rPr>
                <w:b/>
                <w:bCs/>
                <w:color w:val="auto"/>
                <w:sz w:val="24"/>
                <w:szCs w:val="24"/>
              </w:rPr>
              <w:t>污染源监测点位、监测指标及最低监测频次一览表</w:t>
            </w:r>
          </w:p>
          <w:tbl>
            <w:tblPr>
              <w:tblStyle w:val="36"/>
              <w:tblW w:w="8047"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365"/>
              <w:gridCol w:w="1371"/>
              <w:gridCol w:w="1089"/>
              <w:gridCol w:w="2178"/>
              <w:gridCol w:w="1342"/>
            </w:tblGrid>
            <w:tr w14:paraId="4A5CE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2" w:type="dxa"/>
                  <w:tcBorders>
                    <w:tl2br w:val="nil"/>
                    <w:tr2bl w:val="nil"/>
                  </w:tcBorders>
                  <w:vAlign w:val="center"/>
                </w:tcPr>
                <w:p w14:paraId="0BDB8175">
                  <w:pPr>
                    <w:tabs>
                      <w:tab w:val="left" w:pos="2115"/>
                    </w:tabs>
                    <w:jc w:val="center"/>
                    <w:rPr>
                      <w:rFonts w:ascii="Times New Roman" w:hAnsi="Times New Roman" w:cs="Times New Roman" w:eastAsiaTheme="minorEastAsia"/>
                      <w:b/>
                      <w:color w:val="auto"/>
                      <w:kern w:val="2"/>
                      <w:sz w:val="21"/>
                      <w:szCs w:val="21"/>
                      <w:lang w:val="en-US" w:eastAsia="zh-CN" w:bidi="ar-SA"/>
                    </w:rPr>
                  </w:pPr>
                  <w:r>
                    <w:rPr>
                      <w:rFonts w:eastAsiaTheme="minorEastAsia"/>
                      <w:b/>
                      <w:color w:val="auto"/>
                      <w:szCs w:val="21"/>
                    </w:rPr>
                    <w:t>类别</w:t>
                  </w:r>
                </w:p>
              </w:tc>
              <w:tc>
                <w:tcPr>
                  <w:tcW w:w="1365" w:type="dxa"/>
                  <w:tcBorders>
                    <w:tl2br w:val="nil"/>
                    <w:tr2bl w:val="nil"/>
                  </w:tcBorders>
                  <w:vAlign w:val="center"/>
                </w:tcPr>
                <w:p w14:paraId="58CC303C">
                  <w:pPr>
                    <w:tabs>
                      <w:tab w:val="left" w:pos="2115"/>
                    </w:tabs>
                    <w:jc w:val="center"/>
                    <w:rPr>
                      <w:rFonts w:ascii="Times New Roman" w:hAnsi="Times New Roman" w:cs="Times New Roman" w:eastAsiaTheme="minorEastAsia"/>
                      <w:b/>
                      <w:color w:val="auto"/>
                      <w:kern w:val="2"/>
                      <w:sz w:val="21"/>
                      <w:szCs w:val="21"/>
                      <w:lang w:val="en-US" w:eastAsia="zh-CN" w:bidi="ar-SA"/>
                    </w:rPr>
                  </w:pPr>
                  <w:r>
                    <w:rPr>
                      <w:rFonts w:eastAsiaTheme="minorEastAsia"/>
                      <w:b/>
                      <w:color w:val="auto"/>
                      <w:szCs w:val="21"/>
                    </w:rPr>
                    <w:t>监测点位</w:t>
                  </w:r>
                </w:p>
              </w:tc>
              <w:tc>
                <w:tcPr>
                  <w:tcW w:w="1371" w:type="dxa"/>
                  <w:tcBorders>
                    <w:tl2br w:val="nil"/>
                    <w:tr2bl w:val="nil"/>
                  </w:tcBorders>
                  <w:vAlign w:val="center"/>
                </w:tcPr>
                <w:p w14:paraId="439DB65E">
                  <w:pPr>
                    <w:tabs>
                      <w:tab w:val="left" w:pos="2115"/>
                    </w:tabs>
                    <w:jc w:val="center"/>
                    <w:rPr>
                      <w:rFonts w:ascii="Times New Roman" w:hAnsi="Times New Roman" w:cs="Times New Roman" w:eastAsiaTheme="minorEastAsia"/>
                      <w:b/>
                      <w:color w:val="auto"/>
                      <w:kern w:val="2"/>
                      <w:sz w:val="21"/>
                      <w:szCs w:val="21"/>
                      <w:lang w:val="en-US" w:eastAsia="zh-CN" w:bidi="ar-SA"/>
                    </w:rPr>
                  </w:pPr>
                  <w:r>
                    <w:rPr>
                      <w:rFonts w:eastAsiaTheme="minorEastAsia"/>
                      <w:b/>
                      <w:color w:val="auto"/>
                      <w:szCs w:val="21"/>
                    </w:rPr>
                    <w:t>监测指标</w:t>
                  </w:r>
                </w:p>
              </w:tc>
              <w:tc>
                <w:tcPr>
                  <w:tcW w:w="1089" w:type="dxa"/>
                  <w:tcBorders>
                    <w:tl2br w:val="nil"/>
                    <w:tr2bl w:val="nil"/>
                  </w:tcBorders>
                  <w:vAlign w:val="center"/>
                </w:tcPr>
                <w:p w14:paraId="4B44FD9E">
                  <w:pPr>
                    <w:tabs>
                      <w:tab w:val="left" w:pos="2115"/>
                    </w:tabs>
                    <w:jc w:val="center"/>
                    <w:rPr>
                      <w:rFonts w:ascii="Times New Roman" w:hAnsi="Times New Roman" w:cs="Times New Roman" w:eastAsiaTheme="minorEastAsia"/>
                      <w:b/>
                      <w:color w:val="auto"/>
                      <w:kern w:val="2"/>
                      <w:sz w:val="21"/>
                      <w:szCs w:val="21"/>
                      <w:lang w:val="en-US" w:eastAsia="zh-CN" w:bidi="ar-SA"/>
                    </w:rPr>
                  </w:pPr>
                  <w:r>
                    <w:rPr>
                      <w:rFonts w:eastAsiaTheme="minorEastAsia"/>
                      <w:b/>
                      <w:color w:val="auto"/>
                      <w:szCs w:val="21"/>
                    </w:rPr>
                    <w:t>监测频次</w:t>
                  </w:r>
                </w:p>
              </w:tc>
              <w:tc>
                <w:tcPr>
                  <w:tcW w:w="2178" w:type="dxa"/>
                  <w:tcBorders>
                    <w:tl2br w:val="nil"/>
                    <w:tr2bl w:val="nil"/>
                  </w:tcBorders>
                  <w:vAlign w:val="center"/>
                </w:tcPr>
                <w:p w14:paraId="3D41FE53">
                  <w:pPr>
                    <w:tabs>
                      <w:tab w:val="left" w:pos="2115"/>
                    </w:tabs>
                    <w:jc w:val="center"/>
                    <w:rPr>
                      <w:rFonts w:ascii="Times New Roman" w:hAnsi="Times New Roman" w:cs="Times New Roman" w:eastAsiaTheme="minorEastAsia"/>
                      <w:b/>
                      <w:color w:val="auto"/>
                      <w:kern w:val="2"/>
                      <w:sz w:val="21"/>
                      <w:szCs w:val="21"/>
                      <w:lang w:val="en-US" w:eastAsia="zh-CN" w:bidi="ar-SA"/>
                    </w:rPr>
                  </w:pPr>
                  <w:r>
                    <w:rPr>
                      <w:rFonts w:eastAsiaTheme="minorEastAsia"/>
                      <w:b/>
                      <w:color w:val="auto"/>
                      <w:szCs w:val="21"/>
                    </w:rPr>
                    <w:t>执行排放标准</w:t>
                  </w:r>
                </w:p>
              </w:tc>
              <w:tc>
                <w:tcPr>
                  <w:tcW w:w="1342" w:type="dxa"/>
                  <w:tcBorders>
                    <w:tl2br w:val="nil"/>
                    <w:tr2bl w:val="nil"/>
                  </w:tcBorders>
                  <w:vAlign w:val="center"/>
                </w:tcPr>
                <w:p w14:paraId="3A2554C9">
                  <w:pPr>
                    <w:tabs>
                      <w:tab w:val="left" w:pos="2115"/>
                    </w:tabs>
                    <w:jc w:val="center"/>
                    <w:rPr>
                      <w:rFonts w:ascii="Times New Roman" w:hAnsi="Times New Roman" w:cs="Times New Roman" w:eastAsiaTheme="minorEastAsia"/>
                      <w:b/>
                      <w:color w:val="auto"/>
                      <w:kern w:val="2"/>
                      <w:sz w:val="21"/>
                      <w:szCs w:val="21"/>
                      <w:lang w:val="en-US" w:eastAsia="zh-CN" w:bidi="ar-SA"/>
                    </w:rPr>
                  </w:pPr>
                  <w:r>
                    <w:rPr>
                      <w:rFonts w:eastAsiaTheme="minorEastAsia"/>
                      <w:b/>
                      <w:color w:val="auto"/>
                      <w:szCs w:val="21"/>
                    </w:rPr>
                    <w:t>监测单位</w:t>
                  </w:r>
                </w:p>
              </w:tc>
            </w:tr>
            <w:tr w14:paraId="354D6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2" w:type="dxa"/>
                  <w:tcBorders>
                    <w:tl2br w:val="nil"/>
                    <w:tr2bl w:val="nil"/>
                  </w:tcBorders>
                  <w:vAlign w:val="center"/>
                </w:tcPr>
                <w:p w14:paraId="5E64D0D0">
                  <w:pPr>
                    <w:pStyle w:val="89"/>
                    <w:spacing w:before="0" w:line="240" w:lineRule="auto"/>
                    <w:ind w:firstLine="0" w:firstLineChars="0"/>
                    <w:jc w:val="center"/>
                    <w:rPr>
                      <w:rFonts w:ascii="Times New Roman" w:hAnsi="Times New Roman" w:cs="Times New Roman" w:eastAsiaTheme="minorEastAsia"/>
                      <w:color w:val="auto"/>
                      <w:kern w:val="2"/>
                      <w:sz w:val="21"/>
                      <w:szCs w:val="21"/>
                      <w:lang w:val="en-US" w:eastAsia="zh-CN" w:bidi="ar-SA"/>
                    </w:rPr>
                  </w:pPr>
                  <w:r>
                    <w:rPr>
                      <w:bCs/>
                      <w:color w:val="auto"/>
                      <w:sz w:val="21"/>
                      <w:szCs w:val="21"/>
                    </w:rPr>
                    <w:t>废水</w:t>
                  </w:r>
                </w:p>
              </w:tc>
              <w:tc>
                <w:tcPr>
                  <w:tcW w:w="1365" w:type="dxa"/>
                  <w:tcBorders>
                    <w:tl2br w:val="nil"/>
                    <w:tr2bl w:val="nil"/>
                  </w:tcBorders>
                  <w:vAlign w:val="center"/>
                </w:tcPr>
                <w:p w14:paraId="6044EA9A">
                  <w:pPr>
                    <w:jc w:val="center"/>
                    <w:rPr>
                      <w:rFonts w:ascii="Times New Roman" w:hAnsi="Times New Roman" w:cs="Times New Roman" w:eastAsiaTheme="minorEastAsia"/>
                      <w:color w:val="auto"/>
                      <w:kern w:val="2"/>
                      <w:sz w:val="21"/>
                      <w:szCs w:val="21"/>
                      <w:lang w:val="en-US" w:eastAsia="zh-CN" w:bidi="ar-SA"/>
                    </w:rPr>
                  </w:pPr>
                  <w:r>
                    <w:rPr>
                      <w:bCs/>
                      <w:color w:val="auto"/>
                      <w:szCs w:val="21"/>
                    </w:rPr>
                    <w:t>污水接管总排口</w:t>
                  </w:r>
                </w:p>
              </w:tc>
              <w:tc>
                <w:tcPr>
                  <w:tcW w:w="1371" w:type="dxa"/>
                  <w:tcBorders>
                    <w:tl2br w:val="nil"/>
                    <w:tr2bl w:val="nil"/>
                  </w:tcBorders>
                  <w:vAlign w:val="center"/>
                </w:tcPr>
                <w:p w14:paraId="213E4587">
                  <w:pPr>
                    <w:jc w:val="center"/>
                    <w:rPr>
                      <w:rFonts w:hint="default" w:ascii="Times New Roman" w:hAnsi="Times New Roman" w:eastAsia="宋体" w:cs="Times New Roman"/>
                      <w:color w:val="auto"/>
                      <w:kern w:val="2"/>
                      <w:sz w:val="21"/>
                      <w:szCs w:val="21"/>
                      <w:lang w:val="en-US" w:eastAsia="zh-CN" w:bidi="ar-SA"/>
                    </w:rPr>
                  </w:pPr>
                  <w:r>
                    <w:rPr>
                      <w:bCs/>
                      <w:color w:val="auto"/>
                      <w:szCs w:val="21"/>
                    </w:rPr>
                    <w:t>pH、COD、SS、氨氮、总磷</w:t>
                  </w:r>
                  <w:r>
                    <w:rPr>
                      <w:rFonts w:hint="eastAsia"/>
                      <w:bCs/>
                      <w:color w:val="auto"/>
                      <w:szCs w:val="21"/>
                    </w:rPr>
                    <w:t>、总氮</w:t>
                  </w:r>
                </w:p>
              </w:tc>
              <w:tc>
                <w:tcPr>
                  <w:tcW w:w="1089" w:type="dxa"/>
                  <w:tcBorders>
                    <w:tl2br w:val="nil"/>
                    <w:tr2bl w:val="nil"/>
                  </w:tcBorders>
                  <w:vAlign w:val="center"/>
                </w:tcPr>
                <w:p w14:paraId="2511CC34">
                  <w:pPr>
                    <w:jc w:val="center"/>
                    <w:rPr>
                      <w:rFonts w:ascii="Times New Roman" w:hAnsi="Times New Roman" w:cs="Times New Roman" w:eastAsiaTheme="minorEastAsia"/>
                      <w:color w:val="auto"/>
                      <w:kern w:val="2"/>
                      <w:sz w:val="21"/>
                      <w:szCs w:val="21"/>
                      <w:lang w:val="en-US" w:eastAsia="zh-CN" w:bidi="ar-SA"/>
                    </w:rPr>
                  </w:pPr>
                  <w:r>
                    <w:rPr>
                      <w:bCs/>
                      <w:color w:val="auto"/>
                      <w:szCs w:val="21"/>
                    </w:rPr>
                    <w:t>1次/年</w:t>
                  </w:r>
                </w:p>
              </w:tc>
              <w:tc>
                <w:tcPr>
                  <w:tcW w:w="2178" w:type="dxa"/>
                  <w:tcBorders>
                    <w:tl2br w:val="nil"/>
                    <w:tr2bl w:val="nil"/>
                  </w:tcBorders>
                  <w:vAlign w:val="center"/>
                </w:tcPr>
                <w:p w14:paraId="579E68A6">
                  <w:pPr>
                    <w:jc w:val="center"/>
                    <w:rPr>
                      <w:rFonts w:ascii="Times New Roman" w:hAnsi="Times New Roman" w:cs="Times New Roman" w:eastAsiaTheme="minorEastAsia"/>
                      <w:color w:val="auto"/>
                      <w:kern w:val="2"/>
                      <w:sz w:val="21"/>
                      <w:szCs w:val="21"/>
                      <w:lang w:val="en-US" w:eastAsia="zh-CN" w:bidi="ar-SA"/>
                    </w:rPr>
                  </w:pPr>
                  <w:r>
                    <w:rPr>
                      <w:bCs/>
                      <w:color w:val="auto"/>
                      <w:szCs w:val="21"/>
                    </w:rPr>
                    <w:t>《污水排入城镇下水道水质标准》（GB/T31962-2015）表1中B等级标准</w:t>
                  </w:r>
                </w:p>
              </w:tc>
              <w:tc>
                <w:tcPr>
                  <w:tcW w:w="1342" w:type="dxa"/>
                  <w:tcBorders>
                    <w:tl2br w:val="nil"/>
                    <w:tr2bl w:val="nil"/>
                  </w:tcBorders>
                  <w:vAlign w:val="center"/>
                </w:tcPr>
                <w:p w14:paraId="69CAA4AF">
                  <w:pPr>
                    <w:jc w:val="center"/>
                    <w:rPr>
                      <w:rFonts w:ascii="Times New Roman" w:hAnsi="Times New Roman" w:cs="Times New Roman" w:eastAsiaTheme="minorEastAsia"/>
                      <w:color w:val="auto"/>
                      <w:kern w:val="2"/>
                      <w:sz w:val="21"/>
                      <w:szCs w:val="21"/>
                      <w:lang w:val="en-US" w:eastAsia="zh-CN" w:bidi="ar-SA"/>
                    </w:rPr>
                  </w:pPr>
                  <w:r>
                    <w:rPr>
                      <w:color w:val="auto"/>
                      <w:szCs w:val="21"/>
                    </w:rPr>
                    <w:t>有资质的环境监测单位</w:t>
                  </w:r>
                </w:p>
              </w:tc>
            </w:tr>
          </w:tbl>
          <w:p w14:paraId="1EA29242">
            <w:pPr>
              <w:snapToGrid w:val="0"/>
              <w:spacing w:line="240" w:lineRule="auto"/>
              <w:ind w:firstLine="201" w:firstLineChars="200"/>
              <w:rPr>
                <w:rFonts w:hint="eastAsia" w:eastAsiaTheme="minorEastAsia"/>
                <w:b/>
                <w:bCs/>
                <w:color w:val="FF0000"/>
                <w:sz w:val="10"/>
                <w:szCs w:val="10"/>
              </w:rPr>
            </w:pPr>
          </w:p>
          <w:p w14:paraId="4186EA2B">
            <w:pPr>
              <w:snapToGrid w:val="0"/>
              <w:spacing w:line="360" w:lineRule="auto"/>
              <w:ind w:firstLine="482" w:firstLineChars="200"/>
              <w:rPr>
                <w:rFonts w:eastAsiaTheme="minorEastAsia"/>
                <w:b/>
                <w:bCs/>
                <w:color w:val="auto"/>
                <w:sz w:val="24"/>
                <w:szCs w:val="24"/>
              </w:rPr>
            </w:pPr>
            <w:r>
              <w:rPr>
                <w:rFonts w:hint="eastAsia" w:eastAsiaTheme="minorEastAsia"/>
                <w:b/>
                <w:bCs/>
                <w:color w:val="auto"/>
                <w:sz w:val="24"/>
                <w:szCs w:val="24"/>
              </w:rPr>
              <w:t>2.4地表水</w:t>
            </w:r>
            <w:r>
              <w:rPr>
                <w:rFonts w:eastAsiaTheme="minorEastAsia"/>
                <w:b/>
                <w:bCs/>
                <w:color w:val="auto"/>
                <w:sz w:val="24"/>
                <w:szCs w:val="24"/>
              </w:rPr>
              <w:t>环境影响分析</w:t>
            </w:r>
          </w:p>
          <w:p w14:paraId="2F9D341B">
            <w:pPr>
              <w:adjustRightInd w:val="0"/>
              <w:snapToGrid w:val="0"/>
              <w:spacing w:line="360" w:lineRule="auto"/>
              <w:ind w:firstLine="480" w:firstLineChars="200"/>
              <w:rPr>
                <w:rFonts w:eastAsiaTheme="minorEastAsia"/>
                <w:color w:val="auto"/>
                <w:sz w:val="24"/>
              </w:rPr>
            </w:pPr>
            <w:r>
              <w:rPr>
                <w:rFonts w:hint="eastAsia" w:eastAsiaTheme="minorEastAsia"/>
                <w:color w:val="auto"/>
                <w:sz w:val="24"/>
                <w:lang w:val="en-US" w:eastAsia="zh-CN"/>
              </w:rPr>
              <w:t>园区</w:t>
            </w:r>
            <w:r>
              <w:rPr>
                <w:rFonts w:hint="eastAsia" w:eastAsiaTheme="minorEastAsia"/>
                <w:color w:val="auto"/>
                <w:sz w:val="24"/>
              </w:rPr>
              <w:t>排水实施</w:t>
            </w:r>
            <w:r>
              <w:rPr>
                <w:rFonts w:hint="eastAsia" w:eastAsiaTheme="minorEastAsia"/>
                <w:color w:val="auto"/>
                <w:sz w:val="24"/>
                <w:lang w:eastAsia="zh-CN"/>
              </w:rPr>
              <w:t>“</w:t>
            </w:r>
            <w:r>
              <w:rPr>
                <w:rFonts w:hint="eastAsia" w:eastAsiaTheme="minorEastAsia"/>
                <w:color w:val="auto"/>
                <w:sz w:val="24"/>
              </w:rPr>
              <w:t>雨污分流</w:t>
            </w:r>
            <w:r>
              <w:rPr>
                <w:rFonts w:hint="eastAsia" w:eastAsiaTheme="minorEastAsia"/>
                <w:color w:val="auto"/>
                <w:sz w:val="24"/>
                <w:lang w:eastAsia="zh-CN"/>
              </w:rPr>
              <w:t>”</w:t>
            </w:r>
            <w:r>
              <w:rPr>
                <w:rFonts w:hint="eastAsia" w:eastAsiaTheme="minorEastAsia"/>
                <w:color w:val="auto"/>
                <w:sz w:val="24"/>
              </w:rPr>
              <w:t>，雨水</w:t>
            </w:r>
            <w:r>
              <w:rPr>
                <w:rFonts w:hint="eastAsia" w:eastAsiaTheme="minorEastAsia"/>
                <w:color w:val="auto"/>
                <w:sz w:val="24"/>
                <w:lang w:val="en-US" w:eastAsia="zh-CN"/>
              </w:rPr>
              <w:t>经园区</w:t>
            </w:r>
            <w:r>
              <w:rPr>
                <w:rFonts w:hint="eastAsia" w:eastAsiaTheme="minorEastAsia"/>
                <w:color w:val="auto"/>
                <w:sz w:val="24"/>
              </w:rPr>
              <w:t>雨水管网收集后排入市政雨水管网，就近排入地表水体。</w:t>
            </w:r>
          </w:p>
          <w:p w14:paraId="4B4BA582">
            <w:pPr>
              <w:adjustRightInd w:val="0"/>
              <w:snapToGrid w:val="0"/>
              <w:spacing w:line="360" w:lineRule="auto"/>
              <w:ind w:firstLine="480" w:firstLineChars="200"/>
              <w:rPr>
                <w:rFonts w:eastAsiaTheme="minorEastAsia"/>
                <w:color w:val="auto"/>
                <w:sz w:val="24"/>
              </w:rPr>
            </w:pPr>
            <w:r>
              <w:rPr>
                <w:rFonts w:hint="eastAsia" w:eastAsiaTheme="minorEastAsia"/>
                <w:color w:val="auto"/>
                <w:sz w:val="24"/>
              </w:rPr>
              <w:t>本项目</w:t>
            </w:r>
            <w:r>
              <w:rPr>
                <w:rFonts w:hint="eastAsia" w:eastAsiaTheme="minorEastAsia"/>
                <w:color w:val="auto"/>
                <w:sz w:val="24"/>
                <w:lang w:eastAsia="zh-CN"/>
              </w:rPr>
              <w:t>无生产废水</w:t>
            </w:r>
            <w:r>
              <w:rPr>
                <w:rFonts w:hint="eastAsia" w:eastAsiaTheme="minorEastAsia"/>
                <w:color w:val="auto"/>
                <w:sz w:val="24"/>
                <w:lang w:val="en-US" w:eastAsia="zh-CN"/>
              </w:rPr>
              <w:t>产生及</w:t>
            </w:r>
            <w:r>
              <w:rPr>
                <w:rFonts w:hint="eastAsia" w:eastAsiaTheme="minorEastAsia"/>
                <w:color w:val="auto"/>
                <w:sz w:val="24"/>
                <w:lang w:eastAsia="zh-CN"/>
              </w:rPr>
              <w:t>排放</w:t>
            </w:r>
            <w:r>
              <w:rPr>
                <w:rFonts w:ascii="Times New Roman" w:hAnsi="Times New Roman" w:eastAsia="宋体" w:cs="Times New Roman"/>
                <w:color w:val="auto"/>
                <w:sz w:val="24"/>
              </w:rPr>
              <w:t>，</w:t>
            </w:r>
            <w:r>
              <w:rPr>
                <w:rFonts w:hint="eastAsia" w:eastAsiaTheme="minorEastAsia"/>
                <w:color w:val="auto"/>
                <w:sz w:val="24"/>
              </w:rPr>
              <w:t>员工生活污水</w:t>
            </w:r>
            <w:r>
              <w:rPr>
                <w:rFonts w:hint="eastAsia" w:eastAsiaTheme="minorEastAsia"/>
                <w:color w:val="auto"/>
                <w:sz w:val="24"/>
                <w:lang w:val="en-US" w:eastAsia="zh-CN"/>
              </w:rPr>
              <w:t>648</w:t>
            </w:r>
            <w:r>
              <w:rPr>
                <w:rFonts w:hint="eastAsia" w:eastAsiaTheme="minorEastAsia"/>
                <w:color w:val="auto"/>
                <w:sz w:val="24"/>
              </w:rPr>
              <w:t>m</w:t>
            </w:r>
            <w:r>
              <w:rPr>
                <w:rFonts w:hint="eastAsia" w:eastAsiaTheme="minorEastAsia"/>
                <w:color w:val="auto"/>
                <w:sz w:val="24"/>
                <w:vertAlign w:val="superscript"/>
              </w:rPr>
              <w:t>3</w:t>
            </w:r>
            <w:r>
              <w:rPr>
                <w:rFonts w:hint="eastAsia" w:eastAsiaTheme="minorEastAsia"/>
                <w:color w:val="auto"/>
                <w:sz w:val="24"/>
              </w:rPr>
              <w:t>/a</w:t>
            </w:r>
            <w:r>
              <w:rPr>
                <w:rFonts w:hint="eastAsia" w:eastAsiaTheme="minorEastAsia"/>
                <w:color w:val="auto"/>
                <w:sz w:val="24"/>
                <w:lang w:val="en-US" w:eastAsia="zh-CN"/>
              </w:rPr>
              <w:t>经园区</w:t>
            </w:r>
            <w:r>
              <w:rPr>
                <w:rFonts w:hint="eastAsia" w:eastAsiaTheme="minorEastAsia"/>
                <w:color w:val="auto"/>
                <w:sz w:val="24"/>
              </w:rPr>
              <w:t>化粪池预处理达接管标准后，接管排入市政污水管网，最终排入</w:t>
            </w:r>
            <w:r>
              <w:rPr>
                <w:rFonts w:hint="eastAsia" w:eastAsiaTheme="minorEastAsia"/>
                <w:color w:val="auto"/>
                <w:sz w:val="24"/>
                <w:lang w:eastAsia="zh-CN"/>
              </w:rPr>
              <w:t>常州市江边污水处理厂</w:t>
            </w:r>
            <w:r>
              <w:rPr>
                <w:rFonts w:hint="eastAsia" w:eastAsiaTheme="minorEastAsia"/>
                <w:color w:val="auto"/>
                <w:sz w:val="24"/>
              </w:rPr>
              <w:t>集中处理，尾水最终排入</w:t>
            </w:r>
            <w:r>
              <w:rPr>
                <w:rFonts w:hint="eastAsia" w:eastAsiaTheme="minorEastAsia"/>
                <w:color w:val="auto"/>
                <w:sz w:val="24"/>
                <w:lang w:val="en-US" w:eastAsia="zh-CN"/>
              </w:rPr>
              <w:t>长江</w:t>
            </w:r>
            <w:r>
              <w:rPr>
                <w:rFonts w:hint="eastAsia" w:eastAsiaTheme="minorEastAsia"/>
                <w:color w:val="auto"/>
                <w:sz w:val="24"/>
              </w:rPr>
              <w:t>。</w:t>
            </w:r>
          </w:p>
          <w:p w14:paraId="57EA3899">
            <w:pPr>
              <w:adjustRightInd w:val="0"/>
              <w:snapToGrid w:val="0"/>
              <w:spacing w:line="360" w:lineRule="auto"/>
              <w:ind w:firstLine="480" w:firstLineChars="200"/>
              <w:rPr>
                <w:rFonts w:hint="eastAsia" w:eastAsiaTheme="minorEastAsia"/>
                <w:color w:val="auto"/>
                <w:sz w:val="24"/>
              </w:rPr>
            </w:pPr>
            <w:r>
              <w:rPr>
                <w:rFonts w:hint="eastAsia" w:eastAsiaTheme="minorEastAsia"/>
                <w:color w:val="auto"/>
                <w:sz w:val="24"/>
              </w:rPr>
              <w:t>根据《环境影响评价技术导则-地表水环境》（HJ2.3-2018）的要求，本项目废水为间接排放，据此判断本项目地表水评价等级为三级B。因此仅对接收本项目废水的</w:t>
            </w:r>
            <w:r>
              <w:rPr>
                <w:rFonts w:hint="eastAsia" w:eastAsiaTheme="minorEastAsia"/>
                <w:color w:val="auto"/>
                <w:sz w:val="24"/>
                <w:lang w:val="en-US" w:eastAsia="zh-CN"/>
              </w:rPr>
              <w:t>常州市江边污水处理厂</w:t>
            </w:r>
            <w:r>
              <w:rPr>
                <w:rFonts w:hint="eastAsia" w:eastAsiaTheme="minorEastAsia"/>
                <w:color w:val="auto"/>
                <w:sz w:val="24"/>
              </w:rPr>
              <w:t>进行可行性分析。根据</w:t>
            </w:r>
            <w:r>
              <w:rPr>
                <w:rFonts w:hint="eastAsia" w:eastAsiaTheme="minorEastAsia"/>
                <w:color w:val="auto"/>
                <w:sz w:val="24"/>
                <w:lang w:eastAsia="zh-CN"/>
              </w:rPr>
              <w:t>“</w:t>
            </w:r>
            <w:r>
              <w:rPr>
                <w:rFonts w:hint="eastAsia" w:eastAsiaTheme="minorEastAsia"/>
                <w:color w:val="auto"/>
                <w:sz w:val="24"/>
              </w:rPr>
              <w:t>污染防治措施</w:t>
            </w:r>
            <w:r>
              <w:rPr>
                <w:rFonts w:hint="eastAsia" w:eastAsiaTheme="minorEastAsia"/>
                <w:color w:val="auto"/>
                <w:sz w:val="24"/>
                <w:lang w:eastAsia="zh-CN"/>
              </w:rPr>
              <w:t>”</w:t>
            </w:r>
            <w:r>
              <w:rPr>
                <w:rFonts w:hint="eastAsia" w:eastAsiaTheme="minorEastAsia"/>
                <w:color w:val="auto"/>
                <w:sz w:val="24"/>
              </w:rPr>
              <w:t>章节的分析，</w:t>
            </w:r>
            <w:r>
              <w:rPr>
                <w:rFonts w:hint="eastAsia" w:eastAsiaTheme="minorEastAsia"/>
                <w:color w:val="auto"/>
                <w:sz w:val="24"/>
                <w:lang w:val="en-US" w:eastAsia="zh-CN"/>
              </w:rPr>
              <w:t>常州市江边污水处理厂</w:t>
            </w:r>
            <w:r>
              <w:rPr>
                <w:rFonts w:hint="eastAsia" w:eastAsiaTheme="minorEastAsia"/>
                <w:color w:val="auto"/>
                <w:sz w:val="24"/>
              </w:rPr>
              <w:t>可接纳本项目的废水，对周围水环境影响较小。根据《环境影响评价技术导则-地表水环境》（HJ2.3-2018）</w:t>
            </w:r>
            <w:r>
              <w:rPr>
                <w:rFonts w:hint="eastAsia" w:eastAsiaTheme="minorEastAsia"/>
                <w:color w:val="auto"/>
                <w:sz w:val="24"/>
                <w:lang w:eastAsia="zh-CN"/>
              </w:rPr>
              <w:t>“</w:t>
            </w:r>
            <w:r>
              <w:rPr>
                <w:rFonts w:hint="eastAsia" w:eastAsiaTheme="minorEastAsia"/>
                <w:color w:val="auto"/>
                <w:sz w:val="24"/>
              </w:rPr>
              <w:t>10.2 需明确给出污染源排放量核算结果，填写建设项目污染物排放信息表。</w:t>
            </w:r>
            <w:r>
              <w:rPr>
                <w:rFonts w:hint="eastAsia" w:eastAsiaTheme="minorEastAsia"/>
                <w:color w:val="auto"/>
                <w:sz w:val="24"/>
                <w:lang w:eastAsia="zh-CN"/>
              </w:rPr>
              <w:t>”</w:t>
            </w:r>
            <w:r>
              <w:rPr>
                <w:rFonts w:hint="eastAsia" w:eastAsiaTheme="minorEastAsia"/>
                <w:color w:val="auto"/>
                <w:sz w:val="24"/>
              </w:rPr>
              <w:t>具体信息见下表：</w:t>
            </w:r>
          </w:p>
          <w:p w14:paraId="4A80D2DA">
            <w:pPr>
              <w:adjustRightInd w:val="0"/>
              <w:snapToGrid w:val="0"/>
              <w:spacing w:line="360" w:lineRule="auto"/>
              <w:ind w:left="480"/>
              <w:rPr>
                <w:rFonts w:hint="eastAsia" w:eastAsiaTheme="minorEastAsia"/>
                <w:b/>
                <w:bCs/>
                <w:color w:val="FF0000"/>
                <w:sz w:val="24"/>
                <w:szCs w:val="24"/>
              </w:rPr>
            </w:pPr>
          </w:p>
          <w:p w14:paraId="6CB80168">
            <w:pPr>
              <w:pStyle w:val="3"/>
              <w:rPr>
                <w:rFonts w:hint="eastAsia" w:eastAsiaTheme="minorEastAsia"/>
                <w:b/>
                <w:bCs/>
                <w:color w:val="FF0000"/>
                <w:sz w:val="24"/>
                <w:szCs w:val="24"/>
              </w:rPr>
            </w:pPr>
          </w:p>
          <w:p w14:paraId="702980C4">
            <w:pPr>
              <w:spacing w:line="360" w:lineRule="auto"/>
              <w:rPr>
                <w:rFonts w:hint="eastAsia" w:ascii="Times New Roman" w:hAnsi="Times New Roman" w:cs="Times New Roman" w:eastAsiaTheme="minorEastAsia"/>
                <w:bCs/>
                <w:color w:val="FF0000"/>
                <w:sz w:val="24"/>
                <w:szCs w:val="24"/>
                <w:lang w:val="en-US" w:eastAsia="zh-CN"/>
              </w:rPr>
            </w:pPr>
          </w:p>
          <w:p w14:paraId="7AD4C305">
            <w:pPr>
              <w:pStyle w:val="45"/>
              <w:rPr>
                <w:rFonts w:hint="eastAsia" w:ascii="Times New Roman" w:hAnsi="Times New Roman" w:cs="Times New Roman" w:eastAsiaTheme="minorEastAsia"/>
                <w:bCs/>
                <w:color w:val="FF0000"/>
                <w:sz w:val="24"/>
                <w:szCs w:val="24"/>
                <w:lang w:val="en-US" w:eastAsia="zh-CN"/>
              </w:rPr>
            </w:pPr>
          </w:p>
          <w:p w14:paraId="56F689E3">
            <w:pPr>
              <w:pStyle w:val="45"/>
              <w:rPr>
                <w:rFonts w:hint="eastAsia" w:ascii="Times New Roman" w:hAnsi="Times New Roman" w:cs="Times New Roman" w:eastAsiaTheme="minorEastAsia"/>
                <w:bCs/>
                <w:color w:val="FF0000"/>
                <w:sz w:val="24"/>
                <w:szCs w:val="24"/>
                <w:lang w:val="en-US" w:eastAsia="zh-CN"/>
              </w:rPr>
            </w:pPr>
          </w:p>
          <w:p w14:paraId="0D40A184">
            <w:pPr>
              <w:pStyle w:val="45"/>
              <w:rPr>
                <w:rFonts w:hint="eastAsia" w:ascii="Times New Roman" w:hAnsi="Times New Roman" w:cs="Times New Roman" w:eastAsiaTheme="minorEastAsia"/>
                <w:bCs/>
                <w:color w:val="FF0000"/>
                <w:sz w:val="24"/>
                <w:szCs w:val="24"/>
                <w:lang w:val="en-US" w:eastAsia="zh-CN"/>
              </w:rPr>
            </w:pPr>
          </w:p>
          <w:p w14:paraId="77BA252E">
            <w:pPr>
              <w:pStyle w:val="45"/>
              <w:rPr>
                <w:rFonts w:hint="eastAsia" w:ascii="Times New Roman" w:hAnsi="Times New Roman" w:cs="Times New Roman" w:eastAsiaTheme="minorEastAsia"/>
                <w:bCs/>
                <w:color w:val="FF0000"/>
                <w:sz w:val="24"/>
                <w:szCs w:val="24"/>
                <w:lang w:val="en-US" w:eastAsia="zh-CN"/>
              </w:rPr>
            </w:pPr>
          </w:p>
          <w:p w14:paraId="46872676">
            <w:pPr>
              <w:pStyle w:val="45"/>
              <w:rPr>
                <w:rFonts w:hint="eastAsia" w:ascii="Times New Roman" w:hAnsi="Times New Roman" w:cs="Times New Roman" w:eastAsiaTheme="minorEastAsia"/>
                <w:bCs/>
                <w:color w:val="FF0000"/>
                <w:sz w:val="24"/>
                <w:szCs w:val="24"/>
                <w:lang w:val="en-US" w:eastAsia="zh-CN"/>
              </w:rPr>
            </w:pPr>
          </w:p>
          <w:p w14:paraId="325D1E89">
            <w:pPr>
              <w:pStyle w:val="45"/>
              <w:rPr>
                <w:rFonts w:hint="eastAsia" w:ascii="Times New Roman" w:hAnsi="Times New Roman" w:cs="Times New Roman" w:eastAsiaTheme="minorEastAsia"/>
                <w:bCs/>
                <w:color w:val="FF0000"/>
                <w:sz w:val="24"/>
                <w:szCs w:val="24"/>
                <w:lang w:val="en-US" w:eastAsia="zh-CN"/>
              </w:rPr>
            </w:pPr>
          </w:p>
          <w:p w14:paraId="3CBA20C4">
            <w:pPr>
              <w:pStyle w:val="45"/>
              <w:rPr>
                <w:rFonts w:hint="eastAsia" w:ascii="Times New Roman" w:hAnsi="Times New Roman" w:cs="Times New Roman" w:eastAsiaTheme="minorEastAsia"/>
                <w:bCs/>
                <w:color w:val="FF0000"/>
                <w:sz w:val="24"/>
                <w:szCs w:val="24"/>
                <w:lang w:val="en-US" w:eastAsia="zh-CN"/>
              </w:rPr>
            </w:pPr>
          </w:p>
          <w:p w14:paraId="21E51E14">
            <w:pPr>
              <w:pStyle w:val="45"/>
              <w:rPr>
                <w:rFonts w:hint="eastAsia" w:ascii="Times New Roman" w:hAnsi="Times New Roman" w:cs="Times New Roman" w:eastAsiaTheme="minorEastAsia"/>
                <w:bCs/>
                <w:color w:val="FF0000"/>
                <w:sz w:val="24"/>
                <w:szCs w:val="24"/>
                <w:lang w:val="en-US" w:eastAsia="zh-CN"/>
              </w:rPr>
            </w:pPr>
          </w:p>
          <w:p w14:paraId="4DA74088">
            <w:pPr>
              <w:pStyle w:val="45"/>
              <w:rPr>
                <w:rFonts w:hint="eastAsia" w:ascii="Times New Roman" w:hAnsi="Times New Roman" w:cs="Times New Roman" w:eastAsiaTheme="minorEastAsia"/>
                <w:bCs/>
                <w:color w:val="FF0000"/>
                <w:sz w:val="24"/>
                <w:szCs w:val="24"/>
                <w:lang w:val="en-US" w:eastAsia="zh-CN"/>
              </w:rPr>
            </w:pPr>
          </w:p>
          <w:p w14:paraId="2356C31A">
            <w:pPr>
              <w:pStyle w:val="45"/>
              <w:rPr>
                <w:rFonts w:hint="eastAsia" w:ascii="Times New Roman" w:hAnsi="Times New Roman" w:cs="Times New Roman" w:eastAsiaTheme="minorEastAsia"/>
                <w:bCs/>
                <w:color w:val="FF0000"/>
                <w:sz w:val="24"/>
                <w:szCs w:val="24"/>
                <w:lang w:val="en-US" w:eastAsia="zh-CN"/>
              </w:rPr>
            </w:pPr>
          </w:p>
          <w:p w14:paraId="7952252A">
            <w:pPr>
              <w:pStyle w:val="45"/>
              <w:rPr>
                <w:rFonts w:hint="eastAsia" w:ascii="Times New Roman" w:hAnsi="Times New Roman" w:cs="Times New Roman" w:eastAsiaTheme="minorEastAsia"/>
                <w:bCs/>
                <w:color w:val="FF0000"/>
                <w:sz w:val="24"/>
                <w:szCs w:val="24"/>
                <w:lang w:val="en-US" w:eastAsia="zh-CN"/>
              </w:rPr>
            </w:pPr>
          </w:p>
          <w:p w14:paraId="2E6398B3">
            <w:pPr>
              <w:pStyle w:val="45"/>
              <w:rPr>
                <w:rFonts w:hint="eastAsia" w:ascii="Times New Roman" w:hAnsi="Times New Roman" w:cs="Times New Roman" w:eastAsiaTheme="minorEastAsia"/>
                <w:bCs/>
                <w:color w:val="FF0000"/>
                <w:sz w:val="24"/>
                <w:szCs w:val="24"/>
                <w:lang w:val="en-US" w:eastAsia="zh-CN"/>
              </w:rPr>
            </w:pPr>
          </w:p>
          <w:p w14:paraId="51E71AC6">
            <w:pPr>
              <w:pStyle w:val="45"/>
              <w:rPr>
                <w:rFonts w:hint="eastAsia" w:ascii="Times New Roman" w:hAnsi="Times New Roman" w:cs="Times New Roman" w:eastAsiaTheme="minorEastAsia"/>
                <w:bCs/>
                <w:color w:val="FF0000"/>
                <w:sz w:val="24"/>
                <w:szCs w:val="24"/>
                <w:lang w:val="en-US" w:eastAsia="zh-CN"/>
              </w:rPr>
            </w:pPr>
          </w:p>
          <w:p w14:paraId="6D8E4B57">
            <w:pPr>
              <w:pStyle w:val="45"/>
              <w:rPr>
                <w:rFonts w:hint="eastAsia" w:ascii="Times New Roman" w:hAnsi="Times New Roman" w:cs="Times New Roman" w:eastAsiaTheme="minorEastAsia"/>
                <w:bCs/>
                <w:color w:val="FF0000"/>
                <w:sz w:val="24"/>
                <w:szCs w:val="24"/>
                <w:lang w:val="en-US" w:eastAsia="zh-CN"/>
              </w:rPr>
            </w:pPr>
          </w:p>
          <w:p w14:paraId="59DCCA7A">
            <w:pPr>
              <w:pStyle w:val="45"/>
              <w:rPr>
                <w:rFonts w:hint="eastAsia" w:ascii="Times New Roman" w:hAnsi="Times New Roman" w:cs="Times New Roman" w:eastAsiaTheme="minorEastAsia"/>
                <w:bCs/>
                <w:color w:val="FF0000"/>
                <w:sz w:val="24"/>
                <w:szCs w:val="24"/>
                <w:lang w:val="en-US" w:eastAsia="zh-CN"/>
              </w:rPr>
            </w:pPr>
          </w:p>
          <w:p w14:paraId="7A227222">
            <w:pPr>
              <w:pStyle w:val="45"/>
              <w:rPr>
                <w:rFonts w:hint="eastAsia" w:ascii="Times New Roman" w:hAnsi="Times New Roman" w:cs="Times New Roman" w:eastAsiaTheme="minorEastAsia"/>
                <w:bCs/>
                <w:color w:val="FF0000"/>
                <w:sz w:val="24"/>
                <w:szCs w:val="24"/>
                <w:lang w:val="en-US" w:eastAsia="zh-CN"/>
              </w:rPr>
            </w:pPr>
          </w:p>
          <w:p w14:paraId="424BCD01">
            <w:pPr>
              <w:pStyle w:val="45"/>
              <w:rPr>
                <w:rFonts w:hint="eastAsia" w:ascii="Times New Roman" w:hAnsi="Times New Roman" w:cs="Times New Roman" w:eastAsiaTheme="minorEastAsia"/>
                <w:bCs/>
                <w:color w:val="FF0000"/>
                <w:sz w:val="24"/>
                <w:szCs w:val="24"/>
                <w:lang w:val="en-US" w:eastAsia="zh-CN"/>
              </w:rPr>
            </w:pPr>
          </w:p>
          <w:p w14:paraId="7CEC2FFE">
            <w:pPr>
              <w:pStyle w:val="45"/>
              <w:rPr>
                <w:rFonts w:hint="eastAsia" w:ascii="Times New Roman" w:hAnsi="Times New Roman" w:cs="Times New Roman" w:eastAsiaTheme="minorEastAsia"/>
                <w:bCs/>
                <w:color w:val="FF0000"/>
                <w:sz w:val="24"/>
                <w:szCs w:val="24"/>
                <w:lang w:val="en-US" w:eastAsia="zh-CN"/>
              </w:rPr>
            </w:pPr>
          </w:p>
          <w:p w14:paraId="5B3AA9E2">
            <w:pPr>
              <w:pStyle w:val="45"/>
              <w:rPr>
                <w:rFonts w:hint="eastAsia" w:ascii="Times New Roman" w:hAnsi="Times New Roman" w:cs="Times New Roman" w:eastAsiaTheme="minorEastAsia"/>
                <w:bCs/>
                <w:color w:val="FF0000"/>
                <w:sz w:val="24"/>
                <w:szCs w:val="24"/>
                <w:lang w:val="en-US" w:eastAsia="zh-CN"/>
              </w:rPr>
            </w:pPr>
          </w:p>
          <w:p w14:paraId="24D58629">
            <w:pPr>
              <w:pStyle w:val="45"/>
              <w:rPr>
                <w:rFonts w:hint="eastAsia" w:ascii="Times New Roman" w:hAnsi="Times New Roman" w:cs="Times New Roman" w:eastAsiaTheme="minorEastAsia"/>
                <w:bCs/>
                <w:color w:val="FF0000"/>
                <w:sz w:val="24"/>
                <w:szCs w:val="24"/>
                <w:lang w:val="en-US" w:eastAsia="zh-CN"/>
              </w:rPr>
            </w:pPr>
          </w:p>
          <w:p w14:paraId="6DA91E3E">
            <w:pPr>
              <w:pStyle w:val="45"/>
              <w:rPr>
                <w:rFonts w:hint="eastAsia" w:ascii="Times New Roman" w:hAnsi="Times New Roman" w:cs="Times New Roman" w:eastAsiaTheme="minorEastAsia"/>
                <w:bCs/>
                <w:color w:val="FF0000"/>
                <w:sz w:val="24"/>
                <w:szCs w:val="24"/>
                <w:lang w:val="en-US" w:eastAsia="zh-CN"/>
              </w:rPr>
            </w:pPr>
          </w:p>
          <w:p w14:paraId="57B1EFC7">
            <w:pPr>
              <w:pStyle w:val="45"/>
              <w:rPr>
                <w:rFonts w:hint="eastAsia" w:ascii="Times New Roman" w:hAnsi="Times New Roman" w:cs="Times New Roman" w:eastAsiaTheme="minorEastAsia"/>
                <w:bCs/>
                <w:color w:val="FF0000"/>
                <w:sz w:val="24"/>
                <w:szCs w:val="24"/>
                <w:lang w:val="en-US" w:eastAsia="zh-CN"/>
              </w:rPr>
            </w:pPr>
          </w:p>
          <w:p w14:paraId="4FC8749E">
            <w:pPr>
              <w:pStyle w:val="45"/>
              <w:rPr>
                <w:rFonts w:hint="eastAsia" w:ascii="Times New Roman" w:hAnsi="Times New Roman" w:cs="Times New Roman" w:eastAsiaTheme="minorEastAsia"/>
                <w:bCs/>
                <w:color w:val="FF0000"/>
                <w:sz w:val="24"/>
                <w:szCs w:val="24"/>
                <w:lang w:val="en-US" w:eastAsia="zh-CN"/>
              </w:rPr>
            </w:pPr>
          </w:p>
          <w:p w14:paraId="6F6C375C">
            <w:pPr>
              <w:pStyle w:val="45"/>
              <w:rPr>
                <w:rFonts w:hint="eastAsia" w:ascii="Times New Roman" w:hAnsi="Times New Roman" w:cs="Times New Roman" w:eastAsiaTheme="minorEastAsia"/>
                <w:bCs/>
                <w:color w:val="FF0000"/>
                <w:sz w:val="24"/>
                <w:szCs w:val="24"/>
                <w:lang w:val="en-US" w:eastAsia="zh-CN"/>
              </w:rPr>
            </w:pPr>
          </w:p>
          <w:p w14:paraId="550ACD8B">
            <w:pPr>
              <w:pStyle w:val="45"/>
              <w:rPr>
                <w:rFonts w:hint="eastAsia" w:ascii="Times New Roman" w:hAnsi="Times New Roman" w:cs="Times New Roman" w:eastAsiaTheme="minorEastAsia"/>
                <w:bCs/>
                <w:color w:val="FF0000"/>
                <w:sz w:val="24"/>
                <w:szCs w:val="24"/>
                <w:lang w:val="en-US" w:eastAsia="zh-CN"/>
              </w:rPr>
            </w:pPr>
          </w:p>
          <w:p w14:paraId="19016768">
            <w:pPr>
              <w:pStyle w:val="45"/>
              <w:rPr>
                <w:rFonts w:hint="eastAsia" w:ascii="Times New Roman" w:hAnsi="Times New Roman" w:cs="Times New Roman" w:eastAsiaTheme="minorEastAsia"/>
                <w:bCs/>
                <w:color w:val="FF0000"/>
                <w:sz w:val="24"/>
                <w:szCs w:val="24"/>
                <w:lang w:val="en-US" w:eastAsia="zh-CN"/>
              </w:rPr>
            </w:pPr>
          </w:p>
          <w:p w14:paraId="354A4325">
            <w:pPr>
              <w:pStyle w:val="45"/>
              <w:rPr>
                <w:rFonts w:hint="eastAsia" w:ascii="Times New Roman" w:hAnsi="Times New Roman" w:cs="Times New Roman" w:eastAsiaTheme="minorEastAsia"/>
                <w:bCs/>
                <w:color w:val="FF0000"/>
                <w:sz w:val="24"/>
                <w:szCs w:val="24"/>
                <w:lang w:val="en-US" w:eastAsia="zh-CN"/>
              </w:rPr>
            </w:pPr>
          </w:p>
          <w:p w14:paraId="52A5165C">
            <w:pPr>
              <w:pStyle w:val="45"/>
              <w:rPr>
                <w:rFonts w:hint="eastAsia" w:ascii="Times New Roman" w:hAnsi="Times New Roman" w:cs="Times New Roman" w:eastAsiaTheme="minorEastAsia"/>
                <w:bCs/>
                <w:color w:val="FF0000"/>
                <w:sz w:val="24"/>
                <w:szCs w:val="24"/>
                <w:lang w:val="en-US" w:eastAsia="zh-CN"/>
              </w:rPr>
            </w:pPr>
          </w:p>
          <w:p w14:paraId="318B9023">
            <w:pPr>
              <w:pStyle w:val="45"/>
              <w:rPr>
                <w:rFonts w:hint="eastAsia" w:ascii="Times New Roman" w:hAnsi="Times New Roman" w:cs="Times New Roman" w:eastAsiaTheme="minorEastAsia"/>
                <w:bCs/>
                <w:color w:val="FF0000"/>
                <w:sz w:val="24"/>
                <w:szCs w:val="24"/>
                <w:lang w:val="en-US" w:eastAsia="zh-CN"/>
              </w:rPr>
            </w:pPr>
          </w:p>
          <w:p w14:paraId="6E2CF167">
            <w:pPr>
              <w:pStyle w:val="45"/>
              <w:rPr>
                <w:rFonts w:hint="eastAsia" w:ascii="Times New Roman" w:hAnsi="Times New Roman" w:cs="Times New Roman" w:eastAsiaTheme="minorEastAsia"/>
                <w:bCs/>
                <w:color w:val="FF0000"/>
                <w:sz w:val="24"/>
                <w:szCs w:val="24"/>
                <w:lang w:val="en-US" w:eastAsia="zh-CN"/>
              </w:rPr>
            </w:pPr>
          </w:p>
          <w:p w14:paraId="4E790936">
            <w:pPr>
              <w:pStyle w:val="45"/>
              <w:rPr>
                <w:rFonts w:hint="eastAsia" w:ascii="Times New Roman" w:hAnsi="Times New Roman" w:cs="Times New Roman" w:eastAsiaTheme="minorEastAsia"/>
                <w:bCs/>
                <w:color w:val="FF0000"/>
                <w:sz w:val="24"/>
                <w:szCs w:val="24"/>
                <w:lang w:val="en-US" w:eastAsia="zh-CN"/>
              </w:rPr>
            </w:pPr>
          </w:p>
          <w:p w14:paraId="6A8AB78D">
            <w:pPr>
              <w:pStyle w:val="45"/>
              <w:rPr>
                <w:rFonts w:hint="eastAsia" w:ascii="Times New Roman" w:hAnsi="Times New Roman" w:cs="Times New Roman" w:eastAsiaTheme="minorEastAsia"/>
                <w:bCs/>
                <w:color w:val="FF0000"/>
                <w:sz w:val="24"/>
                <w:szCs w:val="24"/>
                <w:lang w:val="en-US" w:eastAsia="zh-CN"/>
              </w:rPr>
            </w:pPr>
          </w:p>
          <w:p w14:paraId="4B5D8616">
            <w:pPr>
              <w:pStyle w:val="45"/>
              <w:rPr>
                <w:rFonts w:hint="eastAsia" w:ascii="Times New Roman" w:hAnsi="Times New Roman" w:cs="Times New Roman" w:eastAsiaTheme="minorEastAsia"/>
                <w:bCs/>
                <w:color w:val="FF0000"/>
                <w:sz w:val="24"/>
                <w:szCs w:val="24"/>
                <w:lang w:val="en-US" w:eastAsia="zh-CN"/>
              </w:rPr>
            </w:pPr>
          </w:p>
          <w:p w14:paraId="4D8540D5">
            <w:pPr>
              <w:pStyle w:val="45"/>
              <w:rPr>
                <w:rFonts w:hint="eastAsia" w:ascii="Times New Roman" w:hAnsi="Times New Roman" w:cs="Times New Roman" w:eastAsiaTheme="minorEastAsia"/>
                <w:bCs/>
                <w:color w:val="FF0000"/>
                <w:sz w:val="24"/>
                <w:szCs w:val="24"/>
                <w:lang w:val="en-US" w:eastAsia="zh-CN"/>
              </w:rPr>
            </w:pPr>
          </w:p>
          <w:p w14:paraId="37F9BE92">
            <w:pPr>
              <w:pStyle w:val="45"/>
              <w:rPr>
                <w:rFonts w:hint="eastAsia" w:ascii="Times New Roman" w:hAnsi="Times New Roman" w:cs="Times New Roman" w:eastAsiaTheme="minorEastAsia"/>
                <w:bCs/>
                <w:color w:val="FF0000"/>
                <w:sz w:val="24"/>
                <w:szCs w:val="24"/>
                <w:lang w:val="en-US" w:eastAsia="zh-CN"/>
              </w:rPr>
            </w:pPr>
          </w:p>
          <w:p w14:paraId="75020149">
            <w:pPr>
              <w:pStyle w:val="45"/>
              <w:rPr>
                <w:rFonts w:hint="eastAsia" w:ascii="Times New Roman" w:hAnsi="Times New Roman" w:cs="Times New Roman" w:eastAsiaTheme="minorEastAsia"/>
                <w:bCs/>
                <w:color w:val="FF0000"/>
                <w:sz w:val="24"/>
                <w:szCs w:val="24"/>
                <w:lang w:val="en-US" w:eastAsia="zh-CN"/>
              </w:rPr>
            </w:pPr>
          </w:p>
          <w:p w14:paraId="3A2B7C5A">
            <w:pPr>
              <w:pStyle w:val="45"/>
              <w:rPr>
                <w:rFonts w:hint="eastAsia" w:ascii="Times New Roman" w:hAnsi="Times New Roman" w:cs="Times New Roman" w:eastAsiaTheme="minorEastAsia"/>
                <w:bCs/>
                <w:color w:val="FF0000"/>
                <w:sz w:val="24"/>
                <w:szCs w:val="24"/>
                <w:lang w:val="en-US" w:eastAsia="zh-CN"/>
              </w:rPr>
            </w:pPr>
          </w:p>
          <w:p w14:paraId="4D827A4E">
            <w:pPr>
              <w:pStyle w:val="45"/>
              <w:rPr>
                <w:rFonts w:hint="eastAsia" w:ascii="Times New Roman" w:hAnsi="Times New Roman" w:cs="Times New Roman" w:eastAsiaTheme="minorEastAsia"/>
                <w:bCs/>
                <w:color w:val="FF0000"/>
                <w:sz w:val="24"/>
                <w:szCs w:val="24"/>
                <w:lang w:val="en-US" w:eastAsia="zh-CN"/>
              </w:rPr>
            </w:pPr>
          </w:p>
          <w:p w14:paraId="693ED818">
            <w:pPr>
              <w:rPr>
                <w:color w:val="FF0000"/>
              </w:rPr>
            </w:pPr>
          </w:p>
          <w:p w14:paraId="54F742FD">
            <w:pPr>
              <w:pStyle w:val="2"/>
            </w:pPr>
          </w:p>
        </w:tc>
      </w:tr>
    </w:tbl>
    <w:p w14:paraId="1C414406">
      <w:pPr>
        <w:rPr>
          <w:color w:val="FF0000"/>
        </w:rPr>
        <w:sectPr>
          <w:pgSz w:w="11905" w:h="16838"/>
          <w:pgMar w:top="1276" w:right="1803" w:bottom="1712" w:left="1803" w:header="850" w:footer="992" w:gutter="0"/>
          <w:pgBorders>
            <w:top w:val="none" w:sz="0" w:space="0"/>
            <w:left w:val="none" w:sz="0" w:space="0"/>
            <w:bottom w:val="none" w:sz="0" w:space="0"/>
            <w:right w:val="none" w:sz="0" w:space="0"/>
          </w:pgBorders>
          <w:pgNumType w:fmt="decimal"/>
          <w:cols w:space="0" w:num="1"/>
          <w:docGrid w:type="lines" w:linePitch="319" w:charSpace="0"/>
        </w:sectPr>
      </w:pP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14066"/>
      </w:tblGrid>
      <w:tr w14:paraId="59F337E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740" w:hRule="atLeast"/>
        </w:trPr>
        <w:tc>
          <w:tcPr>
            <w:tcW w:w="5000" w:type="pct"/>
          </w:tcPr>
          <w:p w14:paraId="04430F3B">
            <w:pPr>
              <w:widowControl/>
              <w:adjustRightInd w:val="0"/>
              <w:snapToGrid w:val="0"/>
              <w:spacing w:line="324" w:lineRule="auto"/>
              <w:jc w:val="center"/>
              <w:rPr>
                <w:b/>
                <w:bCs/>
                <w:color w:val="auto"/>
                <w:sz w:val="24"/>
                <w:szCs w:val="24"/>
              </w:rPr>
            </w:pPr>
            <w:r>
              <w:rPr>
                <w:b/>
                <w:bCs/>
                <w:color w:val="auto"/>
                <w:sz w:val="24"/>
                <w:szCs w:val="24"/>
              </w:rPr>
              <w:t>表</w:t>
            </w:r>
            <w:r>
              <w:rPr>
                <w:rFonts w:hint="eastAsia"/>
                <w:b/>
                <w:bCs/>
                <w:color w:val="auto"/>
                <w:sz w:val="24"/>
                <w:szCs w:val="24"/>
              </w:rPr>
              <w:t>4</w:t>
            </w:r>
            <w:r>
              <w:rPr>
                <w:rFonts w:hint="eastAsia"/>
                <w:b/>
                <w:bCs/>
                <w:color w:val="auto"/>
                <w:sz w:val="24"/>
                <w:szCs w:val="24"/>
                <w:lang w:val="en-US" w:eastAsia="zh-CN"/>
              </w:rPr>
              <w:t>-13</w:t>
            </w:r>
            <w:r>
              <w:rPr>
                <w:b/>
                <w:bCs/>
                <w:color w:val="auto"/>
                <w:sz w:val="24"/>
                <w:szCs w:val="24"/>
              </w:rPr>
              <w:t>本项目废水类别、污染物及污染治理设施信息表</w:t>
            </w:r>
          </w:p>
          <w:tbl>
            <w:tblPr>
              <w:tblStyle w:val="35"/>
              <w:tblW w:w="499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92"/>
              <w:gridCol w:w="735"/>
              <w:gridCol w:w="1019"/>
              <w:gridCol w:w="1367"/>
              <w:gridCol w:w="1533"/>
              <w:gridCol w:w="1097"/>
              <w:gridCol w:w="1094"/>
              <w:gridCol w:w="1105"/>
              <w:gridCol w:w="881"/>
              <w:gridCol w:w="1489"/>
              <w:gridCol w:w="2989"/>
            </w:tblGrid>
            <w:tr w14:paraId="5B282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 w:hRule="atLeast"/>
                <w:jc w:val="center"/>
              </w:trPr>
              <w:tc>
                <w:tcPr>
                  <w:tcW w:w="178" w:type="pct"/>
                  <w:vMerge w:val="restart"/>
                  <w:vAlign w:val="center"/>
                </w:tcPr>
                <w:p w14:paraId="0142EA96">
                  <w:pPr>
                    <w:widowControl/>
                    <w:spacing w:line="280" w:lineRule="exact"/>
                    <w:jc w:val="center"/>
                    <w:rPr>
                      <w:b/>
                      <w:color w:val="auto"/>
                      <w:szCs w:val="21"/>
                    </w:rPr>
                  </w:pPr>
                  <w:r>
                    <w:rPr>
                      <w:b/>
                      <w:color w:val="auto"/>
                      <w:szCs w:val="21"/>
                    </w:rPr>
                    <w:t>序号</w:t>
                  </w:r>
                </w:p>
              </w:tc>
              <w:tc>
                <w:tcPr>
                  <w:tcW w:w="266" w:type="pct"/>
                  <w:vMerge w:val="restart"/>
                  <w:vAlign w:val="center"/>
                </w:tcPr>
                <w:p w14:paraId="0E2985D0">
                  <w:pPr>
                    <w:widowControl/>
                    <w:spacing w:line="280" w:lineRule="exact"/>
                    <w:jc w:val="center"/>
                    <w:rPr>
                      <w:b/>
                      <w:color w:val="auto"/>
                      <w:szCs w:val="21"/>
                    </w:rPr>
                  </w:pPr>
                  <w:r>
                    <w:rPr>
                      <w:b/>
                      <w:color w:val="auto"/>
                      <w:szCs w:val="21"/>
                    </w:rPr>
                    <w:t>废水类型</w:t>
                  </w:r>
                </w:p>
              </w:tc>
              <w:tc>
                <w:tcPr>
                  <w:tcW w:w="369" w:type="pct"/>
                  <w:vMerge w:val="restart"/>
                  <w:vAlign w:val="center"/>
                </w:tcPr>
                <w:p w14:paraId="5A89AA08">
                  <w:pPr>
                    <w:widowControl/>
                    <w:spacing w:line="280" w:lineRule="exact"/>
                    <w:jc w:val="center"/>
                    <w:rPr>
                      <w:b/>
                      <w:color w:val="auto"/>
                      <w:szCs w:val="21"/>
                    </w:rPr>
                  </w:pPr>
                  <w:r>
                    <w:rPr>
                      <w:b/>
                      <w:color w:val="auto"/>
                      <w:szCs w:val="21"/>
                    </w:rPr>
                    <w:t>污染物</w:t>
                  </w:r>
                </w:p>
                <w:p w14:paraId="6776F3F5">
                  <w:pPr>
                    <w:widowControl/>
                    <w:spacing w:line="280" w:lineRule="exact"/>
                    <w:jc w:val="center"/>
                    <w:rPr>
                      <w:b/>
                      <w:color w:val="auto"/>
                      <w:szCs w:val="21"/>
                    </w:rPr>
                  </w:pPr>
                  <w:r>
                    <w:rPr>
                      <w:b/>
                      <w:color w:val="auto"/>
                      <w:szCs w:val="21"/>
                    </w:rPr>
                    <w:t>种类</w:t>
                  </w:r>
                </w:p>
              </w:tc>
              <w:tc>
                <w:tcPr>
                  <w:tcW w:w="495" w:type="pct"/>
                  <w:vMerge w:val="restart"/>
                  <w:vAlign w:val="center"/>
                </w:tcPr>
                <w:p w14:paraId="7127F950">
                  <w:pPr>
                    <w:widowControl/>
                    <w:spacing w:line="280" w:lineRule="exact"/>
                    <w:jc w:val="center"/>
                    <w:rPr>
                      <w:b/>
                      <w:color w:val="auto"/>
                      <w:szCs w:val="21"/>
                    </w:rPr>
                  </w:pPr>
                  <w:r>
                    <w:rPr>
                      <w:b/>
                      <w:color w:val="auto"/>
                      <w:szCs w:val="21"/>
                    </w:rPr>
                    <w:t>排放</w:t>
                  </w:r>
                </w:p>
                <w:p w14:paraId="234FB93B">
                  <w:pPr>
                    <w:widowControl/>
                    <w:spacing w:line="280" w:lineRule="exact"/>
                    <w:jc w:val="center"/>
                    <w:rPr>
                      <w:b/>
                      <w:color w:val="auto"/>
                      <w:szCs w:val="21"/>
                    </w:rPr>
                  </w:pPr>
                  <w:r>
                    <w:rPr>
                      <w:b/>
                      <w:color w:val="auto"/>
                      <w:szCs w:val="21"/>
                    </w:rPr>
                    <w:t>去向</w:t>
                  </w:r>
                </w:p>
              </w:tc>
              <w:tc>
                <w:tcPr>
                  <w:tcW w:w="555" w:type="pct"/>
                  <w:vMerge w:val="restart"/>
                  <w:vAlign w:val="center"/>
                </w:tcPr>
                <w:p w14:paraId="7400FC8E">
                  <w:pPr>
                    <w:widowControl/>
                    <w:spacing w:line="280" w:lineRule="exact"/>
                    <w:jc w:val="center"/>
                    <w:rPr>
                      <w:b/>
                      <w:color w:val="auto"/>
                      <w:szCs w:val="21"/>
                    </w:rPr>
                  </w:pPr>
                  <w:r>
                    <w:rPr>
                      <w:b/>
                      <w:color w:val="auto"/>
                      <w:szCs w:val="21"/>
                    </w:rPr>
                    <w:t>排放规律</w:t>
                  </w:r>
                </w:p>
              </w:tc>
              <w:tc>
                <w:tcPr>
                  <w:tcW w:w="1193" w:type="pct"/>
                  <w:gridSpan w:val="3"/>
                  <w:vAlign w:val="center"/>
                </w:tcPr>
                <w:p w14:paraId="537D9B87">
                  <w:pPr>
                    <w:widowControl/>
                    <w:spacing w:line="280" w:lineRule="exact"/>
                    <w:jc w:val="center"/>
                    <w:rPr>
                      <w:b/>
                      <w:color w:val="auto"/>
                      <w:szCs w:val="21"/>
                    </w:rPr>
                  </w:pPr>
                  <w:r>
                    <w:rPr>
                      <w:b/>
                      <w:color w:val="auto"/>
                      <w:szCs w:val="21"/>
                    </w:rPr>
                    <w:t>污染治理设施</w:t>
                  </w:r>
                </w:p>
              </w:tc>
              <w:tc>
                <w:tcPr>
                  <w:tcW w:w="319" w:type="pct"/>
                  <w:vMerge w:val="restart"/>
                  <w:vAlign w:val="center"/>
                </w:tcPr>
                <w:p w14:paraId="3C19DA18">
                  <w:pPr>
                    <w:widowControl/>
                    <w:spacing w:line="280" w:lineRule="exact"/>
                    <w:jc w:val="center"/>
                    <w:rPr>
                      <w:b/>
                      <w:color w:val="auto"/>
                      <w:szCs w:val="21"/>
                    </w:rPr>
                  </w:pPr>
                  <w:r>
                    <w:rPr>
                      <w:b/>
                      <w:color w:val="auto"/>
                      <w:szCs w:val="21"/>
                    </w:rPr>
                    <w:t>排放口</w:t>
                  </w:r>
                </w:p>
                <w:p w14:paraId="1B9C0EC5">
                  <w:pPr>
                    <w:widowControl/>
                    <w:spacing w:line="280" w:lineRule="exact"/>
                    <w:jc w:val="center"/>
                    <w:rPr>
                      <w:b/>
                      <w:color w:val="auto"/>
                      <w:szCs w:val="21"/>
                    </w:rPr>
                  </w:pPr>
                  <w:r>
                    <w:rPr>
                      <w:b/>
                      <w:color w:val="auto"/>
                      <w:szCs w:val="21"/>
                    </w:rPr>
                    <w:t>编号</w:t>
                  </w:r>
                </w:p>
              </w:tc>
              <w:tc>
                <w:tcPr>
                  <w:tcW w:w="539" w:type="pct"/>
                  <w:vMerge w:val="restart"/>
                  <w:vAlign w:val="center"/>
                </w:tcPr>
                <w:p w14:paraId="642B508C">
                  <w:pPr>
                    <w:widowControl/>
                    <w:spacing w:line="280" w:lineRule="exact"/>
                    <w:jc w:val="center"/>
                    <w:rPr>
                      <w:b/>
                      <w:color w:val="auto"/>
                      <w:szCs w:val="21"/>
                    </w:rPr>
                  </w:pPr>
                  <w:r>
                    <w:rPr>
                      <w:b/>
                      <w:color w:val="auto"/>
                      <w:szCs w:val="21"/>
                    </w:rPr>
                    <w:t>排放口设置</w:t>
                  </w:r>
                </w:p>
                <w:p w14:paraId="1813ED61">
                  <w:pPr>
                    <w:widowControl/>
                    <w:spacing w:line="280" w:lineRule="exact"/>
                    <w:jc w:val="center"/>
                    <w:rPr>
                      <w:b/>
                      <w:color w:val="auto"/>
                      <w:szCs w:val="21"/>
                    </w:rPr>
                  </w:pPr>
                  <w:r>
                    <w:rPr>
                      <w:b/>
                      <w:color w:val="auto"/>
                      <w:szCs w:val="21"/>
                    </w:rPr>
                    <w:t>是否符合要求</w:t>
                  </w:r>
                </w:p>
              </w:tc>
              <w:tc>
                <w:tcPr>
                  <w:tcW w:w="1082" w:type="pct"/>
                  <w:vMerge w:val="restart"/>
                  <w:vAlign w:val="center"/>
                </w:tcPr>
                <w:p w14:paraId="02CBD8E8">
                  <w:pPr>
                    <w:widowControl/>
                    <w:spacing w:line="280" w:lineRule="exact"/>
                    <w:jc w:val="center"/>
                    <w:rPr>
                      <w:b/>
                      <w:color w:val="auto"/>
                      <w:szCs w:val="21"/>
                    </w:rPr>
                  </w:pPr>
                  <w:r>
                    <w:rPr>
                      <w:b/>
                      <w:color w:val="auto"/>
                      <w:szCs w:val="21"/>
                    </w:rPr>
                    <w:t>排放口类型</w:t>
                  </w:r>
                </w:p>
              </w:tc>
            </w:tr>
            <w:tr w14:paraId="29250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78" w:type="pct"/>
                  <w:vMerge w:val="continue"/>
                  <w:vAlign w:val="center"/>
                </w:tcPr>
                <w:p w14:paraId="4A5E6B5A">
                  <w:pPr>
                    <w:widowControl/>
                    <w:spacing w:line="280" w:lineRule="exact"/>
                    <w:jc w:val="center"/>
                    <w:rPr>
                      <w:color w:val="auto"/>
                      <w:szCs w:val="21"/>
                    </w:rPr>
                  </w:pPr>
                </w:p>
              </w:tc>
              <w:tc>
                <w:tcPr>
                  <w:tcW w:w="266" w:type="pct"/>
                  <w:vMerge w:val="continue"/>
                  <w:vAlign w:val="center"/>
                </w:tcPr>
                <w:p w14:paraId="0E87A307">
                  <w:pPr>
                    <w:widowControl/>
                    <w:spacing w:line="280" w:lineRule="exact"/>
                    <w:jc w:val="center"/>
                    <w:rPr>
                      <w:color w:val="auto"/>
                      <w:szCs w:val="21"/>
                    </w:rPr>
                  </w:pPr>
                </w:p>
              </w:tc>
              <w:tc>
                <w:tcPr>
                  <w:tcW w:w="369" w:type="pct"/>
                  <w:vMerge w:val="continue"/>
                  <w:vAlign w:val="center"/>
                </w:tcPr>
                <w:p w14:paraId="4EA449C6">
                  <w:pPr>
                    <w:widowControl/>
                    <w:spacing w:line="280" w:lineRule="exact"/>
                    <w:jc w:val="center"/>
                    <w:rPr>
                      <w:color w:val="auto"/>
                      <w:szCs w:val="21"/>
                    </w:rPr>
                  </w:pPr>
                </w:p>
              </w:tc>
              <w:tc>
                <w:tcPr>
                  <w:tcW w:w="495" w:type="pct"/>
                  <w:vMerge w:val="continue"/>
                  <w:vAlign w:val="center"/>
                </w:tcPr>
                <w:p w14:paraId="7C1B7AC4">
                  <w:pPr>
                    <w:widowControl/>
                    <w:spacing w:line="280" w:lineRule="exact"/>
                    <w:jc w:val="center"/>
                    <w:rPr>
                      <w:color w:val="auto"/>
                      <w:szCs w:val="21"/>
                    </w:rPr>
                  </w:pPr>
                </w:p>
              </w:tc>
              <w:tc>
                <w:tcPr>
                  <w:tcW w:w="555" w:type="pct"/>
                  <w:vMerge w:val="continue"/>
                  <w:vAlign w:val="center"/>
                </w:tcPr>
                <w:p w14:paraId="390EA81D">
                  <w:pPr>
                    <w:widowControl/>
                    <w:spacing w:line="280" w:lineRule="exact"/>
                    <w:jc w:val="center"/>
                    <w:rPr>
                      <w:color w:val="auto"/>
                      <w:szCs w:val="21"/>
                    </w:rPr>
                  </w:pPr>
                </w:p>
              </w:tc>
              <w:tc>
                <w:tcPr>
                  <w:tcW w:w="397" w:type="pct"/>
                  <w:vAlign w:val="center"/>
                </w:tcPr>
                <w:p w14:paraId="56C19C13">
                  <w:pPr>
                    <w:widowControl/>
                    <w:spacing w:line="280" w:lineRule="exact"/>
                    <w:jc w:val="center"/>
                    <w:rPr>
                      <w:b/>
                      <w:color w:val="auto"/>
                      <w:szCs w:val="21"/>
                    </w:rPr>
                  </w:pPr>
                  <w:r>
                    <w:rPr>
                      <w:b/>
                      <w:color w:val="auto"/>
                      <w:szCs w:val="21"/>
                    </w:rPr>
                    <w:t>污染治理设施编号</w:t>
                  </w:r>
                </w:p>
              </w:tc>
              <w:tc>
                <w:tcPr>
                  <w:tcW w:w="396" w:type="pct"/>
                  <w:vAlign w:val="center"/>
                </w:tcPr>
                <w:p w14:paraId="1C35B935">
                  <w:pPr>
                    <w:widowControl/>
                    <w:spacing w:line="280" w:lineRule="exact"/>
                    <w:jc w:val="center"/>
                    <w:rPr>
                      <w:b/>
                      <w:color w:val="auto"/>
                      <w:szCs w:val="21"/>
                    </w:rPr>
                  </w:pPr>
                  <w:r>
                    <w:rPr>
                      <w:b/>
                      <w:color w:val="auto"/>
                      <w:szCs w:val="21"/>
                    </w:rPr>
                    <w:t>污染治理</w:t>
                  </w:r>
                </w:p>
                <w:p w14:paraId="5F9C2C39">
                  <w:pPr>
                    <w:widowControl/>
                    <w:spacing w:line="280" w:lineRule="exact"/>
                    <w:jc w:val="center"/>
                    <w:rPr>
                      <w:b/>
                      <w:color w:val="auto"/>
                      <w:szCs w:val="21"/>
                    </w:rPr>
                  </w:pPr>
                  <w:r>
                    <w:rPr>
                      <w:b/>
                      <w:color w:val="auto"/>
                      <w:szCs w:val="21"/>
                    </w:rPr>
                    <w:t>设施名称</w:t>
                  </w:r>
                </w:p>
              </w:tc>
              <w:tc>
                <w:tcPr>
                  <w:tcW w:w="398" w:type="pct"/>
                  <w:vAlign w:val="center"/>
                </w:tcPr>
                <w:p w14:paraId="2C01F3B0">
                  <w:pPr>
                    <w:widowControl/>
                    <w:spacing w:line="280" w:lineRule="exact"/>
                    <w:jc w:val="center"/>
                    <w:rPr>
                      <w:b/>
                      <w:color w:val="auto"/>
                      <w:szCs w:val="21"/>
                    </w:rPr>
                  </w:pPr>
                  <w:r>
                    <w:rPr>
                      <w:b/>
                      <w:color w:val="auto"/>
                      <w:szCs w:val="21"/>
                    </w:rPr>
                    <w:t>污染治理</w:t>
                  </w:r>
                </w:p>
                <w:p w14:paraId="184B867A">
                  <w:pPr>
                    <w:widowControl/>
                    <w:spacing w:line="280" w:lineRule="exact"/>
                    <w:jc w:val="center"/>
                    <w:rPr>
                      <w:b/>
                      <w:color w:val="auto"/>
                      <w:szCs w:val="21"/>
                    </w:rPr>
                  </w:pPr>
                  <w:r>
                    <w:rPr>
                      <w:b/>
                      <w:color w:val="auto"/>
                      <w:szCs w:val="21"/>
                    </w:rPr>
                    <w:t>设施工艺</w:t>
                  </w:r>
                </w:p>
              </w:tc>
              <w:tc>
                <w:tcPr>
                  <w:tcW w:w="319" w:type="pct"/>
                  <w:vMerge w:val="continue"/>
                  <w:vAlign w:val="center"/>
                </w:tcPr>
                <w:p w14:paraId="43272472">
                  <w:pPr>
                    <w:widowControl/>
                    <w:spacing w:before="120" w:line="280" w:lineRule="exact"/>
                    <w:jc w:val="center"/>
                    <w:rPr>
                      <w:color w:val="auto"/>
                      <w:szCs w:val="21"/>
                    </w:rPr>
                  </w:pPr>
                </w:p>
              </w:tc>
              <w:tc>
                <w:tcPr>
                  <w:tcW w:w="539" w:type="pct"/>
                  <w:vMerge w:val="continue"/>
                  <w:vAlign w:val="center"/>
                </w:tcPr>
                <w:p w14:paraId="33B104BA">
                  <w:pPr>
                    <w:widowControl/>
                    <w:spacing w:before="120" w:line="280" w:lineRule="exact"/>
                    <w:jc w:val="center"/>
                    <w:rPr>
                      <w:color w:val="auto"/>
                      <w:szCs w:val="21"/>
                    </w:rPr>
                  </w:pPr>
                </w:p>
              </w:tc>
              <w:tc>
                <w:tcPr>
                  <w:tcW w:w="1082" w:type="pct"/>
                  <w:vMerge w:val="continue"/>
                  <w:vAlign w:val="center"/>
                </w:tcPr>
                <w:p w14:paraId="15B3EE84">
                  <w:pPr>
                    <w:widowControl/>
                    <w:spacing w:line="280" w:lineRule="exact"/>
                    <w:jc w:val="center"/>
                    <w:rPr>
                      <w:color w:val="auto"/>
                      <w:szCs w:val="21"/>
                    </w:rPr>
                  </w:pPr>
                </w:p>
              </w:tc>
            </w:tr>
            <w:tr w14:paraId="2AF83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8" w:type="pct"/>
                  <w:vAlign w:val="center"/>
                </w:tcPr>
                <w:p w14:paraId="042D2640">
                  <w:pPr>
                    <w:widowControl/>
                    <w:spacing w:line="280" w:lineRule="exact"/>
                    <w:jc w:val="center"/>
                    <w:rPr>
                      <w:color w:val="auto"/>
                      <w:szCs w:val="21"/>
                    </w:rPr>
                  </w:pPr>
                  <w:r>
                    <w:rPr>
                      <w:color w:val="auto"/>
                      <w:szCs w:val="21"/>
                    </w:rPr>
                    <w:t>1</w:t>
                  </w:r>
                </w:p>
              </w:tc>
              <w:tc>
                <w:tcPr>
                  <w:tcW w:w="266" w:type="pct"/>
                  <w:vAlign w:val="center"/>
                </w:tcPr>
                <w:p w14:paraId="20458821">
                  <w:pPr>
                    <w:widowControl/>
                    <w:spacing w:line="280" w:lineRule="exact"/>
                    <w:jc w:val="center"/>
                    <w:rPr>
                      <w:color w:val="auto"/>
                      <w:szCs w:val="21"/>
                    </w:rPr>
                  </w:pPr>
                  <w:r>
                    <w:rPr>
                      <w:color w:val="auto"/>
                      <w:szCs w:val="21"/>
                    </w:rPr>
                    <w:t>生活污水</w:t>
                  </w:r>
                </w:p>
              </w:tc>
              <w:tc>
                <w:tcPr>
                  <w:tcW w:w="369" w:type="pct"/>
                  <w:vAlign w:val="center"/>
                </w:tcPr>
                <w:p w14:paraId="14EBFC49">
                  <w:pPr>
                    <w:widowControl/>
                    <w:spacing w:line="280" w:lineRule="exact"/>
                    <w:jc w:val="center"/>
                    <w:rPr>
                      <w:color w:val="auto"/>
                      <w:szCs w:val="21"/>
                    </w:rPr>
                  </w:pPr>
                  <w:r>
                    <w:rPr>
                      <w:rFonts w:hint="eastAsia"/>
                      <w:color w:val="auto"/>
                      <w:szCs w:val="21"/>
                    </w:rPr>
                    <w:t>pH、</w:t>
                  </w:r>
                  <w:r>
                    <w:rPr>
                      <w:color w:val="auto"/>
                      <w:szCs w:val="21"/>
                    </w:rPr>
                    <w:t>COD、SS、NH</w:t>
                  </w:r>
                  <w:r>
                    <w:rPr>
                      <w:color w:val="auto"/>
                      <w:szCs w:val="21"/>
                      <w:vertAlign w:val="subscript"/>
                    </w:rPr>
                    <w:t>3</w:t>
                  </w:r>
                  <w:r>
                    <w:rPr>
                      <w:color w:val="auto"/>
                      <w:szCs w:val="21"/>
                    </w:rPr>
                    <w:t>-N、TP</w:t>
                  </w:r>
                  <w:r>
                    <w:rPr>
                      <w:rStyle w:val="42"/>
                      <w:rFonts w:hint="eastAsia"/>
                      <w:color w:val="auto"/>
                    </w:rPr>
                    <w:t>、TN</w:t>
                  </w:r>
                </w:p>
              </w:tc>
              <w:tc>
                <w:tcPr>
                  <w:tcW w:w="495" w:type="pct"/>
                  <w:vAlign w:val="center"/>
                </w:tcPr>
                <w:p w14:paraId="27369B17">
                  <w:pPr>
                    <w:widowControl/>
                    <w:spacing w:line="280" w:lineRule="exact"/>
                    <w:jc w:val="center"/>
                    <w:rPr>
                      <w:color w:val="auto"/>
                      <w:szCs w:val="21"/>
                    </w:rPr>
                  </w:pPr>
                  <w:r>
                    <w:rPr>
                      <w:rFonts w:hint="eastAsia"/>
                      <w:color w:val="auto"/>
                      <w:szCs w:val="21"/>
                      <w:lang w:val="en-US" w:eastAsia="zh-CN"/>
                    </w:rPr>
                    <w:t>接管至常州市江边污水处理厂</w:t>
                  </w:r>
                </w:p>
              </w:tc>
              <w:tc>
                <w:tcPr>
                  <w:tcW w:w="555" w:type="pct"/>
                  <w:vAlign w:val="center"/>
                </w:tcPr>
                <w:p w14:paraId="709289F9">
                  <w:pPr>
                    <w:widowControl/>
                    <w:spacing w:line="280" w:lineRule="exact"/>
                    <w:jc w:val="center"/>
                    <w:rPr>
                      <w:rFonts w:hint="eastAsia" w:eastAsia="宋体"/>
                      <w:color w:val="auto"/>
                      <w:szCs w:val="21"/>
                      <w:lang w:eastAsia="zh-CN"/>
                    </w:rPr>
                  </w:pPr>
                  <w:r>
                    <w:rPr>
                      <w:color w:val="auto"/>
                      <w:szCs w:val="21"/>
                    </w:rPr>
                    <w:t>间歇排放，排放期间流量不稳定且无规律，但不属于冲击型排放</w:t>
                  </w:r>
                </w:p>
              </w:tc>
              <w:tc>
                <w:tcPr>
                  <w:tcW w:w="397" w:type="pct"/>
                  <w:vAlign w:val="center"/>
                </w:tcPr>
                <w:p w14:paraId="057C6B54">
                  <w:pPr>
                    <w:widowControl/>
                    <w:spacing w:line="280" w:lineRule="exact"/>
                    <w:jc w:val="center"/>
                    <w:rPr>
                      <w:color w:val="auto"/>
                      <w:szCs w:val="21"/>
                    </w:rPr>
                  </w:pPr>
                  <w:r>
                    <w:rPr>
                      <w:rFonts w:hint="eastAsia"/>
                      <w:color w:val="auto"/>
                      <w:szCs w:val="21"/>
                    </w:rPr>
                    <w:t>TW001</w:t>
                  </w:r>
                </w:p>
              </w:tc>
              <w:tc>
                <w:tcPr>
                  <w:tcW w:w="396" w:type="pct"/>
                  <w:vAlign w:val="center"/>
                </w:tcPr>
                <w:p w14:paraId="59FBA6C4">
                  <w:pPr>
                    <w:widowControl/>
                    <w:spacing w:line="280" w:lineRule="exact"/>
                    <w:jc w:val="center"/>
                    <w:rPr>
                      <w:color w:val="auto"/>
                      <w:szCs w:val="21"/>
                    </w:rPr>
                  </w:pPr>
                  <w:r>
                    <w:rPr>
                      <w:rFonts w:hint="eastAsia"/>
                      <w:color w:val="auto"/>
                      <w:szCs w:val="21"/>
                    </w:rPr>
                    <w:t>化粪池（依托）</w:t>
                  </w:r>
                </w:p>
              </w:tc>
              <w:tc>
                <w:tcPr>
                  <w:tcW w:w="398" w:type="pct"/>
                  <w:vAlign w:val="center"/>
                </w:tcPr>
                <w:p w14:paraId="0E68E242">
                  <w:pPr>
                    <w:widowControl/>
                    <w:spacing w:line="280" w:lineRule="exact"/>
                    <w:jc w:val="center"/>
                    <w:rPr>
                      <w:rFonts w:hint="eastAsia" w:eastAsia="宋体"/>
                      <w:color w:val="auto"/>
                      <w:szCs w:val="21"/>
                    </w:rPr>
                  </w:pPr>
                  <w:r>
                    <w:rPr>
                      <w:rFonts w:hint="eastAsia" w:eastAsia="宋体"/>
                      <w:color w:val="auto"/>
                      <w:szCs w:val="21"/>
                    </w:rPr>
                    <w:t>/</w:t>
                  </w:r>
                </w:p>
              </w:tc>
              <w:tc>
                <w:tcPr>
                  <w:tcW w:w="319" w:type="pct"/>
                  <w:vAlign w:val="center"/>
                </w:tcPr>
                <w:p w14:paraId="5B68802D">
                  <w:pPr>
                    <w:widowControl/>
                    <w:spacing w:line="280" w:lineRule="exact"/>
                    <w:jc w:val="center"/>
                    <w:rPr>
                      <w:rFonts w:hint="default" w:eastAsia="宋体"/>
                      <w:color w:val="auto"/>
                      <w:szCs w:val="21"/>
                      <w:lang w:val="en-US" w:eastAsia="zh-CN"/>
                    </w:rPr>
                  </w:pPr>
                  <w:r>
                    <w:rPr>
                      <w:rFonts w:hint="eastAsia" w:eastAsia="宋体"/>
                      <w:color w:val="auto"/>
                      <w:szCs w:val="21"/>
                      <w:lang w:val="en-US" w:eastAsia="zh-CN"/>
                    </w:rPr>
                    <w:t>DW001</w:t>
                  </w:r>
                </w:p>
              </w:tc>
              <w:tc>
                <w:tcPr>
                  <w:tcW w:w="1489" w:type="dxa"/>
                  <w:vAlign w:val="center"/>
                </w:tcPr>
                <w:p w14:paraId="309400D3">
                  <w:pPr>
                    <w:spacing w:line="24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eastAsia="zh-CN"/>
                    </w:rPr>
                    <w:t>☑</w:t>
                  </w:r>
                  <w:r>
                    <w:rPr>
                      <w:rFonts w:hint="default" w:ascii="Times New Roman" w:hAnsi="Times New Roman" w:cs="Times New Roman"/>
                      <w:color w:val="auto"/>
                      <w:sz w:val="21"/>
                      <w:szCs w:val="21"/>
                    </w:rPr>
                    <w:t xml:space="preserve"> 是</w:t>
                  </w:r>
                </w:p>
                <w:p w14:paraId="75026FA4">
                  <w:pPr>
                    <w:spacing w:line="240" w:lineRule="exact"/>
                    <w:jc w:val="center"/>
                    <w:rPr>
                      <w:rFonts w:hint="eastAsia" w:eastAsia="宋体"/>
                      <w:color w:val="auto"/>
                      <w:szCs w:val="21"/>
                      <w:lang w:eastAsia="zh-CN"/>
                    </w:rPr>
                  </w:pPr>
                  <w:r>
                    <w:rPr>
                      <w:rFonts w:hint="default" w:ascii="Times New Roman" w:hAnsi="Times New Roman" w:cs="Times New Roman"/>
                      <w:color w:val="auto"/>
                      <w:sz w:val="21"/>
                      <w:szCs w:val="21"/>
                    </w:rPr>
                    <w:t>□ 否</w:t>
                  </w:r>
                </w:p>
              </w:tc>
              <w:tc>
                <w:tcPr>
                  <w:tcW w:w="2989" w:type="dxa"/>
                  <w:vAlign w:val="center"/>
                </w:tcPr>
                <w:p w14:paraId="4140CB36">
                  <w:pPr>
                    <w:spacing w:line="24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eastAsia="zh-CN"/>
                    </w:rPr>
                    <w:t>☑</w:t>
                  </w:r>
                  <w:r>
                    <w:rPr>
                      <w:rFonts w:hint="default" w:ascii="Times New Roman" w:hAnsi="Times New Roman" w:cs="Times New Roman"/>
                      <w:color w:val="auto"/>
                      <w:sz w:val="21"/>
                      <w:szCs w:val="21"/>
                    </w:rPr>
                    <w:t>企业总排口</w:t>
                  </w:r>
                </w:p>
                <w:p w14:paraId="317A2886">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□雨水排放口</w:t>
                  </w:r>
                </w:p>
                <w:p w14:paraId="0550C4BE">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□清净下水排放口</w:t>
                  </w:r>
                </w:p>
                <w:p w14:paraId="666605D6">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□温排水排放口</w:t>
                  </w:r>
                </w:p>
                <w:p w14:paraId="4CBC70C4">
                  <w:pPr>
                    <w:spacing w:line="240" w:lineRule="exact"/>
                    <w:jc w:val="center"/>
                    <w:rPr>
                      <w:rFonts w:hint="eastAsia" w:eastAsia="宋体"/>
                      <w:color w:val="auto"/>
                      <w:szCs w:val="21"/>
                      <w:lang w:eastAsia="zh-CN"/>
                    </w:rPr>
                  </w:pPr>
                  <w:r>
                    <w:rPr>
                      <w:rFonts w:hint="default" w:ascii="Times New Roman" w:hAnsi="Times New Roman" w:cs="Times New Roman"/>
                      <w:color w:val="auto"/>
                      <w:sz w:val="21"/>
                      <w:szCs w:val="21"/>
                    </w:rPr>
                    <w:t>□车间或车间处理设施排放口</w:t>
                  </w:r>
                </w:p>
              </w:tc>
            </w:tr>
          </w:tbl>
          <w:p w14:paraId="324C313F">
            <w:pPr>
              <w:widowControl/>
              <w:adjustRightInd w:val="0"/>
              <w:snapToGrid w:val="0"/>
              <w:spacing w:line="324" w:lineRule="auto"/>
              <w:jc w:val="center"/>
              <w:rPr>
                <w:b/>
                <w:bCs/>
                <w:color w:val="auto"/>
                <w:sz w:val="10"/>
                <w:szCs w:val="10"/>
              </w:rPr>
            </w:pPr>
          </w:p>
          <w:p w14:paraId="406CAD2F">
            <w:pPr>
              <w:widowControl/>
              <w:adjustRightInd w:val="0"/>
              <w:snapToGrid w:val="0"/>
              <w:spacing w:line="324" w:lineRule="auto"/>
              <w:jc w:val="center"/>
              <w:rPr>
                <w:b/>
                <w:bCs/>
                <w:color w:val="auto"/>
                <w:sz w:val="24"/>
                <w:szCs w:val="24"/>
              </w:rPr>
            </w:pPr>
            <w:r>
              <w:rPr>
                <w:b/>
                <w:bCs/>
                <w:color w:val="auto"/>
                <w:sz w:val="24"/>
                <w:szCs w:val="24"/>
              </w:rPr>
              <w:t>表</w:t>
            </w:r>
            <w:r>
              <w:rPr>
                <w:rFonts w:hint="eastAsia"/>
                <w:b/>
                <w:bCs/>
                <w:color w:val="auto"/>
                <w:sz w:val="24"/>
                <w:szCs w:val="24"/>
              </w:rPr>
              <w:t>4</w:t>
            </w:r>
            <w:r>
              <w:rPr>
                <w:rFonts w:hint="eastAsia"/>
                <w:b/>
                <w:bCs/>
                <w:color w:val="auto"/>
                <w:sz w:val="24"/>
                <w:szCs w:val="24"/>
                <w:lang w:val="en-US" w:eastAsia="zh-CN"/>
              </w:rPr>
              <w:t>-14</w:t>
            </w:r>
            <w:r>
              <w:rPr>
                <w:b/>
                <w:bCs/>
                <w:color w:val="auto"/>
                <w:sz w:val="24"/>
                <w:szCs w:val="24"/>
              </w:rPr>
              <w:t>本项目废水间接排放口基本情况表</w:t>
            </w:r>
          </w:p>
          <w:tbl>
            <w:tblPr>
              <w:tblStyle w:val="35"/>
              <w:tblW w:w="13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6"/>
              <w:gridCol w:w="1109"/>
              <w:gridCol w:w="1214"/>
              <w:gridCol w:w="1126"/>
              <w:gridCol w:w="1354"/>
              <w:gridCol w:w="1302"/>
              <w:gridCol w:w="1368"/>
              <w:gridCol w:w="1131"/>
              <w:gridCol w:w="931"/>
              <w:gridCol w:w="972"/>
              <w:gridCol w:w="2814"/>
            </w:tblGrid>
            <w:tr w14:paraId="432F3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6" w:type="dxa"/>
                  <w:vMerge w:val="restart"/>
                  <w:vAlign w:val="center"/>
                </w:tcPr>
                <w:p w14:paraId="127A2ECA">
                  <w:pPr>
                    <w:widowControl/>
                    <w:spacing w:line="280" w:lineRule="exact"/>
                    <w:jc w:val="center"/>
                    <w:rPr>
                      <w:b/>
                      <w:color w:val="auto"/>
                      <w:szCs w:val="21"/>
                    </w:rPr>
                  </w:pPr>
                  <w:r>
                    <w:rPr>
                      <w:b/>
                      <w:color w:val="auto"/>
                      <w:szCs w:val="21"/>
                    </w:rPr>
                    <w:t>序号</w:t>
                  </w:r>
                </w:p>
              </w:tc>
              <w:tc>
                <w:tcPr>
                  <w:tcW w:w="1109" w:type="dxa"/>
                  <w:vMerge w:val="restart"/>
                  <w:vAlign w:val="center"/>
                </w:tcPr>
                <w:p w14:paraId="3CEE57A7">
                  <w:pPr>
                    <w:widowControl/>
                    <w:spacing w:line="280" w:lineRule="exact"/>
                    <w:jc w:val="center"/>
                    <w:rPr>
                      <w:b/>
                      <w:color w:val="auto"/>
                      <w:szCs w:val="21"/>
                    </w:rPr>
                  </w:pPr>
                  <w:r>
                    <w:rPr>
                      <w:b/>
                      <w:color w:val="auto"/>
                      <w:szCs w:val="21"/>
                    </w:rPr>
                    <w:t>排放口编号</w:t>
                  </w:r>
                </w:p>
              </w:tc>
              <w:tc>
                <w:tcPr>
                  <w:tcW w:w="2340" w:type="dxa"/>
                  <w:gridSpan w:val="2"/>
                  <w:vAlign w:val="center"/>
                </w:tcPr>
                <w:p w14:paraId="61A7CD5C">
                  <w:pPr>
                    <w:widowControl/>
                    <w:spacing w:line="280" w:lineRule="exact"/>
                    <w:jc w:val="center"/>
                    <w:rPr>
                      <w:b/>
                      <w:color w:val="auto"/>
                      <w:szCs w:val="21"/>
                    </w:rPr>
                  </w:pPr>
                  <w:r>
                    <w:rPr>
                      <w:b/>
                      <w:color w:val="auto"/>
                      <w:szCs w:val="21"/>
                    </w:rPr>
                    <w:t>排放口地理坐标</w:t>
                  </w:r>
                </w:p>
              </w:tc>
              <w:tc>
                <w:tcPr>
                  <w:tcW w:w="1354" w:type="dxa"/>
                  <w:vMerge w:val="restart"/>
                  <w:vAlign w:val="center"/>
                </w:tcPr>
                <w:p w14:paraId="69EBDDFD">
                  <w:pPr>
                    <w:widowControl/>
                    <w:spacing w:line="280" w:lineRule="exact"/>
                    <w:jc w:val="center"/>
                    <w:rPr>
                      <w:b/>
                      <w:color w:val="auto"/>
                      <w:szCs w:val="21"/>
                    </w:rPr>
                  </w:pPr>
                  <w:r>
                    <w:rPr>
                      <w:b/>
                      <w:color w:val="auto"/>
                      <w:szCs w:val="21"/>
                    </w:rPr>
                    <w:t>废水排放量（万m</w:t>
                  </w:r>
                  <w:r>
                    <w:rPr>
                      <w:b/>
                      <w:color w:val="auto"/>
                      <w:szCs w:val="21"/>
                      <w:vertAlign w:val="superscript"/>
                    </w:rPr>
                    <w:t>3</w:t>
                  </w:r>
                  <w:r>
                    <w:rPr>
                      <w:b/>
                      <w:color w:val="auto"/>
                      <w:szCs w:val="21"/>
                    </w:rPr>
                    <w:t>/a）</w:t>
                  </w:r>
                </w:p>
              </w:tc>
              <w:tc>
                <w:tcPr>
                  <w:tcW w:w="1302" w:type="dxa"/>
                  <w:vMerge w:val="restart"/>
                  <w:vAlign w:val="center"/>
                </w:tcPr>
                <w:p w14:paraId="686918E7">
                  <w:pPr>
                    <w:widowControl/>
                    <w:spacing w:line="280" w:lineRule="exact"/>
                    <w:jc w:val="center"/>
                    <w:rPr>
                      <w:b/>
                      <w:color w:val="auto"/>
                      <w:szCs w:val="21"/>
                    </w:rPr>
                  </w:pPr>
                  <w:r>
                    <w:rPr>
                      <w:b/>
                      <w:color w:val="auto"/>
                      <w:szCs w:val="21"/>
                    </w:rPr>
                    <w:t>排放去向</w:t>
                  </w:r>
                </w:p>
              </w:tc>
              <w:tc>
                <w:tcPr>
                  <w:tcW w:w="1368" w:type="dxa"/>
                  <w:vMerge w:val="restart"/>
                  <w:vAlign w:val="center"/>
                </w:tcPr>
                <w:p w14:paraId="427DF6D3">
                  <w:pPr>
                    <w:widowControl/>
                    <w:spacing w:line="280" w:lineRule="exact"/>
                    <w:jc w:val="center"/>
                    <w:rPr>
                      <w:b/>
                      <w:color w:val="auto"/>
                      <w:szCs w:val="21"/>
                    </w:rPr>
                  </w:pPr>
                  <w:r>
                    <w:rPr>
                      <w:b/>
                      <w:color w:val="auto"/>
                      <w:szCs w:val="21"/>
                    </w:rPr>
                    <w:t>排放规律</w:t>
                  </w:r>
                </w:p>
              </w:tc>
              <w:tc>
                <w:tcPr>
                  <w:tcW w:w="1131" w:type="dxa"/>
                  <w:vMerge w:val="restart"/>
                  <w:vAlign w:val="center"/>
                </w:tcPr>
                <w:p w14:paraId="4B4BD5C2">
                  <w:pPr>
                    <w:widowControl/>
                    <w:spacing w:line="280" w:lineRule="exact"/>
                    <w:jc w:val="center"/>
                    <w:rPr>
                      <w:b/>
                      <w:color w:val="auto"/>
                      <w:szCs w:val="21"/>
                    </w:rPr>
                  </w:pPr>
                  <w:r>
                    <w:rPr>
                      <w:b/>
                      <w:color w:val="auto"/>
                      <w:szCs w:val="21"/>
                    </w:rPr>
                    <w:t>间歇排放时段</w:t>
                  </w:r>
                </w:p>
              </w:tc>
              <w:tc>
                <w:tcPr>
                  <w:tcW w:w="4717" w:type="dxa"/>
                  <w:gridSpan w:val="3"/>
                  <w:vAlign w:val="center"/>
                </w:tcPr>
                <w:p w14:paraId="10F156AF">
                  <w:pPr>
                    <w:widowControl/>
                    <w:spacing w:line="280" w:lineRule="exact"/>
                    <w:jc w:val="center"/>
                    <w:rPr>
                      <w:b/>
                      <w:color w:val="auto"/>
                      <w:szCs w:val="21"/>
                    </w:rPr>
                  </w:pPr>
                  <w:r>
                    <w:rPr>
                      <w:b/>
                      <w:color w:val="auto"/>
                      <w:szCs w:val="21"/>
                    </w:rPr>
                    <w:t>受纳污水</w:t>
                  </w:r>
                  <w:r>
                    <w:rPr>
                      <w:rFonts w:hint="eastAsia"/>
                      <w:b/>
                      <w:color w:val="auto"/>
                      <w:szCs w:val="21"/>
                      <w:lang w:val="en-US" w:eastAsia="zh-CN"/>
                    </w:rPr>
                    <w:t>处理</w:t>
                  </w:r>
                  <w:r>
                    <w:rPr>
                      <w:b/>
                      <w:color w:val="auto"/>
                      <w:szCs w:val="21"/>
                    </w:rPr>
                    <w:t>厂信息</w:t>
                  </w:r>
                </w:p>
              </w:tc>
            </w:tr>
            <w:tr w14:paraId="04083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6" w:type="dxa"/>
                  <w:vMerge w:val="continue"/>
                  <w:vAlign w:val="center"/>
                </w:tcPr>
                <w:p w14:paraId="18EB524F">
                  <w:pPr>
                    <w:widowControl/>
                    <w:spacing w:line="280" w:lineRule="exact"/>
                    <w:jc w:val="center"/>
                    <w:rPr>
                      <w:b/>
                      <w:color w:val="auto"/>
                      <w:szCs w:val="21"/>
                    </w:rPr>
                  </w:pPr>
                </w:p>
              </w:tc>
              <w:tc>
                <w:tcPr>
                  <w:tcW w:w="1109" w:type="dxa"/>
                  <w:vMerge w:val="continue"/>
                  <w:vAlign w:val="center"/>
                </w:tcPr>
                <w:p w14:paraId="3BE9BE16">
                  <w:pPr>
                    <w:widowControl/>
                    <w:spacing w:line="280" w:lineRule="exact"/>
                    <w:jc w:val="center"/>
                    <w:rPr>
                      <w:b/>
                      <w:color w:val="auto"/>
                      <w:szCs w:val="21"/>
                    </w:rPr>
                  </w:pPr>
                </w:p>
              </w:tc>
              <w:tc>
                <w:tcPr>
                  <w:tcW w:w="1214" w:type="dxa"/>
                  <w:vMerge w:val="restart"/>
                  <w:vAlign w:val="center"/>
                </w:tcPr>
                <w:p w14:paraId="24733B91">
                  <w:pPr>
                    <w:widowControl/>
                    <w:spacing w:line="280" w:lineRule="exact"/>
                    <w:jc w:val="center"/>
                    <w:rPr>
                      <w:b/>
                      <w:color w:val="auto"/>
                      <w:szCs w:val="21"/>
                    </w:rPr>
                  </w:pPr>
                  <w:r>
                    <w:rPr>
                      <w:b/>
                      <w:color w:val="auto"/>
                      <w:szCs w:val="21"/>
                    </w:rPr>
                    <w:t>经度</w:t>
                  </w:r>
                </w:p>
              </w:tc>
              <w:tc>
                <w:tcPr>
                  <w:tcW w:w="1126" w:type="dxa"/>
                  <w:vMerge w:val="restart"/>
                  <w:vAlign w:val="center"/>
                </w:tcPr>
                <w:p w14:paraId="67EA8E16">
                  <w:pPr>
                    <w:widowControl/>
                    <w:spacing w:line="280" w:lineRule="exact"/>
                    <w:jc w:val="center"/>
                    <w:rPr>
                      <w:b/>
                      <w:color w:val="auto"/>
                      <w:szCs w:val="21"/>
                    </w:rPr>
                  </w:pPr>
                  <w:r>
                    <w:rPr>
                      <w:b/>
                      <w:color w:val="auto"/>
                      <w:szCs w:val="21"/>
                    </w:rPr>
                    <w:t>纬度</w:t>
                  </w:r>
                </w:p>
              </w:tc>
              <w:tc>
                <w:tcPr>
                  <w:tcW w:w="1354" w:type="dxa"/>
                  <w:vMerge w:val="continue"/>
                  <w:vAlign w:val="center"/>
                </w:tcPr>
                <w:p w14:paraId="31949CD8">
                  <w:pPr>
                    <w:widowControl/>
                    <w:spacing w:line="280" w:lineRule="exact"/>
                    <w:jc w:val="center"/>
                    <w:rPr>
                      <w:b/>
                      <w:color w:val="auto"/>
                      <w:szCs w:val="21"/>
                    </w:rPr>
                  </w:pPr>
                </w:p>
              </w:tc>
              <w:tc>
                <w:tcPr>
                  <w:tcW w:w="1302" w:type="dxa"/>
                  <w:vMerge w:val="continue"/>
                  <w:vAlign w:val="center"/>
                </w:tcPr>
                <w:p w14:paraId="0B702FDD">
                  <w:pPr>
                    <w:widowControl/>
                    <w:spacing w:line="280" w:lineRule="exact"/>
                    <w:jc w:val="center"/>
                    <w:rPr>
                      <w:b/>
                      <w:color w:val="auto"/>
                      <w:szCs w:val="21"/>
                    </w:rPr>
                  </w:pPr>
                </w:p>
              </w:tc>
              <w:tc>
                <w:tcPr>
                  <w:tcW w:w="1368" w:type="dxa"/>
                  <w:vMerge w:val="continue"/>
                  <w:vAlign w:val="center"/>
                </w:tcPr>
                <w:p w14:paraId="41D8890F">
                  <w:pPr>
                    <w:widowControl/>
                    <w:spacing w:line="280" w:lineRule="exact"/>
                    <w:jc w:val="center"/>
                    <w:rPr>
                      <w:b/>
                      <w:color w:val="auto"/>
                      <w:szCs w:val="21"/>
                    </w:rPr>
                  </w:pPr>
                </w:p>
              </w:tc>
              <w:tc>
                <w:tcPr>
                  <w:tcW w:w="1131" w:type="dxa"/>
                  <w:vMerge w:val="continue"/>
                  <w:vAlign w:val="center"/>
                </w:tcPr>
                <w:p w14:paraId="2872436C">
                  <w:pPr>
                    <w:widowControl/>
                    <w:spacing w:line="280" w:lineRule="exact"/>
                    <w:jc w:val="center"/>
                    <w:rPr>
                      <w:b/>
                      <w:color w:val="auto"/>
                      <w:szCs w:val="21"/>
                    </w:rPr>
                  </w:pPr>
                </w:p>
              </w:tc>
              <w:tc>
                <w:tcPr>
                  <w:tcW w:w="931" w:type="dxa"/>
                  <w:vMerge w:val="restart"/>
                  <w:vAlign w:val="center"/>
                </w:tcPr>
                <w:p w14:paraId="1FA4908C">
                  <w:pPr>
                    <w:widowControl/>
                    <w:spacing w:line="280" w:lineRule="exact"/>
                    <w:jc w:val="center"/>
                    <w:rPr>
                      <w:b/>
                      <w:color w:val="auto"/>
                      <w:szCs w:val="21"/>
                    </w:rPr>
                  </w:pPr>
                  <w:r>
                    <w:rPr>
                      <w:b/>
                      <w:color w:val="auto"/>
                      <w:szCs w:val="21"/>
                    </w:rPr>
                    <w:t>名称</w:t>
                  </w:r>
                </w:p>
              </w:tc>
              <w:tc>
                <w:tcPr>
                  <w:tcW w:w="972" w:type="dxa"/>
                  <w:vAlign w:val="center"/>
                </w:tcPr>
                <w:p w14:paraId="0C72AADE">
                  <w:pPr>
                    <w:widowControl/>
                    <w:spacing w:line="280" w:lineRule="exact"/>
                    <w:jc w:val="center"/>
                    <w:rPr>
                      <w:b/>
                      <w:color w:val="auto"/>
                      <w:szCs w:val="21"/>
                    </w:rPr>
                  </w:pPr>
                  <w:r>
                    <w:rPr>
                      <w:b/>
                      <w:color w:val="auto"/>
                      <w:szCs w:val="21"/>
                    </w:rPr>
                    <w:t>污染物种类</w:t>
                  </w:r>
                </w:p>
              </w:tc>
              <w:tc>
                <w:tcPr>
                  <w:tcW w:w="2814" w:type="dxa"/>
                  <w:vAlign w:val="center"/>
                </w:tcPr>
                <w:p w14:paraId="7C29C700">
                  <w:pPr>
                    <w:widowControl/>
                    <w:spacing w:line="240" w:lineRule="exact"/>
                    <w:jc w:val="center"/>
                    <w:rPr>
                      <w:b/>
                      <w:color w:val="auto"/>
                      <w:szCs w:val="21"/>
                    </w:rPr>
                  </w:pPr>
                  <w:r>
                    <w:rPr>
                      <w:b/>
                      <w:color w:val="auto"/>
                      <w:szCs w:val="21"/>
                    </w:rPr>
                    <w:t>排放标准标准浓度限值（mg/L）</w:t>
                  </w:r>
                </w:p>
              </w:tc>
            </w:tr>
            <w:tr w14:paraId="73E5E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466" w:type="dxa"/>
                  <w:vAlign w:val="center"/>
                </w:tcPr>
                <w:p w14:paraId="7C422189">
                  <w:pPr>
                    <w:widowControl/>
                    <w:spacing w:line="280" w:lineRule="exact"/>
                    <w:jc w:val="center"/>
                    <w:rPr>
                      <w:color w:val="auto"/>
                      <w:szCs w:val="21"/>
                    </w:rPr>
                  </w:pPr>
                  <w:r>
                    <w:rPr>
                      <w:color w:val="auto"/>
                      <w:szCs w:val="21"/>
                    </w:rPr>
                    <w:t>1</w:t>
                  </w:r>
                </w:p>
              </w:tc>
              <w:tc>
                <w:tcPr>
                  <w:tcW w:w="1109" w:type="dxa"/>
                  <w:vMerge w:val="restart"/>
                  <w:vAlign w:val="center"/>
                </w:tcPr>
                <w:p w14:paraId="30784B7D">
                  <w:pPr>
                    <w:widowControl/>
                    <w:adjustRightInd w:val="0"/>
                    <w:snapToGrid w:val="0"/>
                    <w:jc w:val="center"/>
                    <w:rPr>
                      <w:rFonts w:hint="default" w:eastAsia="宋体"/>
                      <w:color w:val="auto"/>
                      <w:szCs w:val="21"/>
                      <w:lang w:val="en-US" w:eastAsia="zh-CN"/>
                    </w:rPr>
                  </w:pPr>
                  <w:r>
                    <w:rPr>
                      <w:rFonts w:hint="eastAsia"/>
                      <w:color w:val="auto"/>
                      <w:szCs w:val="21"/>
                      <w:lang w:val="en-US" w:eastAsia="zh-CN"/>
                    </w:rPr>
                    <w:t>DW001</w:t>
                  </w:r>
                </w:p>
              </w:tc>
              <w:tc>
                <w:tcPr>
                  <w:tcW w:w="1214" w:type="dxa"/>
                  <w:vMerge w:val="restart"/>
                  <w:vAlign w:val="center"/>
                </w:tcPr>
                <w:p w14:paraId="30CC8347">
                  <w:pPr>
                    <w:widowControl/>
                    <w:adjustRightInd w:val="0"/>
                    <w:snapToGrid w:val="0"/>
                    <w:jc w:val="center"/>
                    <w:rPr>
                      <w:rFonts w:hint="default" w:eastAsia="宋体"/>
                      <w:color w:val="auto"/>
                      <w:szCs w:val="21"/>
                      <w:lang w:val="en-US" w:eastAsia="zh-CN"/>
                    </w:rPr>
                  </w:pPr>
                  <w:r>
                    <w:rPr>
                      <w:rFonts w:hint="eastAsia"/>
                      <w:color w:val="auto"/>
                      <w:szCs w:val="21"/>
                      <w:lang w:val="en-US" w:eastAsia="zh-CN"/>
                    </w:rPr>
                    <w:t>119.953919</w:t>
                  </w:r>
                </w:p>
              </w:tc>
              <w:tc>
                <w:tcPr>
                  <w:tcW w:w="1126" w:type="dxa"/>
                  <w:vMerge w:val="restart"/>
                  <w:vAlign w:val="center"/>
                </w:tcPr>
                <w:p w14:paraId="33D2B37A">
                  <w:pPr>
                    <w:widowControl/>
                    <w:adjustRightInd w:val="0"/>
                    <w:snapToGrid w:val="0"/>
                    <w:jc w:val="center"/>
                    <w:rPr>
                      <w:rFonts w:hint="default" w:eastAsia="宋体"/>
                      <w:color w:val="auto"/>
                      <w:szCs w:val="21"/>
                      <w:lang w:val="en-US" w:eastAsia="zh-CN"/>
                    </w:rPr>
                  </w:pPr>
                  <w:r>
                    <w:rPr>
                      <w:rFonts w:hint="eastAsia"/>
                      <w:color w:val="auto"/>
                      <w:szCs w:val="21"/>
                      <w:lang w:val="en-US" w:eastAsia="zh-CN"/>
                    </w:rPr>
                    <w:t>31.929284</w:t>
                  </w:r>
                </w:p>
              </w:tc>
              <w:tc>
                <w:tcPr>
                  <w:tcW w:w="1354" w:type="dxa"/>
                  <w:vMerge w:val="restart"/>
                  <w:vAlign w:val="center"/>
                </w:tcPr>
                <w:p w14:paraId="380B1732">
                  <w:pPr>
                    <w:widowControl/>
                    <w:spacing w:line="280" w:lineRule="exact"/>
                    <w:jc w:val="center"/>
                    <w:rPr>
                      <w:rFonts w:hint="default" w:eastAsia="宋体"/>
                      <w:color w:val="auto"/>
                      <w:szCs w:val="21"/>
                      <w:lang w:val="en-US" w:eastAsia="zh-CN"/>
                    </w:rPr>
                  </w:pPr>
                  <w:r>
                    <w:rPr>
                      <w:rFonts w:hint="eastAsia"/>
                      <w:color w:val="auto"/>
                      <w:szCs w:val="21"/>
                      <w:lang w:val="en-US" w:eastAsia="zh-CN"/>
                    </w:rPr>
                    <w:t>0.0648</w:t>
                  </w:r>
                </w:p>
              </w:tc>
              <w:tc>
                <w:tcPr>
                  <w:tcW w:w="1302" w:type="dxa"/>
                  <w:vMerge w:val="restart"/>
                  <w:vAlign w:val="center"/>
                </w:tcPr>
                <w:p w14:paraId="0B025823">
                  <w:pPr>
                    <w:widowControl/>
                    <w:spacing w:line="280" w:lineRule="exact"/>
                    <w:jc w:val="center"/>
                    <w:rPr>
                      <w:color w:val="auto"/>
                      <w:szCs w:val="21"/>
                    </w:rPr>
                  </w:pPr>
                  <w:r>
                    <w:rPr>
                      <w:rFonts w:hint="eastAsia"/>
                      <w:color w:val="auto"/>
                      <w:szCs w:val="21"/>
                      <w:lang w:val="en-US" w:eastAsia="zh-CN"/>
                    </w:rPr>
                    <w:t>接管至常州市江边污水处理厂</w:t>
                  </w:r>
                </w:p>
              </w:tc>
              <w:tc>
                <w:tcPr>
                  <w:tcW w:w="1368" w:type="dxa"/>
                  <w:vMerge w:val="restart"/>
                  <w:vAlign w:val="center"/>
                </w:tcPr>
                <w:p w14:paraId="0D98E7AE">
                  <w:pPr>
                    <w:widowControl/>
                    <w:spacing w:line="280" w:lineRule="exact"/>
                    <w:jc w:val="center"/>
                    <w:rPr>
                      <w:rFonts w:hint="eastAsia" w:eastAsia="宋体"/>
                      <w:color w:val="auto"/>
                      <w:szCs w:val="21"/>
                      <w:lang w:eastAsia="zh-CN"/>
                    </w:rPr>
                  </w:pPr>
                  <w:r>
                    <w:rPr>
                      <w:color w:val="auto"/>
                      <w:szCs w:val="21"/>
                    </w:rPr>
                    <w:t>间歇排放，排放期间流量不稳定且无规律，但不属于冲击型排放</w:t>
                  </w:r>
                </w:p>
              </w:tc>
              <w:tc>
                <w:tcPr>
                  <w:tcW w:w="1131" w:type="dxa"/>
                  <w:vMerge w:val="restart"/>
                  <w:shd w:val="clear" w:color="auto" w:fill="auto"/>
                  <w:vAlign w:val="center"/>
                </w:tcPr>
                <w:p w14:paraId="1517D984">
                  <w:pPr>
                    <w:widowControl/>
                    <w:spacing w:line="280" w:lineRule="exact"/>
                    <w:jc w:val="center"/>
                    <w:rPr>
                      <w:rFonts w:hint="default"/>
                      <w:color w:val="auto"/>
                      <w:szCs w:val="21"/>
                      <w:lang w:val="en-US" w:eastAsia="zh-CN"/>
                    </w:rPr>
                  </w:pPr>
                  <w:r>
                    <w:rPr>
                      <w:rFonts w:hint="eastAsia" w:cs="Times New Roman" w:eastAsiaTheme="minorEastAsia"/>
                      <w:color w:val="auto"/>
                      <w:kern w:val="0"/>
                      <w:sz w:val="21"/>
                      <w:szCs w:val="21"/>
                      <w:lang w:val="en-US" w:eastAsia="zh-CN" w:bidi="ar-SA"/>
                    </w:rPr>
                    <w:t>8：00-16：00</w:t>
                  </w:r>
                </w:p>
              </w:tc>
              <w:tc>
                <w:tcPr>
                  <w:tcW w:w="931" w:type="dxa"/>
                  <w:vMerge w:val="restart"/>
                  <w:vAlign w:val="center"/>
                </w:tcPr>
                <w:p w14:paraId="6B65FF9D">
                  <w:pPr>
                    <w:widowControl/>
                    <w:spacing w:line="280" w:lineRule="exact"/>
                    <w:jc w:val="center"/>
                    <w:rPr>
                      <w:color w:val="auto"/>
                      <w:szCs w:val="21"/>
                    </w:rPr>
                  </w:pPr>
                  <w:r>
                    <w:rPr>
                      <w:rFonts w:hint="eastAsia"/>
                      <w:color w:val="auto"/>
                      <w:szCs w:val="21"/>
                      <w:lang w:val="en-US" w:eastAsia="zh-CN"/>
                    </w:rPr>
                    <w:t>常州市江边污水处理厂</w:t>
                  </w:r>
                </w:p>
              </w:tc>
              <w:tc>
                <w:tcPr>
                  <w:tcW w:w="972" w:type="dxa"/>
                  <w:vAlign w:val="center"/>
                </w:tcPr>
                <w:p w14:paraId="6DEE99CD">
                  <w:pPr>
                    <w:spacing w:line="240" w:lineRule="exact"/>
                    <w:jc w:val="center"/>
                    <w:rPr>
                      <w:rFonts w:eastAsiaTheme="minorEastAsia"/>
                      <w:color w:val="auto"/>
                      <w:szCs w:val="21"/>
                    </w:rPr>
                  </w:pPr>
                  <w:r>
                    <w:rPr>
                      <w:rFonts w:hint="eastAsia" w:eastAsiaTheme="minorEastAsia"/>
                      <w:color w:val="auto"/>
                      <w:szCs w:val="21"/>
                    </w:rPr>
                    <w:t>pH</w:t>
                  </w:r>
                </w:p>
              </w:tc>
              <w:tc>
                <w:tcPr>
                  <w:tcW w:w="2814" w:type="dxa"/>
                  <w:vAlign w:val="center"/>
                </w:tcPr>
                <w:p w14:paraId="66327F23">
                  <w:pPr>
                    <w:jc w:val="center"/>
                    <w:rPr>
                      <w:rFonts w:eastAsiaTheme="minorEastAsia"/>
                      <w:color w:val="auto"/>
                      <w:szCs w:val="21"/>
                    </w:rPr>
                  </w:pPr>
                  <w:r>
                    <w:rPr>
                      <w:rFonts w:eastAsiaTheme="minorEastAsia"/>
                      <w:color w:val="auto"/>
                      <w:szCs w:val="21"/>
                    </w:rPr>
                    <w:t>6～9</w:t>
                  </w:r>
                </w:p>
              </w:tc>
            </w:tr>
            <w:tr w14:paraId="2775B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6" w:type="dxa"/>
                  <w:vAlign w:val="center"/>
                </w:tcPr>
                <w:p w14:paraId="00BFBB87">
                  <w:pPr>
                    <w:widowControl/>
                    <w:spacing w:line="280" w:lineRule="exact"/>
                    <w:jc w:val="center"/>
                    <w:rPr>
                      <w:color w:val="auto"/>
                      <w:szCs w:val="21"/>
                    </w:rPr>
                  </w:pPr>
                  <w:r>
                    <w:rPr>
                      <w:color w:val="auto"/>
                      <w:szCs w:val="21"/>
                    </w:rPr>
                    <w:t>2</w:t>
                  </w:r>
                </w:p>
              </w:tc>
              <w:tc>
                <w:tcPr>
                  <w:tcW w:w="1109" w:type="dxa"/>
                  <w:vMerge w:val="continue"/>
                  <w:vAlign w:val="center"/>
                </w:tcPr>
                <w:p w14:paraId="255EE9DA">
                  <w:pPr>
                    <w:widowControl/>
                    <w:spacing w:line="280" w:lineRule="exact"/>
                    <w:jc w:val="center"/>
                    <w:rPr>
                      <w:color w:val="auto"/>
                      <w:szCs w:val="21"/>
                    </w:rPr>
                  </w:pPr>
                </w:p>
              </w:tc>
              <w:tc>
                <w:tcPr>
                  <w:tcW w:w="1214" w:type="dxa"/>
                  <w:vMerge w:val="continue"/>
                  <w:vAlign w:val="center"/>
                </w:tcPr>
                <w:p w14:paraId="3313AF6E">
                  <w:pPr>
                    <w:spacing w:line="240" w:lineRule="exact"/>
                    <w:jc w:val="center"/>
                    <w:rPr>
                      <w:color w:val="auto"/>
                      <w:szCs w:val="21"/>
                    </w:rPr>
                  </w:pPr>
                </w:p>
              </w:tc>
              <w:tc>
                <w:tcPr>
                  <w:tcW w:w="1126" w:type="dxa"/>
                  <w:vMerge w:val="continue"/>
                  <w:vAlign w:val="center"/>
                </w:tcPr>
                <w:p w14:paraId="1127A62D">
                  <w:pPr>
                    <w:spacing w:line="240" w:lineRule="exact"/>
                    <w:jc w:val="center"/>
                    <w:rPr>
                      <w:color w:val="auto"/>
                      <w:szCs w:val="21"/>
                    </w:rPr>
                  </w:pPr>
                </w:p>
              </w:tc>
              <w:tc>
                <w:tcPr>
                  <w:tcW w:w="1354" w:type="dxa"/>
                  <w:vMerge w:val="continue"/>
                  <w:vAlign w:val="center"/>
                </w:tcPr>
                <w:p w14:paraId="70D1EF13">
                  <w:pPr>
                    <w:widowControl/>
                    <w:spacing w:line="280" w:lineRule="exact"/>
                    <w:jc w:val="center"/>
                    <w:rPr>
                      <w:color w:val="auto"/>
                      <w:szCs w:val="21"/>
                    </w:rPr>
                  </w:pPr>
                </w:p>
              </w:tc>
              <w:tc>
                <w:tcPr>
                  <w:tcW w:w="1302" w:type="dxa"/>
                  <w:vMerge w:val="continue"/>
                  <w:vAlign w:val="center"/>
                </w:tcPr>
                <w:p w14:paraId="5F756C82">
                  <w:pPr>
                    <w:widowControl/>
                    <w:spacing w:line="280" w:lineRule="exact"/>
                    <w:jc w:val="center"/>
                    <w:rPr>
                      <w:color w:val="auto"/>
                      <w:szCs w:val="21"/>
                    </w:rPr>
                  </w:pPr>
                </w:p>
              </w:tc>
              <w:tc>
                <w:tcPr>
                  <w:tcW w:w="1368" w:type="dxa"/>
                  <w:vMerge w:val="continue"/>
                  <w:vAlign w:val="center"/>
                </w:tcPr>
                <w:p w14:paraId="436671EB">
                  <w:pPr>
                    <w:widowControl/>
                    <w:spacing w:line="280" w:lineRule="exact"/>
                    <w:jc w:val="center"/>
                    <w:rPr>
                      <w:color w:val="auto"/>
                      <w:szCs w:val="21"/>
                    </w:rPr>
                  </w:pPr>
                </w:p>
              </w:tc>
              <w:tc>
                <w:tcPr>
                  <w:tcW w:w="1131" w:type="dxa"/>
                  <w:vMerge w:val="continue"/>
                  <w:shd w:val="clear" w:color="auto" w:fill="auto"/>
                  <w:vAlign w:val="center"/>
                </w:tcPr>
                <w:p w14:paraId="0758C27D">
                  <w:pPr>
                    <w:jc w:val="center"/>
                    <w:rPr>
                      <w:rFonts w:hint="eastAsia" w:ascii="Times New Roman" w:hAnsi="Times New Roman" w:cs="Times New Roman" w:eastAsiaTheme="minorEastAsia"/>
                      <w:color w:val="auto"/>
                      <w:kern w:val="0"/>
                      <w:sz w:val="21"/>
                      <w:szCs w:val="21"/>
                      <w:lang w:val="en-US" w:eastAsia="zh-CN" w:bidi="ar-SA"/>
                    </w:rPr>
                  </w:pPr>
                </w:p>
              </w:tc>
              <w:tc>
                <w:tcPr>
                  <w:tcW w:w="931" w:type="dxa"/>
                  <w:vMerge w:val="continue"/>
                  <w:vAlign w:val="center"/>
                </w:tcPr>
                <w:p w14:paraId="55D296E0">
                  <w:pPr>
                    <w:widowControl/>
                    <w:spacing w:line="280" w:lineRule="exact"/>
                    <w:jc w:val="center"/>
                    <w:rPr>
                      <w:color w:val="auto"/>
                      <w:szCs w:val="21"/>
                    </w:rPr>
                  </w:pPr>
                </w:p>
              </w:tc>
              <w:tc>
                <w:tcPr>
                  <w:tcW w:w="972" w:type="dxa"/>
                  <w:vAlign w:val="center"/>
                </w:tcPr>
                <w:p w14:paraId="3320AC50">
                  <w:pPr>
                    <w:widowControl/>
                    <w:spacing w:line="240" w:lineRule="exact"/>
                    <w:jc w:val="center"/>
                    <w:rPr>
                      <w:color w:val="auto"/>
                      <w:szCs w:val="21"/>
                    </w:rPr>
                  </w:pPr>
                  <w:r>
                    <w:rPr>
                      <w:color w:val="auto"/>
                      <w:szCs w:val="21"/>
                    </w:rPr>
                    <w:t>COD</w:t>
                  </w:r>
                </w:p>
              </w:tc>
              <w:tc>
                <w:tcPr>
                  <w:tcW w:w="2814" w:type="dxa"/>
                  <w:vAlign w:val="center"/>
                </w:tcPr>
                <w:p w14:paraId="1D59E965">
                  <w:pPr>
                    <w:jc w:val="center"/>
                    <w:rPr>
                      <w:color w:val="auto"/>
                      <w:szCs w:val="21"/>
                    </w:rPr>
                  </w:pPr>
                  <w:r>
                    <w:rPr>
                      <w:rFonts w:hint="eastAsia" w:eastAsiaTheme="minorEastAsia"/>
                      <w:color w:val="auto"/>
                      <w:szCs w:val="21"/>
                    </w:rPr>
                    <w:t>4</w:t>
                  </w:r>
                  <w:r>
                    <w:rPr>
                      <w:rFonts w:eastAsiaTheme="minorEastAsia"/>
                      <w:color w:val="auto"/>
                      <w:szCs w:val="21"/>
                    </w:rPr>
                    <w:t>0</w:t>
                  </w:r>
                </w:p>
              </w:tc>
            </w:tr>
            <w:tr w14:paraId="2F937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6" w:type="dxa"/>
                  <w:vAlign w:val="center"/>
                </w:tcPr>
                <w:p w14:paraId="463BE9CD">
                  <w:pPr>
                    <w:widowControl/>
                    <w:spacing w:line="280" w:lineRule="exact"/>
                    <w:jc w:val="center"/>
                    <w:rPr>
                      <w:color w:val="auto"/>
                      <w:szCs w:val="21"/>
                    </w:rPr>
                  </w:pPr>
                  <w:r>
                    <w:rPr>
                      <w:color w:val="auto"/>
                      <w:szCs w:val="21"/>
                    </w:rPr>
                    <w:t>3</w:t>
                  </w:r>
                </w:p>
              </w:tc>
              <w:tc>
                <w:tcPr>
                  <w:tcW w:w="1109" w:type="dxa"/>
                  <w:vMerge w:val="continue"/>
                  <w:vAlign w:val="center"/>
                </w:tcPr>
                <w:p w14:paraId="567E3E82">
                  <w:pPr>
                    <w:widowControl/>
                    <w:spacing w:line="280" w:lineRule="exact"/>
                    <w:jc w:val="center"/>
                    <w:rPr>
                      <w:color w:val="auto"/>
                      <w:szCs w:val="21"/>
                    </w:rPr>
                  </w:pPr>
                </w:p>
              </w:tc>
              <w:tc>
                <w:tcPr>
                  <w:tcW w:w="1214" w:type="dxa"/>
                  <w:vMerge w:val="continue"/>
                  <w:vAlign w:val="center"/>
                </w:tcPr>
                <w:p w14:paraId="395E6500">
                  <w:pPr>
                    <w:widowControl/>
                    <w:spacing w:line="280" w:lineRule="exact"/>
                    <w:jc w:val="center"/>
                    <w:rPr>
                      <w:color w:val="auto"/>
                      <w:szCs w:val="21"/>
                    </w:rPr>
                  </w:pPr>
                </w:p>
              </w:tc>
              <w:tc>
                <w:tcPr>
                  <w:tcW w:w="1126" w:type="dxa"/>
                  <w:vMerge w:val="continue"/>
                  <w:vAlign w:val="center"/>
                </w:tcPr>
                <w:p w14:paraId="6BCB185D">
                  <w:pPr>
                    <w:widowControl/>
                    <w:spacing w:line="280" w:lineRule="exact"/>
                    <w:jc w:val="center"/>
                    <w:rPr>
                      <w:color w:val="auto"/>
                      <w:szCs w:val="21"/>
                    </w:rPr>
                  </w:pPr>
                </w:p>
              </w:tc>
              <w:tc>
                <w:tcPr>
                  <w:tcW w:w="1354" w:type="dxa"/>
                  <w:vMerge w:val="continue"/>
                  <w:vAlign w:val="center"/>
                </w:tcPr>
                <w:p w14:paraId="43F451E1">
                  <w:pPr>
                    <w:widowControl/>
                    <w:spacing w:line="280" w:lineRule="exact"/>
                    <w:jc w:val="center"/>
                    <w:rPr>
                      <w:color w:val="auto"/>
                      <w:szCs w:val="21"/>
                    </w:rPr>
                  </w:pPr>
                </w:p>
              </w:tc>
              <w:tc>
                <w:tcPr>
                  <w:tcW w:w="1302" w:type="dxa"/>
                  <w:vMerge w:val="continue"/>
                  <w:vAlign w:val="center"/>
                </w:tcPr>
                <w:p w14:paraId="6DDAC462">
                  <w:pPr>
                    <w:widowControl/>
                    <w:spacing w:line="280" w:lineRule="exact"/>
                    <w:jc w:val="center"/>
                    <w:rPr>
                      <w:color w:val="auto"/>
                      <w:szCs w:val="21"/>
                    </w:rPr>
                  </w:pPr>
                </w:p>
              </w:tc>
              <w:tc>
                <w:tcPr>
                  <w:tcW w:w="1368" w:type="dxa"/>
                  <w:vMerge w:val="continue"/>
                  <w:vAlign w:val="center"/>
                </w:tcPr>
                <w:p w14:paraId="5FAC46C8">
                  <w:pPr>
                    <w:widowControl/>
                    <w:spacing w:line="280" w:lineRule="exact"/>
                    <w:jc w:val="center"/>
                    <w:rPr>
                      <w:color w:val="auto"/>
                      <w:szCs w:val="21"/>
                    </w:rPr>
                  </w:pPr>
                </w:p>
              </w:tc>
              <w:tc>
                <w:tcPr>
                  <w:tcW w:w="1131" w:type="dxa"/>
                  <w:vMerge w:val="continue"/>
                  <w:vAlign w:val="center"/>
                </w:tcPr>
                <w:p w14:paraId="3C0F4646">
                  <w:pPr>
                    <w:widowControl/>
                    <w:spacing w:line="280" w:lineRule="exact"/>
                    <w:jc w:val="center"/>
                    <w:rPr>
                      <w:color w:val="auto"/>
                      <w:szCs w:val="21"/>
                    </w:rPr>
                  </w:pPr>
                </w:p>
              </w:tc>
              <w:tc>
                <w:tcPr>
                  <w:tcW w:w="931" w:type="dxa"/>
                  <w:vMerge w:val="continue"/>
                  <w:vAlign w:val="center"/>
                </w:tcPr>
                <w:p w14:paraId="5CD94FB4">
                  <w:pPr>
                    <w:widowControl/>
                    <w:spacing w:line="280" w:lineRule="exact"/>
                    <w:jc w:val="center"/>
                    <w:rPr>
                      <w:color w:val="auto"/>
                      <w:szCs w:val="21"/>
                    </w:rPr>
                  </w:pPr>
                </w:p>
              </w:tc>
              <w:tc>
                <w:tcPr>
                  <w:tcW w:w="972" w:type="dxa"/>
                  <w:vAlign w:val="center"/>
                </w:tcPr>
                <w:p w14:paraId="55D516FE">
                  <w:pPr>
                    <w:widowControl/>
                    <w:spacing w:line="240" w:lineRule="exact"/>
                    <w:jc w:val="center"/>
                    <w:rPr>
                      <w:color w:val="auto"/>
                      <w:szCs w:val="21"/>
                    </w:rPr>
                  </w:pPr>
                  <w:r>
                    <w:rPr>
                      <w:color w:val="auto"/>
                      <w:szCs w:val="21"/>
                    </w:rPr>
                    <w:t>SS</w:t>
                  </w:r>
                </w:p>
              </w:tc>
              <w:tc>
                <w:tcPr>
                  <w:tcW w:w="2814" w:type="dxa"/>
                  <w:vAlign w:val="center"/>
                </w:tcPr>
                <w:p w14:paraId="451E7C8E">
                  <w:pPr>
                    <w:jc w:val="center"/>
                    <w:rPr>
                      <w:color w:val="auto"/>
                      <w:szCs w:val="21"/>
                    </w:rPr>
                  </w:pPr>
                  <w:r>
                    <w:rPr>
                      <w:rFonts w:eastAsiaTheme="minorEastAsia"/>
                      <w:color w:val="auto"/>
                      <w:szCs w:val="21"/>
                    </w:rPr>
                    <w:t>10</w:t>
                  </w:r>
                </w:p>
              </w:tc>
            </w:tr>
            <w:tr w14:paraId="4F4F1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6" w:type="dxa"/>
                  <w:vAlign w:val="center"/>
                </w:tcPr>
                <w:p w14:paraId="75AD3552">
                  <w:pPr>
                    <w:widowControl/>
                    <w:spacing w:line="280" w:lineRule="exact"/>
                    <w:jc w:val="center"/>
                    <w:rPr>
                      <w:color w:val="auto"/>
                      <w:szCs w:val="21"/>
                    </w:rPr>
                  </w:pPr>
                  <w:r>
                    <w:rPr>
                      <w:color w:val="auto"/>
                      <w:szCs w:val="21"/>
                    </w:rPr>
                    <w:t>4</w:t>
                  </w:r>
                </w:p>
              </w:tc>
              <w:tc>
                <w:tcPr>
                  <w:tcW w:w="1109" w:type="dxa"/>
                  <w:vMerge w:val="continue"/>
                  <w:vAlign w:val="center"/>
                </w:tcPr>
                <w:p w14:paraId="0E8A9372">
                  <w:pPr>
                    <w:widowControl/>
                    <w:spacing w:line="280" w:lineRule="exact"/>
                    <w:jc w:val="center"/>
                    <w:rPr>
                      <w:color w:val="auto"/>
                      <w:szCs w:val="21"/>
                    </w:rPr>
                  </w:pPr>
                </w:p>
              </w:tc>
              <w:tc>
                <w:tcPr>
                  <w:tcW w:w="1214" w:type="dxa"/>
                  <w:vMerge w:val="continue"/>
                  <w:vAlign w:val="center"/>
                </w:tcPr>
                <w:p w14:paraId="68588835">
                  <w:pPr>
                    <w:widowControl/>
                    <w:spacing w:line="280" w:lineRule="exact"/>
                    <w:jc w:val="center"/>
                    <w:rPr>
                      <w:color w:val="auto"/>
                      <w:szCs w:val="21"/>
                    </w:rPr>
                  </w:pPr>
                </w:p>
              </w:tc>
              <w:tc>
                <w:tcPr>
                  <w:tcW w:w="1126" w:type="dxa"/>
                  <w:vMerge w:val="continue"/>
                  <w:vAlign w:val="center"/>
                </w:tcPr>
                <w:p w14:paraId="74C221A3">
                  <w:pPr>
                    <w:widowControl/>
                    <w:spacing w:line="280" w:lineRule="exact"/>
                    <w:jc w:val="center"/>
                    <w:rPr>
                      <w:color w:val="auto"/>
                      <w:szCs w:val="21"/>
                    </w:rPr>
                  </w:pPr>
                </w:p>
              </w:tc>
              <w:tc>
                <w:tcPr>
                  <w:tcW w:w="1354" w:type="dxa"/>
                  <w:vMerge w:val="continue"/>
                  <w:vAlign w:val="center"/>
                </w:tcPr>
                <w:p w14:paraId="68D937AC">
                  <w:pPr>
                    <w:widowControl/>
                    <w:spacing w:line="280" w:lineRule="exact"/>
                    <w:jc w:val="center"/>
                    <w:rPr>
                      <w:color w:val="auto"/>
                      <w:szCs w:val="21"/>
                    </w:rPr>
                  </w:pPr>
                </w:p>
              </w:tc>
              <w:tc>
                <w:tcPr>
                  <w:tcW w:w="1302" w:type="dxa"/>
                  <w:vMerge w:val="continue"/>
                  <w:vAlign w:val="center"/>
                </w:tcPr>
                <w:p w14:paraId="6687A398">
                  <w:pPr>
                    <w:widowControl/>
                    <w:spacing w:line="280" w:lineRule="exact"/>
                    <w:jc w:val="center"/>
                    <w:rPr>
                      <w:color w:val="auto"/>
                      <w:szCs w:val="21"/>
                    </w:rPr>
                  </w:pPr>
                </w:p>
              </w:tc>
              <w:tc>
                <w:tcPr>
                  <w:tcW w:w="1368" w:type="dxa"/>
                  <w:vMerge w:val="continue"/>
                  <w:vAlign w:val="center"/>
                </w:tcPr>
                <w:p w14:paraId="55103CB2">
                  <w:pPr>
                    <w:widowControl/>
                    <w:spacing w:line="280" w:lineRule="exact"/>
                    <w:jc w:val="center"/>
                    <w:rPr>
                      <w:color w:val="auto"/>
                      <w:szCs w:val="21"/>
                    </w:rPr>
                  </w:pPr>
                </w:p>
              </w:tc>
              <w:tc>
                <w:tcPr>
                  <w:tcW w:w="1131" w:type="dxa"/>
                  <w:vMerge w:val="continue"/>
                  <w:vAlign w:val="center"/>
                </w:tcPr>
                <w:p w14:paraId="5C9397D5">
                  <w:pPr>
                    <w:widowControl/>
                    <w:spacing w:line="280" w:lineRule="exact"/>
                    <w:jc w:val="center"/>
                    <w:rPr>
                      <w:color w:val="auto"/>
                      <w:szCs w:val="21"/>
                    </w:rPr>
                  </w:pPr>
                </w:p>
              </w:tc>
              <w:tc>
                <w:tcPr>
                  <w:tcW w:w="931" w:type="dxa"/>
                  <w:vMerge w:val="continue"/>
                  <w:vAlign w:val="center"/>
                </w:tcPr>
                <w:p w14:paraId="336D26E9">
                  <w:pPr>
                    <w:widowControl/>
                    <w:spacing w:line="280" w:lineRule="exact"/>
                    <w:jc w:val="center"/>
                    <w:rPr>
                      <w:color w:val="auto"/>
                      <w:szCs w:val="21"/>
                    </w:rPr>
                  </w:pPr>
                </w:p>
              </w:tc>
              <w:tc>
                <w:tcPr>
                  <w:tcW w:w="972" w:type="dxa"/>
                  <w:vAlign w:val="center"/>
                </w:tcPr>
                <w:p w14:paraId="3EC6DA11">
                  <w:pPr>
                    <w:widowControl/>
                    <w:spacing w:line="240" w:lineRule="exact"/>
                    <w:jc w:val="center"/>
                    <w:rPr>
                      <w:color w:val="auto"/>
                      <w:szCs w:val="21"/>
                    </w:rPr>
                  </w:pPr>
                  <w:r>
                    <w:rPr>
                      <w:color w:val="auto"/>
                      <w:szCs w:val="21"/>
                    </w:rPr>
                    <w:t>NH</w:t>
                  </w:r>
                  <w:r>
                    <w:rPr>
                      <w:color w:val="auto"/>
                      <w:szCs w:val="21"/>
                      <w:vertAlign w:val="subscript"/>
                    </w:rPr>
                    <w:t>3</w:t>
                  </w:r>
                  <w:r>
                    <w:rPr>
                      <w:color w:val="auto"/>
                      <w:szCs w:val="21"/>
                    </w:rPr>
                    <w:t>-N</w:t>
                  </w:r>
                </w:p>
              </w:tc>
              <w:tc>
                <w:tcPr>
                  <w:tcW w:w="2814" w:type="dxa"/>
                  <w:vAlign w:val="center"/>
                </w:tcPr>
                <w:p w14:paraId="2F9EA336">
                  <w:pPr>
                    <w:widowControl/>
                    <w:jc w:val="center"/>
                    <w:rPr>
                      <w:color w:val="auto"/>
                      <w:szCs w:val="21"/>
                    </w:rPr>
                  </w:pPr>
                  <w:r>
                    <w:rPr>
                      <w:rFonts w:hint="eastAsia"/>
                      <w:color w:val="auto"/>
                      <w:szCs w:val="21"/>
                    </w:rPr>
                    <w:t>3</w:t>
                  </w:r>
                  <w:r>
                    <w:rPr>
                      <w:color w:val="auto"/>
                      <w:szCs w:val="21"/>
                    </w:rPr>
                    <w:t>（</w:t>
                  </w:r>
                  <w:r>
                    <w:rPr>
                      <w:rFonts w:hint="eastAsia"/>
                      <w:color w:val="auto"/>
                      <w:szCs w:val="21"/>
                    </w:rPr>
                    <w:t>5</w:t>
                  </w:r>
                  <w:r>
                    <w:rPr>
                      <w:color w:val="auto"/>
                      <w:szCs w:val="21"/>
                    </w:rPr>
                    <w:t>）</w:t>
                  </w:r>
                  <w:r>
                    <w:rPr>
                      <w:color w:val="auto"/>
                      <w:szCs w:val="21"/>
                      <w:vertAlign w:val="superscript"/>
                    </w:rPr>
                    <w:t>[1]</w:t>
                  </w:r>
                </w:p>
              </w:tc>
            </w:tr>
            <w:tr w14:paraId="72505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6" w:type="dxa"/>
                  <w:vAlign w:val="center"/>
                </w:tcPr>
                <w:p w14:paraId="55FB30B2">
                  <w:pPr>
                    <w:widowControl/>
                    <w:spacing w:line="280" w:lineRule="exact"/>
                    <w:jc w:val="center"/>
                    <w:rPr>
                      <w:color w:val="auto"/>
                      <w:szCs w:val="21"/>
                    </w:rPr>
                  </w:pPr>
                  <w:r>
                    <w:rPr>
                      <w:rFonts w:hint="eastAsia"/>
                      <w:color w:val="auto"/>
                      <w:szCs w:val="21"/>
                    </w:rPr>
                    <w:t>5</w:t>
                  </w:r>
                </w:p>
              </w:tc>
              <w:tc>
                <w:tcPr>
                  <w:tcW w:w="1109" w:type="dxa"/>
                  <w:vMerge w:val="continue"/>
                  <w:vAlign w:val="center"/>
                </w:tcPr>
                <w:p w14:paraId="23E85D13">
                  <w:pPr>
                    <w:widowControl/>
                    <w:spacing w:line="280" w:lineRule="exact"/>
                    <w:jc w:val="center"/>
                    <w:rPr>
                      <w:color w:val="auto"/>
                      <w:szCs w:val="21"/>
                    </w:rPr>
                  </w:pPr>
                </w:p>
              </w:tc>
              <w:tc>
                <w:tcPr>
                  <w:tcW w:w="1214" w:type="dxa"/>
                  <w:vMerge w:val="continue"/>
                  <w:vAlign w:val="center"/>
                </w:tcPr>
                <w:p w14:paraId="7604BF1F">
                  <w:pPr>
                    <w:widowControl/>
                    <w:spacing w:line="280" w:lineRule="exact"/>
                    <w:jc w:val="center"/>
                    <w:rPr>
                      <w:color w:val="auto"/>
                      <w:szCs w:val="21"/>
                    </w:rPr>
                  </w:pPr>
                </w:p>
              </w:tc>
              <w:tc>
                <w:tcPr>
                  <w:tcW w:w="1126" w:type="dxa"/>
                  <w:vMerge w:val="continue"/>
                  <w:vAlign w:val="center"/>
                </w:tcPr>
                <w:p w14:paraId="57908674">
                  <w:pPr>
                    <w:widowControl/>
                    <w:spacing w:line="280" w:lineRule="exact"/>
                    <w:jc w:val="center"/>
                    <w:rPr>
                      <w:color w:val="auto"/>
                      <w:szCs w:val="21"/>
                    </w:rPr>
                  </w:pPr>
                </w:p>
              </w:tc>
              <w:tc>
                <w:tcPr>
                  <w:tcW w:w="1354" w:type="dxa"/>
                  <w:vMerge w:val="continue"/>
                  <w:vAlign w:val="center"/>
                </w:tcPr>
                <w:p w14:paraId="7B5FFD7E">
                  <w:pPr>
                    <w:widowControl/>
                    <w:spacing w:line="280" w:lineRule="exact"/>
                    <w:jc w:val="center"/>
                    <w:rPr>
                      <w:color w:val="auto"/>
                      <w:szCs w:val="21"/>
                    </w:rPr>
                  </w:pPr>
                </w:p>
              </w:tc>
              <w:tc>
                <w:tcPr>
                  <w:tcW w:w="1302" w:type="dxa"/>
                  <w:vMerge w:val="continue"/>
                  <w:vAlign w:val="center"/>
                </w:tcPr>
                <w:p w14:paraId="1D4B9F85">
                  <w:pPr>
                    <w:widowControl/>
                    <w:spacing w:line="280" w:lineRule="exact"/>
                    <w:jc w:val="center"/>
                    <w:rPr>
                      <w:color w:val="auto"/>
                      <w:szCs w:val="21"/>
                    </w:rPr>
                  </w:pPr>
                </w:p>
              </w:tc>
              <w:tc>
                <w:tcPr>
                  <w:tcW w:w="1368" w:type="dxa"/>
                  <w:vMerge w:val="continue"/>
                  <w:vAlign w:val="center"/>
                </w:tcPr>
                <w:p w14:paraId="502858D3">
                  <w:pPr>
                    <w:widowControl/>
                    <w:spacing w:line="280" w:lineRule="exact"/>
                    <w:jc w:val="center"/>
                    <w:rPr>
                      <w:color w:val="auto"/>
                      <w:szCs w:val="21"/>
                    </w:rPr>
                  </w:pPr>
                </w:p>
              </w:tc>
              <w:tc>
                <w:tcPr>
                  <w:tcW w:w="1131" w:type="dxa"/>
                  <w:vMerge w:val="continue"/>
                  <w:vAlign w:val="center"/>
                </w:tcPr>
                <w:p w14:paraId="7584DAA8">
                  <w:pPr>
                    <w:widowControl/>
                    <w:spacing w:line="280" w:lineRule="exact"/>
                    <w:jc w:val="center"/>
                    <w:rPr>
                      <w:color w:val="auto"/>
                      <w:szCs w:val="21"/>
                    </w:rPr>
                  </w:pPr>
                </w:p>
              </w:tc>
              <w:tc>
                <w:tcPr>
                  <w:tcW w:w="931" w:type="dxa"/>
                  <w:vMerge w:val="continue"/>
                  <w:vAlign w:val="center"/>
                </w:tcPr>
                <w:p w14:paraId="32B0A21A">
                  <w:pPr>
                    <w:widowControl/>
                    <w:spacing w:line="280" w:lineRule="exact"/>
                    <w:jc w:val="center"/>
                    <w:rPr>
                      <w:color w:val="auto"/>
                      <w:szCs w:val="21"/>
                    </w:rPr>
                  </w:pPr>
                </w:p>
              </w:tc>
              <w:tc>
                <w:tcPr>
                  <w:tcW w:w="972" w:type="dxa"/>
                  <w:vAlign w:val="center"/>
                </w:tcPr>
                <w:p w14:paraId="072F4C6A">
                  <w:pPr>
                    <w:widowControl/>
                    <w:spacing w:line="240" w:lineRule="exact"/>
                    <w:jc w:val="center"/>
                    <w:rPr>
                      <w:color w:val="auto"/>
                      <w:szCs w:val="21"/>
                    </w:rPr>
                  </w:pPr>
                  <w:r>
                    <w:rPr>
                      <w:color w:val="auto"/>
                      <w:szCs w:val="21"/>
                    </w:rPr>
                    <w:t>TP</w:t>
                  </w:r>
                </w:p>
              </w:tc>
              <w:tc>
                <w:tcPr>
                  <w:tcW w:w="2814" w:type="dxa"/>
                  <w:vAlign w:val="center"/>
                </w:tcPr>
                <w:p w14:paraId="2528453C">
                  <w:pPr>
                    <w:widowControl/>
                    <w:jc w:val="center"/>
                    <w:rPr>
                      <w:color w:val="auto"/>
                      <w:szCs w:val="21"/>
                    </w:rPr>
                  </w:pPr>
                  <w:r>
                    <w:rPr>
                      <w:color w:val="auto"/>
                      <w:szCs w:val="21"/>
                    </w:rPr>
                    <w:t>0.</w:t>
                  </w:r>
                  <w:r>
                    <w:rPr>
                      <w:rFonts w:hint="eastAsia"/>
                      <w:color w:val="auto"/>
                      <w:szCs w:val="21"/>
                    </w:rPr>
                    <w:t>3</w:t>
                  </w:r>
                </w:p>
              </w:tc>
            </w:tr>
            <w:tr w14:paraId="1B011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6" w:type="dxa"/>
                  <w:vAlign w:val="center"/>
                </w:tcPr>
                <w:p w14:paraId="473CD122">
                  <w:pPr>
                    <w:widowControl/>
                    <w:spacing w:line="280" w:lineRule="exact"/>
                    <w:jc w:val="center"/>
                    <w:rPr>
                      <w:color w:val="auto"/>
                      <w:szCs w:val="21"/>
                    </w:rPr>
                  </w:pPr>
                  <w:r>
                    <w:rPr>
                      <w:rFonts w:hint="eastAsia"/>
                      <w:color w:val="auto"/>
                      <w:szCs w:val="21"/>
                    </w:rPr>
                    <w:t>6</w:t>
                  </w:r>
                </w:p>
              </w:tc>
              <w:tc>
                <w:tcPr>
                  <w:tcW w:w="1109" w:type="dxa"/>
                  <w:vMerge w:val="continue"/>
                  <w:vAlign w:val="center"/>
                </w:tcPr>
                <w:p w14:paraId="6B4542DB">
                  <w:pPr>
                    <w:widowControl/>
                    <w:spacing w:line="280" w:lineRule="exact"/>
                    <w:jc w:val="center"/>
                    <w:rPr>
                      <w:color w:val="auto"/>
                      <w:szCs w:val="21"/>
                    </w:rPr>
                  </w:pPr>
                </w:p>
              </w:tc>
              <w:tc>
                <w:tcPr>
                  <w:tcW w:w="1214" w:type="dxa"/>
                  <w:vMerge w:val="continue"/>
                  <w:vAlign w:val="center"/>
                </w:tcPr>
                <w:p w14:paraId="09DB6B89">
                  <w:pPr>
                    <w:widowControl/>
                    <w:spacing w:line="280" w:lineRule="exact"/>
                    <w:jc w:val="center"/>
                    <w:rPr>
                      <w:color w:val="auto"/>
                      <w:szCs w:val="21"/>
                    </w:rPr>
                  </w:pPr>
                </w:p>
              </w:tc>
              <w:tc>
                <w:tcPr>
                  <w:tcW w:w="1126" w:type="dxa"/>
                  <w:vMerge w:val="continue"/>
                  <w:vAlign w:val="center"/>
                </w:tcPr>
                <w:p w14:paraId="3913C3CD">
                  <w:pPr>
                    <w:widowControl/>
                    <w:spacing w:line="280" w:lineRule="exact"/>
                    <w:jc w:val="center"/>
                    <w:rPr>
                      <w:color w:val="auto"/>
                      <w:szCs w:val="21"/>
                    </w:rPr>
                  </w:pPr>
                </w:p>
              </w:tc>
              <w:tc>
                <w:tcPr>
                  <w:tcW w:w="1354" w:type="dxa"/>
                  <w:vMerge w:val="continue"/>
                  <w:vAlign w:val="center"/>
                </w:tcPr>
                <w:p w14:paraId="6131ECCC">
                  <w:pPr>
                    <w:widowControl/>
                    <w:spacing w:line="280" w:lineRule="exact"/>
                    <w:jc w:val="center"/>
                    <w:rPr>
                      <w:color w:val="auto"/>
                      <w:szCs w:val="21"/>
                    </w:rPr>
                  </w:pPr>
                </w:p>
              </w:tc>
              <w:tc>
                <w:tcPr>
                  <w:tcW w:w="1302" w:type="dxa"/>
                  <w:vMerge w:val="continue"/>
                  <w:vAlign w:val="center"/>
                </w:tcPr>
                <w:p w14:paraId="054F7BD3">
                  <w:pPr>
                    <w:widowControl/>
                    <w:spacing w:line="280" w:lineRule="exact"/>
                    <w:jc w:val="center"/>
                    <w:rPr>
                      <w:color w:val="auto"/>
                      <w:szCs w:val="21"/>
                    </w:rPr>
                  </w:pPr>
                </w:p>
              </w:tc>
              <w:tc>
                <w:tcPr>
                  <w:tcW w:w="1368" w:type="dxa"/>
                  <w:vMerge w:val="continue"/>
                  <w:vAlign w:val="center"/>
                </w:tcPr>
                <w:p w14:paraId="3B61D4D4">
                  <w:pPr>
                    <w:widowControl/>
                    <w:spacing w:line="280" w:lineRule="exact"/>
                    <w:jc w:val="center"/>
                    <w:rPr>
                      <w:color w:val="auto"/>
                      <w:szCs w:val="21"/>
                    </w:rPr>
                  </w:pPr>
                </w:p>
              </w:tc>
              <w:tc>
                <w:tcPr>
                  <w:tcW w:w="1131" w:type="dxa"/>
                  <w:vMerge w:val="continue"/>
                  <w:vAlign w:val="center"/>
                </w:tcPr>
                <w:p w14:paraId="799BCD9E">
                  <w:pPr>
                    <w:widowControl/>
                    <w:spacing w:line="280" w:lineRule="exact"/>
                    <w:jc w:val="center"/>
                    <w:rPr>
                      <w:color w:val="auto"/>
                      <w:szCs w:val="21"/>
                    </w:rPr>
                  </w:pPr>
                </w:p>
              </w:tc>
              <w:tc>
                <w:tcPr>
                  <w:tcW w:w="931" w:type="dxa"/>
                  <w:vMerge w:val="continue"/>
                  <w:vAlign w:val="center"/>
                </w:tcPr>
                <w:p w14:paraId="303FB2E8">
                  <w:pPr>
                    <w:widowControl/>
                    <w:spacing w:line="280" w:lineRule="exact"/>
                    <w:jc w:val="center"/>
                    <w:rPr>
                      <w:color w:val="auto"/>
                      <w:szCs w:val="21"/>
                    </w:rPr>
                  </w:pPr>
                </w:p>
              </w:tc>
              <w:tc>
                <w:tcPr>
                  <w:tcW w:w="972" w:type="dxa"/>
                  <w:vAlign w:val="center"/>
                </w:tcPr>
                <w:p w14:paraId="1C9A5BC6">
                  <w:pPr>
                    <w:widowControl/>
                    <w:spacing w:line="240" w:lineRule="exact"/>
                    <w:jc w:val="center"/>
                    <w:rPr>
                      <w:color w:val="auto"/>
                      <w:szCs w:val="21"/>
                    </w:rPr>
                  </w:pPr>
                  <w:r>
                    <w:rPr>
                      <w:rFonts w:hint="eastAsia"/>
                      <w:color w:val="auto"/>
                      <w:szCs w:val="21"/>
                    </w:rPr>
                    <w:t>TN</w:t>
                  </w:r>
                </w:p>
              </w:tc>
              <w:tc>
                <w:tcPr>
                  <w:tcW w:w="2814" w:type="dxa"/>
                  <w:vAlign w:val="center"/>
                </w:tcPr>
                <w:p w14:paraId="1E98AF31">
                  <w:pPr>
                    <w:widowControl/>
                    <w:jc w:val="center"/>
                    <w:rPr>
                      <w:rFonts w:hint="eastAsia"/>
                      <w:color w:val="auto"/>
                      <w:szCs w:val="21"/>
                    </w:rPr>
                  </w:pPr>
                  <w:r>
                    <w:rPr>
                      <w:rFonts w:hint="eastAsia"/>
                      <w:color w:val="auto"/>
                      <w:szCs w:val="21"/>
                    </w:rPr>
                    <w:t>10</w:t>
                  </w:r>
                  <w:r>
                    <w:rPr>
                      <w:color w:val="auto"/>
                      <w:szCs w:val="21"/>
                    </w:rPr>
                    <w:t>（</w:t>
                  </w:r>
                  <w:r>
                    <w:rPr>
                      <w:rFonts w:hint="eastAsia"/>
                      <w:color w:val="auto"/>
                      <w:szCs w:val="21"/>
                    </w:rPr>
                    <w:t>12</w:t>
                  </w:r>
                  <w:r>
                    <w:rPr>
                      <w:color w:val="auto"/>
                      <w:szCs w:val="21"/>
                    </w:rPr>
                    <w:t>）</w:t>
                  </w:r>
                  <w:r>
                    <w:rPr>
                      <w:color w:val="auto"/>
                      <w:szCs w:val="21"/>
                      <w:vertAlign w:val="superscript"/>
                    </w:rPr>
                    <w:t>[1]</w:t>
                  </w:r>
                </w:p>
              </w:tc>
            </w:tr>
          </w:tbl>
          <w:p w14:paraId="6D89E133">
            <w:pPr>
              <w:widowControl/>
              <w:adjustRightInd w:val="0"/>
              <w:snapToGrid w:val="0"/>
              <w:ind w:firstLine="360" w:firstLineChars="200"/>
              <w:rPr>
                <w:b/>
                <w:bCs/>
                <w:color w:val="auto"/>
                <w:sz w:val="24"/>
                <w:szCs w:val="24"/>
              </w:rPr>
            </w:pPr>
            <w:r>
              <w:rPr>
                <w:bCs/>
                <w:color w:val="auto"/>
                <w:sz w:val="18"/>
                <w:szCs w:val="18"/>
              </w:rPr>
              <w:t>注：</w:t>
            </w:r>
            <w:r>
              <w:rPr>
                <w:rFonts w:hint="eastAsia"/>
                <w:color w:val="auto"/>
                <w:sz w:val="18"/>
                <w:szCs w:val="18"/>
                <w:lang w:val="en-US" w:eastAsia="zh-CN"/>
              </w:rPr>
              <w:t>[1]每年11月1日至次年3月31日执行括号内排放限值</w:t>
            </w:r>
            <w:r>
              <w:rPr>
                <w:bCs/>
                <w:color w:val="auto"/>
                <w:sz w:val="18"/>
                <w:szCs w:val="18"/>
              </w:rPr>
              <w:t>。</w:t>
            </w:r>
          </w:p>
          <w:p w14:paraId="11129DA7">
            <w:pPr>
              <w:widowControl/>
              <w:adjustRightInd w:val="0"/>
              <w:snapToGrid w:val="0"/>
              <w:spacing w:line="324" w:lineRule="auto"/>
              <w:jc w:val="center"/>
              <w:rPr>
                <w:b/>
                <w:bCs/>
                <w:color w:val="auto"/>
                <w:sz w:val="24"/>
                <w:szCs w:val="24"/>
              </w:rPr>
            </w:pPr>
          </w:p>
          <w:p w14:paraId="2AACC357">
            <w:pPr>
              <w:widowControl/>
              <w:adjustRightInd w:val="0"/>
              <w:snapToGrid w:val="0"/>
              <w:spacing w:line="324" w:lineRule="auto"/>
              <w:jc w:val="center"/>
              <w:rPr>
                <w:b/>
                <w:bCs/>
                <w:color w:val="auto"/>
                <w:sz w:val="24"/>
                <w:szCs w:val="24"/>
              </w:rPr>
            </w:pPr>
          </w:p>
          <w:p w14:paraId="38F3CE06">
            <w:pPr>
              <w:widowControl/>
              <w:adjustRightInd w:val="0"/>
              <w:snapToGrid w:val="0"/>
              <w:spacing w:line="324" w:lineRule="auto"/>
              <w:jc w:val="center"/>
              <w:rPr>
                <w:b/>
                <w:bCs/>
                <w:color w:val="auto"/>
                <w:sz w:val="24"/>
                <w:szCs w:val="24"/>
              </w:rPr>
            </w:pPr>
          </w:p>
          <w:p w14:paraId="3D01DCB2">
            <w:pPr>
              <w:widowControl/>
              <w:adjustRightInd w:val="0"/>
              <w:snapToGrid w:val="0"/>
              <w:spacing w:line="324" w:lineRule="auto"/>
              <w:jc w:val="center"/>
              <w:rPr>
                <w:b/>
                <w:bCs/>
                <w:color w:val="auto"/>
                <w:sz w:val="24"/>
                <w:szCs w:val="24"/>
              </w:rPr>
            </w:pPr>
          </w:p>
          <w:p w14:paraId="31995E92">
            <w:pPr>
              <w:widowControl/>
              <w:adjustRightInd w:val="0"/>
              <w:snapToGrid w:val="0"/>
              <w:spacing w:line="324" w:lineRule="auto"/>
              <w:jc w:val="center"/>
              <w:rPr>
                <w:b/>
                <w:bCs/>
                <w:color w:val="auto"/>
                <w:sz w:val="24"/>
                <w:szCs w:val="24"/>
              </w:rPr>
            </w:pPr>
          </w:p>
          <w:p w14:paraId="40C21919">
            <w:pPr>
              <w:widowControl/>
              <w:adjustRightInd w:val="0"/>
              <w:snapToGrid w:val="0"/>
              <w:spacing w:line="324" w:lineRule="auto"/>
              <w:jc w:val="center"/>
              <w:rPr>
                <w:b/>
                <w:bCs/>
                <w:color w:val="auto"/>
                <w:sz w:val="24"/>
                <w:szCs w:val="24"/>
              </w:rPr>
            </w:pPr>
            <w:r>
              <w:rPr>
                <w:b/>
                <w:bCs/>
                <w:color w:val="auto"/>
                <w:sz w:val="24"/>
                <w:szCs w:val="24"/>
              </w:rPr>
              <w:t>表</w:t>
            </w:r>
            <w:r>
              <w:rPr>
                <w:rFonts w:hint="eastAsia"/>
                <w:b/>
                <w:bCs/>
                <w:color w:val="auto"/>
                <w:sz w:val="24"/>
                <w:szCs w:val="24"/>
              </w:rPr>
              <w:t>4</w:t>
            </w:r>
            <w:r>
              <w:rPr>
                <w:rFonts w:hint="eastAsia"/>
                <w:b/>
                <w:bCs/>
                <w:color w:val="auto"/>
                <w:sz w:val="24"/>
                <w:szCs w:val="24"/>
                <w:lang w:val="en-US" w:eastAsia="zh-CN"/>
              </w:rPr>
              <w:t>-15</w:t>
            </w:r>
            <w:r>
              <w:rPr>
                <w:b/>
                <w:bCs/>
                <w:color w:val="auto"/>
                <w:sz w:val="24"/>
                <w:szCs w:val="24"/>
              </w:rPr>
              <w:t>废水污染物排放执行标准表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1"/>
              <w:gridCol w:w="1728"/>
              <w:gridCol w:w="1886"/>
              <w:gridCol w:w="4485"/>
              <w:gridCol w:w="4900"/>
            </w:tblGrid>
            <w:tr w14:paraId="0CCC9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297" w:type="pct"/>
                  <w:vMerge w:val="restart"/>
                  <w:vAlign w:val="center"/>
                </w:tcPr>
                <w:p w14:paraId="3A3CC070">
                  <w:pPr>
                    <w:widowControl/>
                    <w:spacing w:line="280" w:lineRule="exact"/>
                    <w:jc w:val="center"/>
                    <w:rPr>
                      <w:b/>
                      <w:color w:val="auto"/>
                      <w:szCs w:val="21"/>
                    </w:rPr>
                  </w:pPr>
                  <w:r>
                    <w:rPr>
                      <w:b/>
                      <w:color w:val="auto"/>
                      <w:szCs w:val="21"/>
                    </w:rPr>
                    <w:t>序号</w:t>
                  </w:r>
                </w:p>
              </w:tc>
              <w:tc>
                <w:tcPr>
                  <w:tcW w:w="625" w:type="pct"/>
                  <w:vMerge w:val="restart"/>
                  <w:vAlign w:val="center"/>
                </w:tcPr>
                <w:p w14:paraId="6133C580">
                  <w:pPr>
                    <w:widowControl/>
                    <w:spacing w:line="280" w:lineRule="exact"/>
                    <w:jc w:val="center"/>
                    <w:rPr>
                      <w:b/>
                      <w:color w:val="auto"/>
                      <w:szCs w:val="21"/>
                    </w:rPr>
                  </w:pPr>
                  <w:r>
                    <w:rPr>
                      <w:b/>
                      <w:color w:val="auto"/>
                      <w:szCs w:val="21"/>
                    </w:rPr>
                    <w:t>排放口编号</w:t>
                  </w:r>
                </w:p>
              </w:tc>
              <w:tc>
                <w:tcPr>
                  <w:tcW w:w="682" w:type="pct"/>
                  <w:vMerge w:val="restart"/>
                  <w:vAlign w:val="center"/>
                </w:tcPr>
                <w:p w14:paraId="78CE5B8A">
                  <w:pPr>
                    <w:widowControl/>
                    <w:spacing w:line="280" w:lineRule="exact"/>
                    <w:jc w:val="center"/>
                    <w:rPr>
                      <w:b/>
                      <w:color w:val="auto"/>
                      <w:szCs w:val="21"/>
                    </w:rPr>
                  </w:pPr>
                  <w:r>
                    <w:rPr>
                      <w:b/>
                      <w:color w:val="auto"/>
                      <w:szCs w:val="21"/>
                    </w:rPr>
                    <w:t>污染物种类</w:t>
                  </w:r>
                </w:p>
              </w:tc>
              <w:tc>
                <w:tcPr>
                  <w:tcW w:w="3394" w:type="pct"/>
                  <w:gridSpan w:val="2"/>
                  <w:vAlign w:val="center"/>
                </w:tcPr>
                <w:p w14:paraId="01858F7D">
                  <w:pPr>
                    <w:widowControl/>
                    <w:spacing w:line="280" w:lineRule="exact"/>
                    <w:jc w:val="center"/>
                    <w:rPr>
                      <w:b/>
                      <w:color w:val="auto"/>
                      <w:szCs w:val="21"/>
                    </w:rPr>
                  </w:pPr>
                  <w:r>
                    <w:rPr>
                      <w:b/>
                      <w:color w:val="auto"/>
                      <w:szCs w:val="21"/>
                    </w:rPr>
                    <w:t>国家或地方排放标准及其他按规定商议的排放协议</w:t>
                  </w:r>
                </w:p>
              </w:tc>
            </w:tr>
            <w:tr w14:paraId="75E6C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297" w:type="pct"/>
                  <w:vMerge w:val="continue"/>
                  <w:vAlign w:val="center"/>
                </w:tcPr>
                <w:p w14:paraId="578452CC">
                  <w:pPr>
                    <w:widowControl/>
                    <w:spacing w:line="280" w:lineRule="exact"/>
                    <w:jc w:val="center"/>
                    <w:rPr>
                      <w:b/>
                      <w:color w:val="auto"/>
                      <w:szCs w:val="21"/>
                    </w:rPr>
                  </w:pPr>
                </w:p>
              </w:tc>
              <w:tc>
                <w:tcPr>
                  <w:tcW w:w="625" w:type="pct"/>
                  <w:vMerge w:val="continue"/>
                  <w:vAlign w:val="center"/>
                </w:tcPr>
                <w:p w14:paraId="5B9ABCBB">
                  <w:pPr>
                    <w:widowControl/>
                    <w:spacing w:line="280" w:lineRule="exact"/>
                    <w:jc w:val="center"/>
                    <w:rPr>
                      <w:b/>
                      <w:color w:val="auto"/>
                      <w:szCs w:val="21"/>
                    </w:rPr>
                  </w:pPr>
                </w:p>
              </w:tc>
              <w:tc>
                <w:tcPr>
                  <w:tcW w:w="682" w:type="pct"/>
                  <w:vMerge w:val="continue"/>
                  <w:vAlign w:val="center"/>
                </w:tcPr>
                <w:p w14:paraId="7B42844C">
                  <w:pPr>
                    <w:widowControl/>
                    <w:spacing w:line="280" w:lineRule="exact"/>
                    <w:jc w:val="center"/>
                    <w:rPr>
                      <w:b/>
                      <w:color w:val="auto"/>
                      <w:szCs w:val="21"/>
                    </w:rPr>
                  </w:pPr>
                </w:p>
              </w:tc>
              <w:tc>
                <w:tcPr>
                  <w:tcW w:w="1622" w:type="pct"/>
                  <w:vAlign w:val="center"/>
                </w:tcPr>
                <w:p w14:paraId="1C271383">
                  <w:pPr>
                    <w:widowControl/>
                    <w:spacing w:line="280" w:lineRule="exact"/>
                    <w:jc w:val="center"/>
                    <w:rPr>
                      <w:b/>
                      <w:color w:val="auto"/>
                      <w:szCs w:val="21"/>
                    </w:rPr>
                  </w:pPr>
                  <w:r>
                    <w:rPr>
                      <w:b/>
                      <w:color w:val="auto"/>
                      <w:szCs w:val="21"/>
                    </w:rPr>
                    <w:t>名称</w:t>
                  </w:r>
                </w:p>
              </w:tc>
              <w:tc>
                <w:tcPr>
                  <w:tcW w:w="1771" w:type="pct"/>
                  <w:vAlign w:val="center"/>
                </w:tcPr>
                <w:p w14:paraId="78762241">
                  <w:pPr>
                    <w:widowControl/>
                    <w:spacing w:line="280" w:lineRule="exact"/>
                    <w:jc w:val="center"/>
                    <w:rPr>
                      <w:b/>
                      <w:color w:val="auto"/>
                      <w:szCs w:val="21"/>
                    </w:rPr>
                  </w:pPr>
                  <w:r>
                    <w:rPr>
                      <w:b/>
                      <w:color w:val="auto"/>
                      <w:szCs w:val="21"/>
                    </w:rPr>
                    <w:t>浓度限值（mg/L）</w:t>
                  </w:r>
                </w:p>
              </w:tc>
            </w:tr>
            <w:tr w14:paraId="32F50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7" w:type="pct"/>
                  <w:vMerge w:val="restart"/>
                  <w:vAlign w:val="center"/>
                </w:tcPr>
                <w:p w14:paraId="6751C359">
                  <w:pPr>
                    <w:widowControl/>
                    <w:spacing w:line="280" w:lineRule="exact"/>
                    <w:jc w:val="center"/>
                    <w:rPr>
                      <w:color w:val="auto"/>
                      <w:szCs w:val="21"/>
                    </w:rPr>
                  </w:pPr>
                  <w:r>
                    <w:rPr>
                      <w:color w:val="auto"/>
                      <w:szCs w:val="21"/>
                    </w:rPr>
                    <w:t>1</w:t>
                  </w:r>
                </w:p>
              </w:tc>
              <w:tc>
                <w:tcPr>
                  <w:tcW w:w="625" w:type="pct"/>
                  <w:vMerge w:val="restart"/>
                  <w:vAlign w:val="center"/>
                </w:tcPr>
                <w:p w14:paraId="3B044039">
                  <w:pPr>
                    <w:widowControl/>
                    <w:spacing w:line="280" w:lineRule="exact"/>
                    <w:jc w:val="center"/>
                    <w:rPr>
                      <w:rFonts w:hint="default" w:eastAsia="宋体"/>
                      <w:color w:val="auto"/>
                      <w:szCs w:val="21"/>
                      <w:lang w:val="en-US" w:eastAsia="zh-CN"/>
                    </w:rPr>
                  </w:pPr>
                  <w:r>
                    <w:rPr>
                      <w:rFonts w:hint="eastAsia"/>
                      <w:color w:val="auto"/>
                      <w:szCs w:val="21"/>
                      <w:lang w:val="en-US" w:eastAsia="zh-CN"/>
                    </w:rPr>
                    <w:t>DW001</w:t>
                  </w:r>
                </w:p>
              </w:tc>
              <w:tc>
                <w:tcPr>
                  <w:tcW w:w="682" w:type="pct"/>
                  <w:vAlign w:val="center"/>
                </w:tcPr>
                <w:p w14:paraId="1747ABAE">
                  <w:pPr>
                    <w:widowControl/>
                    <w:spacing w:line="280" w:lineRule="exact"/>
                    <w:jc w:val="center"/>
                    <w:rPr>
                      <w:color w:val="auto"/>
                      <w:szCs w:val="21"/>
                    </w:rPr>
                  </w:pPr>
                  <w:r>
                    <w:rPr>
                      <w:rFonts w:hint="eastAsia"/>
                      <w:color w:val="auto"/>
                      <w:szCs w:val="21"/>
                    </w:rPr>
                    <w:t>p</w:t>
                  </w:r>
                  <w:r>
                    <w:rPr>
                      <w:color w:val="auto"/>
                      <w:szCs w:val="21"/>
                    </w:rPr>
                    <w:t>H</w:t>
                  </w:r>
                </w:p>
              </w:tc>
              <w:tc>
                <w:tcPr>
                  <w:tcW w:w="1622" w:type="pct"/>
                  <w:vMerge w:val="restart"/>
                  <w:vAlign w:val="center"/>
                </w:tcPr>
                <w:p w14:paraId="5BF7E147">
                  <w:pPr>
                    <w:widowControl/>
                    <w:spacing w:line="280" w:lineRule="exact"/>
                    <w:jc w:val="center"/>
                    <w:rPr>
                      <w:color w:val="auto"/>
                      <w:szCs w:val="21"/>
                    </w:rPr>
                  </w:pPr>
                  <w:r>
                    <w:rPr>
                      <w:color w:val="auto"/>
                      <w:szCs w:val="21"/>
                    </w:rPr>
                    <w:t>《</w:t>
                  </w:r>
                  <w:r>
                    <w:rPr>
                      <w:bCs/>
                      <w:color w:val="auto"/>
                      <w:szCs w:val="21"/>
                    </w:rPr>
                    <w:t>污水排入城镇下水道水质标准</w:t>
                  </w:r>
                  <w:r>
                    <w:rPr>
                      <w:color w:val="auto"/>
                      <w:szCs w:val="21"/>
                    </w:rPr>
                    <w:t>》</w:t>
                  </w:r>
                  <w:r>
                    <w:rPr>
                      <w:bCs/>
                      <w:color w:val="auto"/>
                      <w:szCs w:val="21"/>
                    </w:rPr>
                    <w:t>（GB/T31962-2015）</w:t>
                  </w:r>
                  <w:r>
                    <w:rPr>
                      <w:color w:val="auto"/>
                      <w:szCs w:val="21"/>
                    </w:rPr>
                    <w:t>表1中B等级标准</w:t>
                  </w:r>
                </w:p>
              </w:tc>
              <w:tc>
                <w:tcPr>
                  <w:tcW w:w="1771" w:type="pct"/>
                  <w:vAlign w:val="center"/>
                </w:tcPr>
                <w:p w14:paraId="195892EA">
                  <w:pPr>
                    <w:jc w:val="center"/>
                    <w:rPr>
                      <w:color w:val="auto"/>
                      <w:szCs w:val="21"/>
                    </w:rPr>
                  </w:pPr>
                  <w:r>
                    <w:rPr>
                      <w:color w:val="auto"/>
                      <w:szCs w:val="21"/>
                    </w:rPr>
                    <w:t>6.5～9.</w:t>
                  </w:r>
                  <w:r>
                    <w:rPr>
                      <w:rFonts w:hint="eastAsia"/>
                      <w:color w:val="auto"/>
                      <w:szCs w:val="21"/>
                    </w:rPr>
                    <w:t>5</w:t>
                  </w:r>
                </w:p>
              </w:tc>
            </w:tr>
            <w:tr w14:paraId="4C388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7" w:type="pct"/>
                  <w:vMerge w:val="continue"/>
                  <w:vAlign w:val="center"/>
                </w:tcPr>
                <w:p w14:paraId="7ED63BE6">
                  <w:pPr>
                    <w:widowControl/>
                    <w:spacing w:line="280" w:lineRule="exact"/>
                    <w:jc w:val="center"/>
                    <w:rPr>
                      <w:color w:val="auto"/>
                      <w:szCs w:val="21"/>
                    </w:rPr>
                  </w:pPr>
                </w:p>
              </w:tc>
              <w:tc>
                <w:tcPr>
                  <w:tcW w:w="625" w:type="pct"/>
                  <w:vMerge w:val="continue"/>
                  <w:vAlign w:val="center"/>
                </w:tcPr>
                <w:p w14:paraId="095FFDA0">
                  <w:pPr>
                    <w:widowControl/>
                    <w:spacing w:line="280" w:lineRule="exact"/>
                    <w:jc w:val="center"/>
                    <w:rPr>
                      <w:color w:val="auto"/>
                      <w:szCs w:val="21"/>
                    </w:rPr>
                  </w:pPr>
                </w:p>
              </w:tc>
              <w:tc>
                <w:tcPr>
                  <w:tcW w:w="682" w:type="pct"/>
                  <w:vAlign w:val="center"/>
                </w:tcPr>
                <w:p w14:paraId="2EB96F8D">
                  <w:pPr>
                    <w:spacing w:line="240" w:lineRule="exact"/>
                    <w:jc w:val="center"/>
                    <w:rPr>
                      <w:color w:val="auto"/>
                      <w:szCs w:val="21"/>
                    </w:rPr>
                  </w:pPr>
                  <w:r>
                    <w:rPr>
                      <w:rFonts w:eastAsiaTheme="minorEastAsia"/>
                      <w:color w:val="auto"/>
                    </w:rPr>
                    <w:t>COD</w:t>
                  </w:r>
                </w:p>
              </w:tc>
              <w:tc>
                <w:tcPr>
                  <w:tcW w:w="1622" w:type="pct"/>
                  <w:vMerge w:val="continue"/>
                  <w:vAlign w:val="center"/>
                </w:tcPr>
                <w:p w14:paraId="116793DB">
                  <w:pPr>
                    <w:widowControl/>
                    <w:spacing w:line="280" w:lineRule="exact"/>
                    <w:jc w:val="center"/>
                    <w:rPr>
                      <w:color w:val="auto"/>
                      <w:szCs w:val="21"/>
                    </w:rPr>
                  </w:pPr>
                </w:p>
              </w:tc>
              <w:tc>
                <w:tcPr>
                  <w:tcW w:w="1771" w:type="pct"/>
                  <w:vAlign w:val="center"/>
                </w:tcPr>
                <w:p w14:paraId="538975E3">
                  <w:pPr>
                    <w:jc w:val="center"/>
                    <w:rPr>
                      <w:color w:val="auto"/>
                      <w:szCs w:val="21"/>
                    </w:rPr>
                  </w:pPr>
                  <w:r>
                    <w:rPr>
                      <w:color w:val="auto"/>
                      <w:szCs w:val="21"/>
                    </w:rPr>
                    <w:t>500</w:t>
                  </w:r>
                </w:p>
              </w:tc>
            </w:tr>
            <w:tr w14:paraId="37242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7" w:type="pct"/>
                  <w:vMerge w:val="continue"/>
                  <w:vAlign w:val="center"/>
                </w:tcPr>
                <w:p w14:paraId="16DE0268">
                  <w:pPr>
                    <w:widowControl/>
                    <w:spacing w:line="280" w:lineRule="exact"/>
                    <w:jc w:val="center"/>
                    <w:rPr>
                      <w:color w:val="auto"/>
                      <w:szCs w:val="21"/>
                    </w:rPr>
                  </w:pPr>
                </w:p>
              </w:tc>
              <w:tc>
                <w:tcPr>
                  <w:tcW w:w="625" w:type="pct"/>
                  <w:vMerge w:val="continue"/>
                  <w:vAlign w:val="center"/>
                </w:tcPr>
                <w:p w14:paraId="1ABD2357">
                  <w:pPr>
                    <w:widowControl/>
                    <w:spacing w:line="280" w:lineRule="exact"/>
                    <w:jc w:val="center"/>
                    <w:rPr>
                      <w:color w:val="auto"/>
                      <w:szCs w:val="21"/>
                    </w:rPr>
                  </w:pPr>
                </w:p>
              </w:tc>
              <w:tc>
                <w:tcPr>
                  <w:tcW w:w="682" w:type="pct"/>
                  <w:vAlign w:val="center"/>
                </w:tcPr>
                <w:p w14:paraId="631D8C6E">
                  <w:pPr>
                    <w:spacing w:line="240" w:lineRule="exact"/>
                    <w:jc w:val="center"/>
                    <w:rPr>
                      <w:color w:val="auto"/>
                      <w:szCs w:val="21"/>
                    </w:rPr>
                  </w:pPr>
                  <w:r>
                    <w:rPr>
                      <w:rFonts w:eastAsiaTheme="minorEastAsia"/>
                      <w:color w:val="auto"/>
                    </w:rPr>
                    <w:t>SS</w:t>
                  </w:r>
                </w:p>
              </w:tc>
              <w:tc>
                <w:tcPr>
                  <w:tcW w:w="1622" w:type="pct"/>
                  <w:vMerge w:val="continue"/>
                  <w:vAlign w:val="center"/>
                </w:tcPr>
                <w:p w14:paraId="6BAE2768">
                  <w:pPr>
                    <w:widowControl/>
                    <w:spacing w:line="280" w:lineRule="exact"/>
                    <w:jc w:val="center"/>
                    <w:rPr>
                      <w:color w:val="auto"/>
                      <w:szCs w:val="21"/>
                    </w:rPr>
                  </w:pPr>
                </w:p>
              </w:tc>
              <w:tc>
                <w:tcPr>
                  <w:tcW w:w="1771" w:type="pct"/>
                  <w:vAlign w:val="center"/>
                </w:tcPr>
                <w:p w14:paraId="5EA8AEB0">
                  <w:pPr>
                    <w:jc w:val="center"/>
                    <w:rPr>
                      <w:color w:val="auto"/>
                      <w:szCs w:val="21"/>
                    </w:rPr>
                  </w:pPr>
                  <w:r>
                    <w:rPr>
                      <w:color w:val="auto"/>
                      <w:szCs w:val="21"/>
                    </w:rPr>
                    <w:t>400</w:t>
                  </w:r>
                </w:p>
              </w:tc>
            </w:tr>
            <w:tr w14:paraId="43BC8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7" w:type="pct"/>
                  <w:vMerge w:val="continue"/>
                  <w:vAlign w:val="center"/>
                </w:tcPr>
                <w:p w14:paraId="4579A70F">
                  <w:pPr>
                    <w:widowControl/>
                    <w:spacing w:line="280" w:lineRule="exact"/>
                    <w:jc w:val="center"/>
                    <w:rPr>
                      <w:color w:val="auto"/>
                      <w:szCs w:val="21"/>
                    </w:rPr>
                  </w:pPr>
                </w:p>
              </w:tc>
              <w:tc>
                <w:tcPr>
                  <w:tcW w:w="625" w:type="pct"/>
                  <w:vMerge w:val="continue"/>
                  <w:vAlign w:val="center"/>
                </w:tcPr>
                <w:p w14:paraId="4D937075">
                  <w:pPr>
                    <w:widowControl/>
                    <w:spacing w:line="280" w:lineRule="exact"/>
                    <w:jc w:val="center"/>
                    <w:rPr>
                      <w:color w:val="auto"/>
                      <w:szCs w:val="21"/>
                    </w:rPr>
                  </w:pPr>
                </w:p>
              </w:tc>
              <w:tc>
                <w:tcPr>
                  <w:tcW w:w="682" w:type="pct"/>
                  <w:vAlign w:val="center"/>
                </w:tcPr>
                <w:p w14:paraId="61744455">
                  <w:pPr>
                    <w:spacing w:line="240" w:lineRule="exact"/>
                    <w:jc w:val="center"/>
                    <w:rPr>
                      <w:color w:val="auto"/>
                      <w:szCs w:val="21"/>
                    </w:rPr>
                  </w:pPr>
                  <w:r>
                    <w:rPr>
                      <w:rFonts w:eastAsiaTheme="minorEastAsia"/>
                      <w:color w:val="auto"/>
                    </w:rPr>
                    <w:t>NH</w:t>
                  </w:r>
                  <w:r>
                    <w:rPr>
                      <w:rFonts w:eastAsiaTheme="minorEastAsia"/>
                      <w:color w:val="auto"/>
                      <w:vertAlign w:val="subscript"/>
                    </w:rPr>
                    <w:t>3</w:t>
                  </w:r>
                  <w:r>
                    <w:rPr>
                      <w:rFonts w:eastAsiaTheme="minorEastAsia"/>
                      <w:color w:val="auto"/>
                    </w:rPr>
                    <w:t>-N</w:t>
                  </w:r>
                </w:p>
              </w:tc>
              <w:tc>
                <w:tcPr>
                  <w:tcW w:w="1622" w:type="pct"/>
                  <w:vMerge w:val="continue"/>
                  <w:vAlign w:val="center"/>
                </w:tcPr>
                <w:p w14:paraId="61D841BA">
                  <w:pPr>
                    <w:widowControl/>
                    <w:spacing w:line="280" w:lineRule="exact"/>
                    <w:jc w:val="center"/>
                    <w:rPr>
                      <w:color w:val="auto"/>
                      <w:szCs w:val="21"/>
                    </w:rPr>
                  </w:pPr>
                </w:p>
              </w:tc>
              <w:tc>
                <w:tcPr>
                  <w:tcW w:w="1771" w:type="pct"/>
                  <w:vAlign w:val="center"/>
                </w:tcPr>
                <w:p w14:paraId="1CD117F9">
                  <w:pPr>
                    <w:jc w:val="center"/>
                    <w:rPr>
                      <w:color w:val="auto"/>
                      <w:szCs w:val="21"/>
                    </w:rPr>
                  </w:pPr>
                  <w:r>
                    <w:rPr>
                      <w:color w:val="auto"/>
                      <w:szCs w:val="21"/>
                    </w:rPr>
                    <w:t>45</w:t>
                  </w:r>
                </w:p>
              </w:tc>
            </w:tr>
            <w:tr w14:paraId="74813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7" w:type="pct"/>
                  <w:vMerge w:val="continue"/>
                  <w:vAlign w:val="center"/>
                </w:tcPr>
                <w:p w14:paraId="73516D57">
                  <w:pPr>
                    <w:widowControl/>
                    <w:spacing w:line="280" w:lineRule="exact"/>
                    <w:jc w:val="center"/>
                    <w:rPr>
                      <w:color w:val="auto"/>
                      <w:szCs w:val="21"/>
                    </w:rPr>
                  </w:pPr>
                </w:p>
              </w:tc>
              <w:tc>
                <w:tcPr>
                  <w:tcW w:w="625" w:type="pct"/>
                  <w:vMerge w:val="continue"/>
                  <w:vAlign w:val="center"/>
                </w:tcPr>
                <w:p w14:paraId="32F4087C">
                  <w:pPr>
                    <w:widowControl/>
                    <w:spacing w:line="280" w:lineRule="exact"/>
                    <w:jc w:val="center"/>
                    <w:rPr>
                      <w:color w:val="auto"/>
                      <w:szCs w:val="21"/>
                    </w:rPr>
                  </w:pPr>
                </w:p>
              </w:tc>
              <w:tc>
                <w:tcPr>
                  <w:tcW w:w="682" w:type="pct"/>
                  <w:vAlign w:val="center"/>
                </w:tcPr>
                <w:p w14:paraId="3C322893">
                  <w:pPr>
                    <w:spacing w:line="240" w:lineRule="exact"/>
                    <w:jc w:val="center"/>
                    <w:rPr>
                      <w:rFonts w:eastAsiaTheme="minorEastAsia"/>
                      <w:color w:val="auto"/>
                    </w:rPr>
                  </w:pPr>
                  <w:r>
                    <w:rPr>
                      <w:rFonts w:hint="eastAsia" w:eastAsiaTheme="minorEastAsia"/>
                      <w:color w:val="auto"/>
                    </w:rPr>
                    <w:t>T</w:t>
                  </w:r>
                  <w:r>
                    <w:rPr>
                      <w:rFonts w:eastAsiaTheme="minorEastAsia"/>
                      <w:color w:val="auto"/>
                    </w:rPr>
                    <w:t>P</w:t>
                  </w:r>
                </w:p>
              </w:tc>
              <w:tc>
                <w:tcPr>
                  <w:tcW w:w="1622" w:type="pct"/>
                  <w:vMerge w:val="continue"/>
                  <w:vAlign w:val="center"/>
                </w:tcPr>
                <w:p w14:paraId="211F8CF3">
                  <w:pPr>
                    <w:widowControl/>
                    <w:spacing w:line="280" w:lineRule="exact"/>
                    <w:jc w:val="center"/>
                    <w:rPr>
                      <w:color w:val="auto"/>
                      <w:szCs w:val="21"/>
                    </w:rPr>
                  </w:pPr>
                </w:p>
              </w:tc>
              <w:tc>
                <w:tcPr>
                  <w:tcW w:w="1771" w:type="pct"/>
                  <w:vAlign w:val="center"/>
                </w:tcPr>
                <w:p w14:paraId="5DF932FF">
                  <w:pPr>
                    <w:jc w:val="center"/>
                    <w:rPr>
                      <w:color w:val="auto"/>
                      <w:szCs w:val="21"/>
                    </w:rPr>
                  </w:pPr>
                  <w:r>
                    <w:rPr>
                      <w:color w:val="auto"/>
                      <w:szCs w:val="21"/>
                    </w:rPr>
                    <w:t>8</w:t>
                  </w:r>
                </w:p>
              </w:tc>
            </w:tr>
            <w:tr w14:paraId="097A0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 w:hRule="atLeast"/>
                <w:jc w:val="center"/>
              </w:trPr>
              <w:tc>
                <w:tcPr>
                  <w:tcW w:w="297" w:type="pct"/>
                  <w:vMerge w:val="continue"/>
                  <w:vAlign w:val="center"/>
                </w:tcPr>
                <w:p w14:paraId="2899FF2F">
                  <w:pPr>
                    <w:widowControl/>
                    <w:spacing w:line="280" w:lineRule="exact"/>
                    <w:jc w:val="center"/>
                    <w:rPr>
                      <w:color w:val="auto"/>
                      <w:szCs w:val="21"/>
                    </w:rPr>
                  </w:pPr>
                </w:p>
              </w:tc>
              <w:tc>
                <w:tcPr>
                  <w:tcW w:w="625" w:type="pct"/>
                  <w:vMerge w:val="continue"/>
                  <w:vAlign w:val="center"/>
                </w:tcPr>
                <w:p w14:paraId="183EAFE0">
                  <w:pPr>
                    <w:widowControl/>
                    <w:spacing w:line="280" w:lineRule="exact"/>
                    <w:jc w:val="center"/>
                    <w:rPr>
                      <w:color w:val="auto"/>
                      <w:szCs w:val="21"/>
                    </w:rPr>
                  </w:pPr>
                </w:p>
              </w:tc>
              <w:tc>
                <w:tcPr>
                  <w:tcW w:w="682" w:type="pct"/>
                  <w:vAlign w:val="center"/>
                </w:tcPr>
                <w:p w14:paraId="0BBF62A1">
                  <w:pPr>
                    <w:spacing w:line="240" w:lineRule="exact"/>
                    <w:jc w:val="center"/>
                    <w:rPr>
                      <w:color w:val="auto"/>
                      <w:szCs w:val="21"/>
                    </w:rPr>
                  </w:pPr>
                  <w:r>
                    <w:rPr>
                      <w:rFonts w:hint="eastAsia"/>
                      <w:color w:val="auto"/>
                      <w:szCs w:val="21"/>
                    </w:rPr>
                    <w:t>TN</w:t>
                  </w:r>
                </w:p>
              </w:tc>
              <w:tc>
                <w:tcPr>
                  <w:tcW w:w="1622" w:type="pct"/>
                  <w:vMerge w:val="continue"/>
                  <w:vAlign w:val="center"/>
                </w:tcPr>
                <w:p w14:paraId="1CA6B1A2">
                  <w:pPr>
                    <w:widowControl/>
                    <w:spacing w:line="280" w:lineRule="exact"/>
                    <w:jc w:val="center"/>
                    <w:rPr>
                      <w:color w:val="auto"/>
                      <w:szCs w:val="21"/>
                    </w:rPr>
                  </w:pPr>
                </w:p>
              </w:tc>
              <w:tc>
                <w:tcPr>
                  <w:tcW w:w="1771" w:type="pct"/>
                  <w:vAlign w:val="center"/>
                </w:tcPr>
                <w:p w14:paraId="511DA08B">
                  <w:pPr>
                    <w:jc w:val="center"/>
                    <w:rPr>
                      <w:rFonts w:hint="default" w:eastAsia="宋体"/>
                      <w:color w:val="auto"/>
                      <w:szCs w:val="21"/>
                      <w:lang w:val="en-US" w:eastAsia="zh-CN"/>
                    </w:rPr>
                  </w:pPr>
                  <w:r>
                    <w:rPr>
                      <w:rFonts w:hint="eastAsia"/>
                      <w:color w:val="auto"/>
                      <w:szCs w:val="21"/>
                      <w:lang w:val="en-US" w:eastAsia="zh-CN"/>
                    </w:rPr>
                    <w:t>70</w:t>
                  </w:r>
                </w:p>
              </w:tc>
            </w:tr>
          </w:tbl>
          <w:p w14:paraId="45A8AA1F">
            <w:pPr>
              <w:widowControl/>
              <w:snapToGrid w:val="0"/>
              <w:jc w:val="center"/>
              <w:rPr>
                <w:b/>
                <w:bCs/>
                <w:color w:val="auto"/>
                <w:sz w:val="10"/>
                <w:szCs w:val="10"/>
              </w:rPr>
            </w:pPr>
          </w:p>
          <w:p w14:paraId="381A856B">
            <w:pPr>
              <w:widowControl/>
              <w:adjustRightInd w:val="0"/>
              <w:snapToGrid w:val="0"/>
              <w:spacing w:line="324" w:lineRule="auto"/>
              <w:jc w:val="center"/>
              <w:rPr>
                <w:b/>
                <w:bCs/>
                <w:color w:val="auto"/>
                <w:sz w:val="24"/>
                <w:szCs w:val="24"/>
              </w:rPr>
            </w:pPr>
            <w:r>
              <w:rPr>
                <w:b/>
                <w:bCs/>
                <w:color w:val="auto"/>
                <w:sz w:val="24"/>
                <w:szCs w:val="24"/>
              </w:rPr>
              <w:t>表</w:t>
            </w:r>
            <w:r>
              <w:rPr>
                <w:rFonts w:hint="eastAsia"/>
                <w:b/>
                <w:bCs/>
                <w:color w:val="auto"/>
                <w:sz w:val="24"/>
                <w:szCs w:val="24"/>
              </w:rPr>
              <w:t>4</w:t>
            </w:r>
            <w:r>
              <w:rPr>
                <w:rFonts w:hint="eastAsia"/>
                <w:b/>
                <w:bCs/>
                <w:color w:val="auto"/>
                <w:sz w:val="24"/>
                <w:szCs w:val="24"/>
                <w:lang w:val="en-US" w:eastAsia="zh-CN"/>
              </w:rPr>
              <w:t>-16</w:t>
            </w:r>
            <w:r>
              <w:rPr>
                <w:b/>
                <w:bCs/>
                <w:color w:val="auto"/>
                <w:sz w:val="24"/>
                <w:szCs w:val="24"/>
              </w:rPr>
              <w:t>废水污染物排放信息表</w:t>
            </w:r>
          </w:p>
          <w:tbl>
            <w:tblPr>
              <w:tblStyle w:val="35"/>
              <w:tblW w:w="5000" w:type="pct"/>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108" w:type="dxa"/>
                <w:bottom w:w="0" w:type="dxa"/>
                <w:right w:w="108" w:type="dxa"/>
              </w:tblCellMar>
            </w:tblPr>
            <w:tblGrid>
              <w:gridCol w:w="987"/>
              <w:gridCol w:w="1816"/>
              <w:gridCol w:w="2126"/>
              <w:gridCol w:w="3077"/>
              <w:gridCol w:w="2914"/>
              <w:gridCol w:w="2900"/>
            </w:tblGrid>
            <w:tr w14:paraId="0624777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jc w:val="center"/>
              </w:trPr>
              <w:tc>
                <w:tcPr>
                  <w:tcW w:w="357" w:type="pct"/>
                  <w:vAlign w:val="center"/>
                </w:tcPr>
                <w:p w14:paraId="623E9751">
                  <w:pPr>
                    <w:widowControl/>
                    <w:adjustRightInd w:val="0"/>
                    <w:snapToGrid w:val="0"/>
                    <w:spacing w:line="240" w:lineRule="atLeast"/>
                    <w:jc w:val="center"/>
                    <w:rPr>
                      <w:b/>
                      <w:bCs/>
                      <w:color w:val="auto"/>
                      <w:szCs w:val="21"/>
                    </w:rPr>
                  </w:pPr>
                  <w:r>
                    <w:rPr>
                      <w:b/>
                      <w:bCs/>
                      <w:color w:val="auto"/>
                      <w:szCs w:val="21"/>
                    </w:rPr>
                    <w:t>序号</w:t>
                  </w:r>
                </w:p>
              </w:tc>
              <w:tc>
                <w:tcPr>
                  <w:tcW w:w="656" w:type="pct"/>
                  <w:vAlign w:val="center"/>
                </w:tcPr>
                <w:p w14:paraId="5284693A">
                  <w:pPr>
                    <w:widowControl/>
                    <w:adjustRightInd w:val="0"/>
                    <w:snapToGrid w:val="0"/>
                    <w:jc w:val="center"/>
                    <w:rPr>
                      <w:b/>
                      <w:bCs/>
                      <w:color w:val="auto"/>
                      <w:szCs w:val="21"/>
                    </w:rPr>
                  </w:pPr>
                  <w:r>
                    <w:rPr>
                      <w:b/>
                      <w:bCs/>
                      <w:color w:val="auto"/>
                      <w:szCs w:val="21"/>
                    </w:rPr>
                    <w:t>排放口编号</w:t>
                  </w:r>
                </w:p>
              </w:tc>
              <w:tc>
                <w:tcPr>
                  <w:tcW w:w="769" w:type="pct"/>
                  <w:vAlign w:val="center"/>
                </w:tcPr>
                <w:p w14:paraId="5A37DD3D">
                  <w:pPr>
                    <w:widowControl/>
                    <w:adjustRightInd w:val="0"/>
                    <w:snapToGrid w:val="0"/>
                    <w:spacing w:line="240" w:lineRule="atLeast"/>
                    <w:jc w:val="center"/>
                    <w:rPr>
                      <w:b/>
                      <w:bCs/>
                      <w:color w:val="auto"/>
                      <w:szCs w:val="21"/>
                    </w:rPr>
                  </w:pPr>
                  <w:r>
                    <w:rPr>
                      <w:b/>
                      <w:bCs/>
                      <w:color w:val="auto"/>
                      <w:szCs w:val="21"/>
                    </w:rPr>
                    <w:t>污染物种类</w:t>
                  </w:r>
                </w:p>
              </w:tc>
              <w:tc>
                <w:tcPr>
                  <w:tcW w:w="1113" w:type="pct"/>
                  <w:vAlign w:val="center"/>
                </w:tcPr>
                <w:p w14:paraId="04BF8AB2">
                  <w:pPr>
                    <w:widowControl/>
                    <w:adjustRightInd w:val="0"/>
                    <w:snapToGrid w:val="0"/>
                    <w:spacing w:line="240" w:lineRule="atLeast"/>
                    <w:jc w:val="center"/>
                    <w:rPr>
                      <w:b/>
                      <w:bCs/>
                      <w:color w:val="auto"/>
                      <w:szCs w:val="21"/>
                    </w:rPr>
                  </w:pPr>
                  <w:r>
                    <w:rPr>
                      <w:b/>
                      <w:bCs/>
                      <w:color w:val="auto"/>
                      <w:szCs w:val="21"/>
                    </w:rPr>
                    <w:t>排放浓度/（mg/L）</w:t>
                  </w:r>
                </w:p>
              </w:tc>
              <w:tc>
                <w:tcPr>
                  <w:tcW w:w="1054" w:type="pct"/>
                  <w:vAlign w:val="center"/>
                </w:tcPr>
                <w:p w14:paraId="1DBCFA9D">
                  <w:pPr>
                    <w:widowControl/>
                    <w:adjustRightInd w:val="0"/>
                    <w:snapToGrid w:val="0"/>
                    <w:spacing w:line="240" w:lineRule="atLeast"/>
                    <w:jc w:val="center"/>
                    <w:rPr>
                      <w:b/>
                      <w:bCs/>
                      <w:color w:val="auto"/>
                      <w:szCs w:val="21"/>
                    </w:rPr>
                  </w:pPr>
                  <w:r>
                    <w:rPr>
                      <w:b/>
                      <w:bCs/>
                      <w:color w:val="auto"/>
                      <w:szCs w:val="21"/>
                    </w:rPr>
                    <w:t>日排放量/（t/d）</w:t>
                  </w:r>
                </w:p>
              </w:tc>
              <w:tc>
                <w:tcPr>
                  <w:tcW w:w="1049" w:type="pct"/>
                  <w:vAlign w:val="center"/>
                </w:tcPr>
                <w:p w14:paraId="30B0AD5C">
                  <w:pPr>
                    <w:widowControl/>
                    <w:adjustRightInd w:val="0"/>
                    <w:snapToGrid w:val="0"/>
                    <w:spacing w:line="240" w:lineRule="atLeast"/>
                    <w:jc w:val="center"/>
                    <w:rPr>
                      <w:b/>
                      <w:bCs/>
                      <w:color w:val="auto"/>
                      <w:szCs w:val="21"/>
                    </w:rPr>
                  </w:pPr>
                  <w:r>
                    <w:rPr>
                      <w:b/>
                      <w:bCs/>
                      <w:color w:val="auto"/>
                      <w:szCs w:val="21"/>
                    </w:rPr>
                    <w:t>年排放量/（t/a）</w:t>
                  </w:r>
                </w:p>
              </w:tc>
            </w:tr>
            <w:tr w14:paraId="7F260D1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39" w:hRule="atLeast"/>
                <w:jc w:val="center"/>
              </w:trPr>
              <w:tc>
                <w:tcPr>
                  <w:tcW w:w="357" w:type="pct"/>
                  <w:vMerge w:val="restart"/>
                  <w:vAlign w:val="center"/>
                </w:tcPr>
                <w:p w14:paraId="3FE8CC55">
                  <w:pPr>
                    <w:widowControl/>
                    <w:adjustRightInd w:val="0"/>
                    <w:snapToGrid w:val="0"/>
                    <w:spacing w:line="240" w:lineRule="atLeast"/>
                    <w:jc w:val="center"/>
                    <w:rPr>
                      <w:color w:val="auto"/>
                      <w:szCs w:val="21"/>
                    </w:rPr>
                  </w:pPr>
                  <w:r>
                    <w:rPr>
                      <w:color w:val="auto"/>
                      <w:szCs w:val="21"/>
                    </w:rPr>
                    <w:t>1</w:t>
                  </w:r>
                </w:p>
              </w:tc>
              <w:tc>
                <w:tcPr>
                  <w:tcW w:w="656" w:type="pct"/>
                  <w:vMerge w:val="restart"/>
                  <w:vAlign w:val="center"/>
                </w:tcPr>
                <w:p w14:paraId="511A4236">
                  <w:pPr>
                    <w:widowControl/>
                    <w:adjustRightInd w:val="0"/>
                    <w:snapToGrid w:val="0"/>
                    <w:spacing w:line="240" w:lineRule="atLeast"/>
                    <w:jc w:val="center"/>
                    <w:rPr>
                      <w:rFonts w:hint="eastAsia" w:eastAsia="宋体"/>
                      <w:color w:val="auto"/>
                      <w:szCs w:val="21"/>
                      <w:lang w:eastAsia="zh-CN"/>
                    </w:rPr>
                  </w:pPr>
                  <w:r>
                    <w:rPr>
                      <w:rFonts w:hint="eastAsia"/>
                      <w:color w:val="auto"/>
                      <w:szCs w:val="21"/>
                      <w:lang w:val="en-US" w:eastAsia="zh-CN"/>
                    </w:rPr>
                    <w:t>DW001</w:t>
                  </w:r>
                </w:p>
              </w:tc>
              <w:tc>
                <w:tcPr>
                  <w:tcW w:w="769" w:type="pct"/>
                  <w:vAlign w:val="center"/>
                </w:tcPr>
                <w:p w14:paraId="3C84715C">
                  <w:pPr>
                    <w:jc w:val="center"/>
                    <w:rPr>
                      <w:color w:val="auto"/>
                      <w:kern w:val="0"/>
                      <w:szCs w:val="21"/>
                    </w:rPr>
                  </w:pPr>
                  <w:r>
                    <w:rPr>
                      <w:color w:val="auto"/>
                      <w:szCs w:val="21"/>
                    </w:rPr>
                    <w:t>pH</w:t>
                  </w:r>
                </w:p>
              </w:tc>
              <w:tc>
                <w:tcPr>
                  <w:tcW w:w="1113" w:type="pct"/>
                  <w:vAlign w:val="center"/>
                </w:tcPr>
                <w:p w14:paraId="6348DC79">
                  <w:pPr>
                    <w:adjustRightInd w:val="0"/>
                    <w:snapToGrid w:val="0"/>
                    <w:spacing w:line="240" w:lineRule="atLeast"/>
                    <w:jc w:val="center"/>
                    <w:rPr>
                      <w:color w:val="auto"/>
                      <w:szCs w:val="21"/>
                    </w:rPr>
                  </w:pPr>
                  <w:r>
                    <w:rPr>
                      <w:color w:val="auto"/>
                      <w:szCs w:val="21"/>
                    </w:rPr>
                    <w:t>6.5～9.</w:t>
                  </w:r>
                  <w:r>
                    <w:rPr>
                      <w:rFonts w:hint="eastAsia"/>
                      <w:color w:val="auto"/>
                      <w:szCs w:val="21"/>
                    </w:rPr>
                    <w:t>5</w:t>
                  </w:r>
                </w:p>
              </w:tc>
              <w:tc>
                <w:tcPr>
                  <w:tcW w:w="1054" w:type="pct"/>
                  <w:vAlign w:val="center"/>
                </w:tcPr>
                <w:p w14:paraId="533568EC">
                  <w:pPr>
                    <w:adjustRightInd w:val="0"/>
                    <w:snapToGrid w:val="0"/>
                    <w:spacing w:line="240" w:lineRule="atLeast"/>
                    <w:jc w:val="center"/>
                    <w:rPr>
                      <w:rFonts w:hint="eastAsia" w:eastAsiaTheme="minorEastAsia"/>
                      <w:color w:val="auto"/>
                      <w:szCs w:val="21"/>
                    </w:rPr>
                  </w:pPr>
                  <w:r>
                    <w:rPr>
                      <w:rFonts w:hint="eastAsia" w:eastAsiaTheme="minorEastAsia"/>
                      <w:color w:val="auto"/>
                      <w:szCs w:val="21"/>
                    </w:rPr>
                    <w:t>/</w:t>
                  </w:r>
                </w:p>
              </w:tc>
              <w:tc>
                <w:tcPr>
                  <w:tcW w:w="1049" w:type="pct"/>
                  <w:vAlign w:val="center"/>
                </w:tcPr>
                <w:p w14:paraId="7FBE038E">
                  <w:pPr>
                    <w:adjustRightInd w:val="0"/>
                    <w:snapToGrid w:val="0"/>
                    <w:spacing w:line="240" w:lineRule="atLeast"/>
                    <w:jc w:val="center"/>
                    <w:rPr>
                      <w:rFonts w:hint="eastAsia" w:eastAsiaTheme="minorEastAsia"/>
                      <w:color w:val="auto"/>
                      <w:szCs w:val="21"/>
                    </w:rPr>
                  </w:pPr>
                  <w:r>
                    <w:rPr>
                      <w:rFonts w:hint="eastAsia" w:eastAsiaTheme="minorEastAsia"/>
                      <w:color w:val="auto"/>
                      <w:szCs w:val="21"/>
                    </w:rPr>
                    <w:t>/</w:t>
                  </w:r>
                </w:p>
              </w:tc>
            </w:tr>
            <w:tr w14:paraId="11D2189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357" w:type="pct"/>
                  <w:vMerge w:val="continue"/>
                  <w:vAlign w:val="center"/>
                </w:tcPr>
                <w:p w14:paraId="1A9D953A">
                  <w:pPr>
                    <w:widowControl/>
                    <w:jc w:val="center"/>
                    <w:rPr>
                      <w:color w:val="auto"/>
                      <w:szCs w:val="21"/>
                    </w:rPr>
                  </w:pPr>
                </w:p>
              </w:tc>
              <w:tc>
                <w:tcPr>
                  <w:tcW w:w="656" w:type="pct"/>
                  <w:vMerge w:val="continue"/>
                  <w:vAlign w:val="center"/>
                </w:tcPr>
                <w:p w14:paraId="70E6D757">
                  <w:pPr>
                    <w:widowControl/>
                    <w:jc w:val="center"/>
                    <w:rPr>
                      <w:color w:val="auto"/>
                      <w:szCs w:val="21"/>
                    </w:rPr>
                  </w:pPr>
                </w:p>
              </w:tc>
              <w:tc>
                <w:tcPr>
                  <w:tcW w:w="769" w:type="pct"/>
                  <w:vAlign w:val="center"/>
                </w:tcPr>
                <w:p w14:paraId="624FBA1B">
                  <w:pPr>
                    <w:jc w:val="center"/>
                    <w:rPr>
                      <w:color w:val="auto"/>
                      <w:kern w:val="0"/>
                      <w:szCs w:val="21"/>
                    </w:rPr>
                  </w:pPr>
                  <w:r>
                    <w:rPr>
                      <w:color w:val="auto"/>
                      <w:szCs w:val="21"/>
                    </w:rPr>
                    <w:t>COD</w:t>
                  </w:r>
                </w:p>
              </w:tc>
              <w:tc>
                <w:tcPr>
                  <w:tcW w:w="1113" w:type="pct"/>
                  <w:vAlign w:val="center"/>
                </w:tcPr>
                <w:p w14:paraId="0FE02E6D">
                  <w:pPr>
                    <w:adjustRightInd w:val="0"/>
                    <w:snapToGrid w:val="0"/>
                    <w:spacing w:line="240" w:lineRule="atLeast"/>
                    <w:jc w:val="center"/>
                    <w:rPr>
                      <w:color w:val="auto"/>
                      <w:szCs w:val="21"/>
                    </w:rPr>
                  </w:pPr>
                  <w:r>
                    <w:rPr>
                      <w:rFonts w:eastAsiaTheme="minorEastAsia"/>
                      <w:color w:val="auto"/>
                      <w:szCs w:val="21"/>
                    </w:rPr>
                    <w:t>400</w:t>
                  </w:r>
                </w:p>
              </w:tc>
              <w:tc>
                <w:tcPr>
                  <w:tcW w:w="2914" w:type="dxa"/>
                  <w:vAlign w:val="center"/>
                </w:tcPr>
                <w:p w14:paraId="14E43F2D">
                  <w:pPr>
                    <w:adjustRightInd w:val="0"/>
                    <w:snapToGrid w:val="0"/>
                    <w:spacing w:line="240" w:lineRule="atLeast"/>
                    <w:jc w:val="center"/>
                    <w:rPr>
                      <w:rFonts w:hint="default" w:eastAsiaTheme="minorEastAsia"/>
                      <w:color w:val="auto"/>
                      <w:szCs w:val="21"/>
                      <w:lang w:val="en-US" w:eastAsia="zh-CN"/>
                    </w:rPr>
                  </w:pPr>
                  <w:r>
                    <w:rPr>
                      <w:rFonts w:hint="eastAsia" w:eastAsiaTheme="minorEastAsia"/>
                      <w:color w:val="auto"/>
                      <w:szCs w:val="21"/>
                      <w:lang w:val="en-US" w:eastAsia="zh-CN"/>
                    </w:rPr>
                    <w:t xml:space="preserve">0.000864 </w:t>
                  </w:r>
                </w:p>
              </w:tc>
              <w:tc>
                <w:tcPr>
                  <w:tcW w:w="2900" w:type="dxa"/>
                  <w:vAlign w:val="center"/>
                </w:tcPr>
                <w:p w14:paraId="6902E6FF">
                  <w:pPr>
                    <w:adjustRightInd w:val="0"/>
                    <w:snapToGrid w:val="0"/>
                    <w:spacing w:line="240" w:lineRule="atLeast"/>
                    <w:jc w:val="center"/>
                    <w:rPr>
                      <w:rFonts w:hint="default" w:eastAsiaTheme="minorEastAsia"/>
                      <w:color w:val="auto"/>
                      <w:szCs w:val="21"/>
                      <w:lang w:val="en-US" w:eastAsia="zh-CN"/>
                    </w:rPr>
                  </w:pPr>
                  <w:r>
                    <w:rPr>
                      <w:rFonts w:hint="eastAsia" w:eastAsiaTheme="minorEastAsia"/>
                      <w:color w:val="auto"/>
                      <w:szCs w:val="21"/>
                      <w:lang w:val="en-US" w:eastAsia="zh-CN"/>
                    </w:rPr>
                    <w:t xml:space="preserve">0.259 </w:t>
                  </w:r>
                </w:p>
              </w:tc>
            </w:tr>
            <w:tr w14:paraId="4EBC9A1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357" w:type="pct"/>
                  <w:vMerge w:val="continue"/>
                  <w:vAlign w:val="center"/>
                </w:tcPr>
                <w:p w14:paraId="793DD48B">
                  <w:pPr>
                    <w:widowControl/>
                    <w:jc w:val="center"/>
                    <w:rPr>
                      <w:color w:val="auto"/>
                      <w:szCs w:val="21"/>
                    </w:rPr>
                  </w:pPr>
                </w:p>
              </w:tc>
              <w:tc>
                <w:tcPr>
                  <w:tcW w:w="656" w:type="pct"/>
                  <w:vMerge w:val="continue"/>
                  <w:vAlign w:val="center"/>
                </w:tcPr>
                <w:p w14:paraId="71648D40">
                  <w:pPr>
                    <w:widowControl/>
                    <w:jc w:val="center"/>
                    <w:rPr>
                      <w:color w:val="auto"/>
                      <w:szCs w:val="21"/>
                    </w:rPr>
                  </w:pPr>
                </w:p>
              </w:tc>
              <w:tc>
                <w:tcPr>
                  <w:tcW w:w="769" w:type="pct"/>
                  <w:vAlign w:val="center"/>
                </w:tcPr>
                <w:p w14:paraId="63E20475">
                  <w:pPr>
                    <w:jc w:val="center"/>
                    <w:rPr>
                      <w:color w:val="auto"/>
                      <w:kern w:val="0"/>
                      <w:szCs w:val="21"/>
                    </w:rPr>
                  </w:pPr>
                  <w:r>
                    <w:rPr>
                      <w:color w:val="auto"/>
                      <w:szCs w:val="21"/>
                    </w:rPr>
                    <w:t>SS</w:t>
                  </w:r>
                </w:p>
              </w:tc>
              <w:tc>
                <w:tcPr>
                  <w:tcW w:w="1113" w:type="pct"/>
                  <w:vAlign w:val="center"/>
                </w:tcPr>
                <w:p w14:paraId="2A424462">
                  <w:pPr>
                    <w:adjustRightInd w:val="0"/>
                    <w:snapToGrid w:val="0"/>
                    <w:spacing w:line="240" w:lineRule="atLeast"/>
                    <w:jc w:val="center"/>
                    <w:rPr>
                      <w:color w:val="auto"/>
                      <w:szCs w:val="21"/>
                    </w:rPr>
                  </w:pPr>
                  <w:r>
                    <w:rPr>
                      <w:rFonts w:hint="eastAsia" w:eastAsiaTheme="minorEastAsia"/>
                      <w:color w:val="auto"/>
                      <w:szCs w:val="21"/>
                    </w:rPr>
                    <w:t>25</w:t>
                  </w:r>
                  <w:r>
                    <w:rPr>
                      <w:rFonts w:eastAsiaTheme="minorEastAsia"/>
                      <w:color w:val="auto"/>
                      <w:szCs w:val="21"/>
                    </w:rPr>
                    <w:t>0</w:t>
                  </w:r>
                </w:p>
              </w:tc>
              <w:tc>
                <w:tcPr>
                  <w:tcW w:w="2914" w:type="dxa"/>
                  <w:vAlign w:val="center"/>
                </w:tcPr>
                <w:p w14:paraId="3182BCFB">
                  <w:pPr>
                    <w:adjustRightInd w:val="0"/>
                    <w:snapToGrid w:val="0"/>
                    <w:spacing w:line="240" w:lineRule="atLeast"/>
                    <w:jc w:val="center"/>
                    <w:rPr>
                      <w:rFonts w:hint="default" w:eastAsiaTheme="minorEastAsia"/>
                      <w:color w:val="auto"/>
                      <w:szCs w:val="21"/>
                      <w:lang w:val="en-US" w:eastAsia="zh-CN"/>
                    </w:rPr>
                  </w:pPr>
                  <w:r>
                    <w:rPr>
                      <w:rFonts w:hint="eastAsia" w:eastAsiaTheme="minorEastAsia"/>
                      <w:color w:val="auto"/>
                      <w:szCs w:val="21"/>
                      <w:lang w:val="en-US" w:eastAsia="zh-CN"/>
                    </w:rPr>
                    <w:t xml:space="preserve">0.00054 </w:t>
                  </w:r>
                </w:p>
              </w:tc>
              <w:tc>
                <w:tcPr>
                  <w:tcW w:w="2900" w:type="dxa"/>
                  <w:vAlign w:val="center"/>
                </w:tcPr>
                <w:p w14:paraId="1CB4AD23">
                  <w:pPr>
                    <w:adjustRightInd w:val="0"/>
                    <w:snapToGrid w:val="0"/>
                    <w:spacing w:line="240" w:lineRule="atLeast"/>
                    <w:jc w:val="center"/>
                    <w:rPr>
                      <w:rFonts w:hint="default" w:eastAsiaTheme="minorEastAsia"/>
                      <w:color w:val="auto"/>
                      <w:szCs w:val="21"/>
                      <w:lang w:val="en-US" w:eastAsia="zh-CN"/>
                    </w:rPr>
                  </w:pPr>
                  <w:r>
                    <w:rPr>
                      <w:rFonts w:hint="eastAsia" w:eastAsiaTheme="minorEastAsia"/>
                      <w:color w:val="auto"/>
                      <w:szCs w:val="21"/>
                      <w:lang w:val="en-US" w:eastAsia="zh-CN"/>
                    </w:rPr>
                    <w:t xml:space="preserve">0.162 </w:t>
                  </w:r>
                </w:p>
              </w:tc>
            </w:tr>
            <w:tr w14:paraId="322C5DB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jc w:val="center"/>
              </w:trPr>
              <w:tc>
                <w:tcPr>
                  <w:tcW w:w="357" w:type="pct"/>
                  <w:vMerge w:val="continue"/>
                  <w:vAlign w:val="center"/>
                </w:tcPr>
                <w:p w14:paraId="52F822F8">
                  <w:pPr>
                    <w:widowControl/>
                    <w:jc w:val="center"/>
                    <w:rPr>
                      <w:color w:val="auto"/>
                      <w:szCs w:val="21"/>
                    </w:rPr>
                  </w:pPr>
                </w:p>
              </w:tc>
              <w:tc>
                <w:tcPr>
                  <w:tcW w:w="656" w:type="pct"/>
                  <w:vMerge w:val="continue"/>
                  <w:vAlign w:val="center"/>
                </w:tcPr>
                <w:p w14:paraId="20AAE8B9">
                  <w:pPr>
                    <w:widowControl/>
                    <w:jc w:val="center"/>
                    <w:rPr>
                      <w:color w:val="auto"/>
                      <w:szCs w:val="21"/>
                    </w:rPr>
                  </w:pPr>
                </w:p>
              </w:tc>
              <w:tc>
                <w:tcPr>
                  <w:tcW w:w="769" w:type="pct"/>
                  <w:vAlign w:val="center"/>
                </w:tcPr>
                <w:p w14:paraId="7A52A606">
                  <w:pPr>
                    <w:jc w:val="center"/>
                    <w:rPr>
                      <w:color w:val="auto"/>
                      <w:kern w:val="0"/>
                      <w:szCs w:val="21"/>
                    </w:rPr>
                  </w:pPr>
                  <w:r>
                    <w:rPr>
                      <w:color w:val="auto"/>
                      <w:szCs w:val="21"/>
                    </w:rPr>
                    <w:t>NH</w:t>
                  </w:r>
                  <w:r>
                    <w:rPr>
                      <w:color w:val="auto"/>
                      <w:szCs w:val="21"/>
                      <w:vertAlign w:val="subscript"/>
                    </w:rPr>
                    <w:t>3</w:t>
                  </w:r>
                  <w:r>
                    <w:rPr>
                      <w:color w:val="auto"/>
                      <w:szCs w:val="21"/>
                    </w:rPr>
                    <w:t>-N</w:t>
                  </w:r>
                </w:p>
              </w:tc>
              <w:tc>
                <w:tcPr>
                  <w:tcW w:w="1113" w:type="pct"/>
                  <w:vAlign w:val="center"/>
                </w:tcPr>
                <w:p w14:paraId="5E4BEDB8">
                  <w:pPr>
                    <w:adjustRightInd w:val="0"/>
                    <w:snapToGrid w:val="0"/>
                    <w:spacing w:line="240" w:lineRule="atLeast"/>
                    <w:jc w:val="center"/>
                    <w:rPr>
                      <w:color w:val="auto"/>
                      <w:szCs w:val="21"/>
                    </w:rPr>
                  </w:pPr>
                  <w:r>
                    <w:rPr>
                      <w:rFonts w:hint="eastAsia" w:eastAsiaTheme="minorEastAsia"/>
                      <w:color w:val="auto"/>
                      <w:szCs w:val="21"/>
                    </w:rPr>
                    <w:t>3</w:t>
                  </w:r>
                  <w:r>
                    <w:rPr>
                      <w:rFonts w:eastAsiaTheme="minorEastAsia"/>
                      <w:color w:val="auto"/>
                      <w:szCs w:val="21"/>
                    </w:rPr>
                    <w:t>0</w:t>
                  </w:r>
                </w:p>
              </w:tc>
              <w:tc>
                <w:tcPr>
                  <w:tcW w:w="2914" w:type="dxa"/>
                  <w:vAlign w:val="center"/>
                </w:tcPr>
                <w:p w14:paraId="612D3F57">
                  <w:pPr>
                    <w:adjustRightInd w:val="0"/>
                    <w:snapToGrid w:val="0"/>
                    <w:spacing w:line="240" w:lineRule="atLeast"/>
                    <w:jc w:val="center"/>
                    <w:rPr>
                      <w:rFonts w:hint="default" w:eastAsiaTheme="minorEastAsia"/>
                      <w:color w:val="auto"/>
                      <w:szCs w:val="21"/>
                      <w:lang w:val="en-US" w:eastAsia="zh-CN"/>
                    </w:rPr>
                  </w:pPr>
                  <w:r>
                    <w:rPr>
                      <w:rFonts w:hint="eastAsia" w:eastAsiaTheme="minorEastAsia"/>
                      <w:color w:val="auto"/>
                      <w:szCs w:val="21"/>
                      <w:lang w:val="en-US" w:eastAsia="zh-CN"/>
                    </w:rPr>
                    <w:t xml:space="preserve">0.000065 </w:t>
                  </w:r>
                </w:p>
              </w:tc>
              <w:tc>
                <w:tcPr>
                  <w:tcW w:w="2900" w:type="dxa"/>
                  <w:vAlign w:val="center"/>
                </w:tcPr>
                <w:p w14:paraId="5901049C">
                  <w:pPr>
                    <w:adjustRightInd w:val="0"/>
                    <w:snapToGrid w:val="0"/>
                    <w:spacing w:line="240" w:lineRule="atLeast"/>
                    <w:jc w:val="center"/>
                    <w:rPr>
                      <w:rFonts w:hint="default" w:eastAsiaTheme="minorEastAsia"/>
                      <w:color w:val="auto"/>
                      <w:szCs w:val="21"/>
                      <w:lang w:val="en-US" w:eastAsia="zh-CN"/>
                    </w:rPr>
                  </w:pPr>
                  <w:r>
                    <w:rPr>
                      <w:rFonts w:hint="eastAsia" w:eastAsiaTheme="minorEastAsia"/>
                      <w:color w:val="auto"/>
                      <w:szCs w:val="21"/>
                      <w:lang w:val="en-US" w:eastAsia="zh-CN"/>
                    </w:rPr>
                    <w:t xml:space="preserve">0.019 </w:t>
                  </w:r>
                </w:p>
              </w:tc>
            </w:tr>
            <w:tr w14:paraId="5BDE20D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jc w:val="center"/>
              </w:trPr>
              <w:tc>
                <w:tcPr>
                  <w:tcW w:w="357" w:type="pct"/>
                  <w:vMerge w:val="continue"/>
                  <w:vAlign w:val="center"/>
                </w:tcPr>
                <w:p w14:paraId="50351DF5">
                  <w:pPr>
                    <w:widowControl/>
                    <w:jc w:val="center"/>
                    <w:rPr>
                      <w:color w:val="auto"/>
                      <w:szCs w:val="21"/>
                    </w:rPr>
                  </w:pPr>
                </w:p>
              </w:tc>
              <w:tc>
                <w:tcPr>
                  <w:tcW w:w="656" w:type="pct"/>
                  <w:vMerge w:val="continue"/>
                  <w:vAlign w:val="center"/>
                </w:tcPr>
                <w:p w14:paraId="42A57C53">
                  <w:pPr>
                    <w:widowControl/>
                    <w:jc w:val="center"/>
                    <w:rPr>
                      <w:color w:val="auto"/>
                      <w:szCs w:val="21"/>
                    </w:rPr>
                  </w:pPr>
                </w:p>
              </w:tc>
              <w:tc>
                <w:tcPr>
                  <w:tcW w:w="769" w:type="pct"/>
                  <w:vAlign w:val="center"/>
                </w:tcPr>
                <w:p w14:paraId="77BFB3D1">
                  <w:pPr>
                    <w:jc w:val="center"/>
                    <w:rPr>
                      <w:color w:val="auto"/>
                      <w:kern w:val="0"/>
                      <w:szCs w:val="21"/>
                    </w:rPr>
                  </w:pPr>
                  <w:r>
                    <w:rPr>
                      <w:color w:val="auto"/>
                      <w:szCs w:val="21"/>
                    </w:rPr>
                    <w:t>TP</w:t>
                  </w:r>
                </w:p>
              </w:tc>
              <w:tc>
                <w:tcPr>
                  <w:tcW w:w="1113" w:type="pct"/>
                  <w:vAlign w:val="center"/>
                </w:tcPr>
                <w:p w14:paraId="675058BF">
                  <w:pPr>
                    <w:adjustRightInd w:val="0"/>
                    <w:snapToGrid w:val="0"/>
                    <w:spacing w:line="240" w:lineRule="atLeast"/>
                    <w:jc w:val="center"/>
                    <w:rPr>
                      <w:color w:val="auto"/>
                      <w:szCs w:val="21"/>
                    </w:rPr>
                  </w:pPr>
                  <w:r>
                    <w:rPr>
                      <w:rFonts w:eastAsiaTheme="minorEastAsia"/>
                      <w:color w:val="auto"/>
                      <w:szCs w:val="21"/>
                    </w:rPr>
                    <w:t>5</w:t>
                  </w:r>
                </w:p>
              </w:tc>
              <w:tc>
                <w:tcPr>
                  <w:tcW w:w="2914" w:type="dxa"/>
                  <w:vAlign w:val="center"/>
                </w:tcPr>
                <w:p w14:paraId="09D4F9C2">
                  <w:pPr>
                    <w:adjustRightInd w:val="0"/>
                    <w:snapToGrid w:val="0"/>
                    <w:spacing w:line="240" w:lineRule="atLeast"/>
                    <w:jc w:val="center"/>
                    <w:rPr>
                      <w:rFonts w:hint="eastAsia" w:eastAsiaTheme="minorEastAsia"/>
                      <w:color w:val="auto"/>
                      <w:szCs w:val="21"/>
                      <w:lang w:val="en-US" w:eastAsia="zh-CN"/>
                    </w:rPr>
                  </w:pPr>
                  <w:r>
                    <w:rPr>
                      <w:rFonts w:hint="eastAsia" w:eastAsiaTheme="minorEastAsia"/>
                      <w:color w:val="auto"/>
                      <w:szCs w:val="21"/>
                      <w:lang w:val="en-US" w:eastAsia="zh-CN"/>
                    </w:rPr>
                    <w:t xml:space="preserve">0.000011 </w:t>
                  </w:r>
                </w:p>
              </w:tc>
              <w:tc>
                <w:tcPr>
                  <w:tcW w:w="2900" w:type="dxa"/>
                  <w:vAlign w:val="center"/>
                </w:tcPr>
                <w:p w14:paraId="5CBC7B77">
                  <w:pPr>
                    <w:adjustRightInd w:val="0"/>
                    <w:snapToGrid w:val="0"/>
                    <w:spacing w:line="240" w:lineRule="atLeast"/>
                    <w:jc w:val="center"/>
                    <w:rPr>
                      <w:rFonts w:hint="default" w:eastAsiaTheme="minorEastAsia"/>
                      <w:color w:val="auto"/>
                      <w:szCs w:val="21"/>
                      <w:lang w:val="en-US" w:eastAsia="zh-CN"/>
                    </w:rPr>
                  </w:pPr>
                  <w:r>
                    <w:rPr>
                      <w:rFonts w:hint="eastAsia" w:eastAsiaTheme="minorEastAsia"/>
                      <w:color w:val="auto"/>
                      <w:szCs w:val="21"/>
                      <w:lang w:val="en-US" w:eastAsia="zh-CN"/>
                    </w:rPr>
                    <w:t xml:space="preserve">0.003 </w:t>
                  </w:r>
                </w:p>
              </w:tc>
            </w:tr>
            <w:tr w14:paraId="733C2D5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jc w:val="center"/>
              </w:trPr>
              <w:tc>
                <w:tcPr>
                  <w:tcW w:w="357" w:type="pct"/>
                  <w:vMerge w:val="continue"/>
                  <w:vAlign w:val="center"/>
                </w:tcPr>
                <w:p w14:paraId="28D1058D">
                  <w:pPr>
                    <w:widowControl/>
                    <w:jc w:val="center"/>
                    <w:rPr>
                      <w:color w:val="auto"/>
                      <w:szCs w:val="21"/>
                    </w:rPr>
                  </w:pPr>
                </w:p>
              </w:tc>
              <w:tc>
                <w:tcPr>
                  <w:tcW w:w="656" w:type="pct"/>
                  <w:vMerge w:val="continue"/>
                  <w:vAlign w:val="center"/>
                </w:tcPr>
                <w:p w14:paraId="14E4DB0C">
                  <w:pPr>
                    <w:widowControl/>
                    <w:jc w:val="center"/>
                    <w:rPr>
                      <w:color w:val="auto"/>
                      <w:szCs w:val="21"/>
                    </w:rPr>
                  </w:pPr>
                </w:p>
              </w:tc>
              <w:tc>
                <w:tcPr>
                  <w:tcW w:w="769" w:type="pct"/>
                  <w:vAlign w:val="center"/>
                </w:tcPr>
                <w:p w14:paraId="7070DD0B">
                  <w:pPr>
                    <w:jc w:val="center"/>
                    <w:rPr>
                      <w:color w:val="auto"/>
                      <w:kern w:val="0"/>
                      <w:szCs w:val="21"/>
                    </w:rPr>
                  </w:pPr>
                  <w:r>
                    <w:rPr>
                      <w:rFonts w:hint="eastAsia"/>
                      <w:color w:val="auto"/>
                      <w:kern w:val="0"/>
                      <w:szCs w:val="21"/>
                    </w:rPr>
                    <w:t>TN</w:t>
                  </w:r>
                </w:p>
              </w:tc>
              <w:tc>
                <w:tcPr>
                  <w:tcW w:w="1113" w:type="pct"/>
                  <w:vAlign w:val="center"/>
                </w:tcPr>
                <w:p w14:paraId="1550D4A5">
                  <w:pPr>
                    <w:adjustRightInd w:val="0"/>
                    <w:snapToGrid w:val="0"/>
                    <w:spacing w:line="240" w:lineRule="atLeast"/>
                    <w:jc w:val="center"/>
                    <w:rPr>
                      <w:color w:val="auto"/>
                      <w:szCs w:val="21"/>
                    </w:rPr>
                  </w:pPr>
                  <w:r>
                    <w:rPr>
                      <w:rFonts w:hint="eastAsia" w:eastAsiaTheme="minorEastAsia"/>
                      <w:color w:val="auto"/>
                      <w:szCs w:val="21"/>
                      <w:lang w:val="en-US" w:eastAsia="zh-CN"/>
                    </w:rPr>
                    <w:t>50</w:t>
                  </w:r>
                </w:p>
              </w:tc>
              <w:tc>
                <w:tcPr>
                  <w:tcW w:w="2914" w:type="dxa"/>
                  <w:vAlign w:val="center"/>
                </w:tcPr>
                <w:p w14:paraId="4DB60892">
                  <w:pPr>
                    <w:adjustRightInd w:val="0"/>
                    <w:snapToGrid w:val="0"/>
                    <w:spacing w:line="240" w:lineRule="atLeast"/>
                    <w:jc w:val="center"/>
                    <w:rPr>
                      <w:rFonts w:hint="default" w:eastAsiaTheme="minorEastAsia"/>
                      <w:color w:val="auto"/>
                      <w:szCs w:val="21"/>
                      <w:lang w:val="en-US" w:eastAsia="zh-CN"/>
                    </w:rPr>
                  </w:pPr>
                  <w:r>
                    <w:rPr>
                      <w:rFonts w:hint="eastAsia" w:eastAsiaTheme="minorEastAsia"/>
                      <w:color w:val="auto"/>
                      <w:szCs w:val="21"/>
                      <w:lang w:val="en-US" w:eastAsia="zh-CN"/>
                    </w:rPr>
                    <w:t xml:space="preserve">0.000108 </w:t>
                  </w:r>
                </w:p>
              </w:tc>
              <w:tc>
                <w:tcPr>
                  <w:tcW w:w="2900" w:type="dxa"/>
                  <w:vAlign w:val="center"/>
                </w:tcPr>
                <w:p w14:paraId="57294E17">
                  <w:pPr>
                    <w:adjustRightInd w:val="0"/>
                    <w:snapToGrid w:val="0"/>
                    <w:spacing w:line="240" w:lineRule="atLeast"/>
                    <w:jc w:val="center"/>
                    <w:rPr>
                      <w:rFonts w:hint="default" w:eastAsiaTheme="minorEastAsia"/>
                      <w:color w:val="auto"/>
                      <w:szCs w:val="21"/>
                      <w:lang w:val="en-US" w:eastAsia="zh-CN"/>
                    </w:rPr>
                  </w:pPr>
                  <w:r>
                    <w:rPr>
                      <w:rFonts w:hint="eastAsia" w:eastAsiaTheme="minorEastAsia"/>
                      <w:color w:val="auto"/>
                      <w:szCs w:val="21"/>
                      <w:lang w:val="en-US" w:eastAsia="zh-CN"/>
                    </w:rPr>
                    <w:t xml:space="preserve">0.032 </w:t>
                  </w:r>
                </w:p>
              </w:tc>
            </w:tr>
            <w:tr w14:paraId="77C4DBA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jc w:val="center"/>
              </w:trPr>
              <w:tc>
                <w:tcPr>
                  <w:tcW w:w="1014" w:type="pct"/>
                  <w:gridSpan w:val="2"/>
                  <w:vMerge w:val="restart"/>
                  <w:vAlign w:val="center"/>
                </w:tcPr>
                <w:p w14:paraId="5917DED6">
                  <w:pPr>
                    <w:widowControl/>
                    <w:adjustRightInd w:val="0"/>
                    <w:snapToGrid w:val="0"/>
                    <w:spacing w:line="240" w:lineRule="atLeast"/>
                    <w:jc w:val="center"/>
                    <w:rPr>
                      <w:color w:val="auto"/>
                      <w:szCs w:val="21"/>
                    </w:rPr>
                  </w:pPr>
                  <w:r>
                    <w:rPr>
                      <w:color w:val="auto"/>
                      <w:szCs w:val="21"/>
                    </w:rPr>
                    <w:t>全厂排放口合计</w:t>
                  </w:r>
                </w:p>
              </w:tc>
              <w:tc>
                <w:tcPr>
                  <w:tcW w:w="2936" w:type="pct"/>
                  <w:gridSpan w:val="3"/>
                  <w:vAlign w:val="center"/>
                </w:tcPr>
                <w:p w14:paraId="77179702">
                  <w:pPr>
                    <w:adjustRightInd w:val="0"/>
                    <w:snapToGrid w:val="0"/>
                    <w:spacing w:line="240" w:lineRule="atLeast"/>
                    <w:jc w:val="center"/>
                    <w:rPr>
                      <w:rFonts w:hint="eastAsia" w:eastAsiaTheme="minorEastAsia"/>
                      <w:color w:val="auto"/>
                      <w:szCs w:val="21"/>
                    </w:rPr>
                  </w:pPr>
                  <w:r>
                    <w:rPr>
                      <w:rFonts w:hint="eastAsia" w:eastAsiaTheme="minorEastAsia"/>
                      <w:color w:val="auto"/>
                      <w:szCs w:val="21"/>
                    </w:rPr>
                    <w:t>COD</w:t>
                  </w:r>
                </w:p>
              </w:tc>
              <w:tc>
                <w:tcPr>
                  <w:tcW w:w="2900" w:type="dxa"/>
                  <w:vAlign w:val="center"/>
                </w:tcPr>
                <w:p w14:paraId="74A2C833">
                  <w:pPr>
                    <w:adjustRightInd w:val="0"/>
                    <w:snapToGrid w:val="0"/>
                    <w:spacing w:line="240" w:lineRule="atLeast"/>
                    <w:jc w:val="center"/>
                    <w:rPr>
                      <w:rFonts w:hint="eastAsia" w:eastAsiaTheme="minorEastAsia"/>
                      <w:color w:val="auto"/>
                      <w:szCs w:val="21"/>
                      <w:lang w:val="en-US" w:eastAsia="zh-CN"/>
                    </w:rPr>
                  </w:pPr>
                  <w:r>
                    <w:rPr>
                      <w:rFonts w:hint="eastAsia" w:eastAsiaTheme="minorEastAsia"/>
                      <w:color w:val="auto"/>
                      <w:szCs w:val="21"/>
                      <w:lang w:val="en-US" w:eastAsia="zh-CN"/>
                    </w:rPr>
                    <w:t xml:space="preserve">0.259 </w:t>
                  </w:r>
                </w:p>
              </w:tc>
            </w:tr>
            <w:tr w14:paraId="1021777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jc w:val="center"/>
              </w:trPr>
              <w:tc>
                <w:tcPr>
                  <w:tcW w:w="1014" w:type="pct"/>
                  <w:gridSpan w:val="2"/>
                  <w:vMerge w:val="continue"/>
                  <w:vAlign w:val="center"/>
                </w:tcPr>
                <w:p w14:paraId="0694E4FD">
                  <w:pPr>
                    <w:widowControl/>
                    <w:jc w:val="center"/>
                    <w:rPr>
                      <w:color w:val="auto"/>
                      <w:szCs w:val="21"/>
                    </w:rPr>
                  </w:pPr>
                </w:p>
              </w:tc>
              <w:tc>
                <w:tcPr>
                  <w:tcW w:w="2936" w:type="pct"/>
                  <w:gridSpan w:val="3"/>
                  <w:vAlign w:val="center"/>
                </w:tcPr>
                <w:p w14:paraId="4DB8ACD2">
                  <w:pPr>
                    <w:adjustRightInd w:val="0"/>
                    <w:snapToGrid w:val="0"/>
                    <w:spacing w:line="240" w:lineRule="atLeast"/>
                    <w:jc w:val="center"/>
                    <w:rPr>
                      <w:rFonts w:hint="eastAsia" w:eastAsiaTheme="minorEastAsia"/>
                      <w:color w:val="auto"/>
                      <w:szCs w:val="21"/>
                    </w:rPr>
                  </w:pPr>
                  <w:r>
                    <w:rPr>
                      <w:rFonts w:hint="eastAsia" w:eastAsiaTheme="minorEastAsia"/>
                      <w:color w:val="auto"/>
                      <w:szCs w:val="21"/>
                    </w:rPr>
                    <w:t>SS</w:t>
                  </w:r>
                </w:p>
              </w:tc>
              <w:tc>
                <w:tcPr>
                  <w:tcW w:w="2900" w:type="dxa"/>
                  <w:vAlign w:val="center"/>
                </w:tcPr>
                <w:p w14:paraId="50CB0AF2">
                  <w:pPr>
                    <w:adjustRightInd w:val="0"/>
                    <w:snapToGrid w:val="0"/>
                    <w:spacing w:line="240" w:lineRule="atLeast"/>
                    <w:jc w:val="center"/>
                    <w:rPr>
                      <w:rFonts w:hint="eastAsia" w:eastAsiaTheme="minorEastAsia"/>
                      <w:color w:val="auto"/>
                      <w:szCs w:val="21"/>
                      <w:lang w:val="en-US" w:eastAsia="zh-CN"/>
                    </w:rPr>
                  </w:pPr>
                  <w:r>
                    <w:rPr>
                      <w:rFonts w:hint="eastAsia" w:eastAsiaTheme="minorEastAsia"/>
                      <w:color w:val="auto"/>
                      <w:szCs w:val="21"/>
                      <w:lang w:val="en-US" w:eastAsia="zh-CN"/>
                    </w:rPr>
                    <w:t xml:space="preserve">0.162 </w:t>
                  </w:r>
                </w:p>
              </w:tc>
            </w:tr>
            <w:tr w14:paraId="24D0601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jc w:val="center"/>
              </w:trPr>
              <w:tc>
                <w:tcPr>
                  <w:tcW w:w="1014" w:type="pct"/>
                  <w:gridSpan w:val="2"/>
                  <w:vMerge w:val="continue"/>
                  <w:vAlign w:val="center"/>
                </w:tcPr>
                <w:p w14:paraId="0569063F">
                  <w:pPr>
                    <w:widowControl/>
                    <w:jc w:val="center"/>
                    <w:rPr>
                      <w:color w:val="auto"/>
                      <w:szCs w:val="21"/>
                    </w:rPr>
                  </w:pPr>
                </w:p>
              </w:tc>
              <w:tc>
                <w:tcPr>
                  <w:tcW w:w="2936" w:type="pct"/>
                  <w:gridSpan w:val="3"/>
                  <w:vAlign w:val="center"/>
                </w:tcPr>
                <w:p w14:paraId="7E1F8D2D">
                  <w:pPr>
                    <w:adjustRightInd w:val="0"/>
                    <w:snapToGrid w:val="0"/>
                    <w:spacing w:line="240" w:lineRule="atLeast"/>
                    <w:jc w:val="center"/>
                    <w:rPr>
                      <w:rFonts w:hint="eastAsia" w:eastAsiaTheme="minorEastAsia"/>
                      <w:color w:val="auto"/>
                      <w:szCs w:val="21"/>
                    </w:rPr>
                  </w:pPr>
                  <w:r>
                    <w:rPr>
                      <w:rFonts w:hint="eastAsia" w:eastAsiaTheme="minorEastAsia"/>
                      <w:color w:val="auto"/>
                      <w:szCs w:val="21"/>
                    </w:rPr>
                    <w:t>NH</w:t>
                  </w:r>
                  <w:r>
                    <w:rPr>
                      <w:rFonts w:hint="eastAsia" w:eastAsiaTheme="minorEastAsia"/>
                      <w:color w:val="auto"/>
                      <w:szCs w:val="21"/>
                      <w:vertAlign w:val="subscript"/>
                    </w:rPr>
                    <w:t>3</w:t>
                  </w:r>
                  <w:r>
                    <w:rPr>
                      <w:rFonts w:hint="eastAsia" w:eastAsiaTheme="minorEastAsia"/>
                      <w:color w:val="auto"/>
                      <w:szCs w:val="21"/>
                    </w:rPr>
                    <w:t>-N</w:t>
                  </w:r>
                </w:p>
              </w:tc>
              <w:tc>
                <w:tcPr>
                  <w:tcW w:w="2900" w:type="dxa"/>
                  <w:vAlign w:val="center"/>
                </w:tcPr>
                <w:p w14:paraId="5AAFBDE5">
                  <w:pPr>
                    <w:adjustRightInd w:val="0"/>
                    <w:snapToGrid w:val="0"/>
                    <w:spacing w:line="240" w:lineRule="atLeast"/>
                    <w:jc w:val="center"/>
                    <w:rPr>
                      <w:rFonts w:hint="eastAsia" w:eastAsiaTheme="minorEastAsia"/>
                      <w:color w:val="auto"/>
                      <w:szCs w:val="21"/>
                      <w:lang w:val="en-US" w:eastAsia="zh-CN"/>
                    </w:rPr>
                  </w:pPr>
                  <w:r>
                    <w:rPr>
                      <w:rFonts w:hint="eastAsia" w:eastAsiaTheme="minorEastAsia"/>
                      <w:color w:val="auto"/>
                      <w:szCs w:val="21"/>
                      <w:lang w:val="en-US" w:eastAsia="zh-CN"/>
                    </w:rPr>
                    <w:t xml:space="preserve">0.019 </w:t>
                  </w:r>
                </w:p>
              </w:tc>
            </w:tr>
            <w:tr w14:paraId="6C8841D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jc w:val="center"/>
              </w:trPr>
              <w:tc>
                <w:tcPr>
                  <w:tcW w:w="1014" w:type="pct"/>
                  <w:gridSpan w:val="2"/>
                  <w:vMerge w:val="continue"/>
                  <w:vAlign w:val="center"/>
                </w:tcPr>
                <w:p w14:paraId="7EF841A8">
                  <w:pPr>
                    <w:widowControl/>
                    <w:jc w:val="center"/>
                    <w:rPr>
                      <w:color w:val="auto"/>
                      <w:szCs w:val="21"/>
                    </w:rPr>
                  </w:pPr>
                </w:p>
              </w:tc>
              <w:tc>
                <w:tcPr>
                  <w:tcW w:w="2936" w:type="pct"/>
                  <w:gridSpan w:val="3"/>
                  <w:vAlign w:val="center"/>
                </w:tcPr>
                <w:p w14:paraId="183E6100">
                  <w:pPr>
                    <w:adjustRightInd w:val="0"/>
                    <w:snapToGrid w:val="0"/>
                    <w:spacing w:line="240" w:lineRule="atLeast"/>
                    <w:jc w:val="center"/>
                    <w:rPr>
                      <w:rFonts w:hint="eastAsia" w:eastAsiaTheme="minorEastAsia"/>
                      <w:color w:val="auto"/>
                      <w:szCs w:val="21"/>
                    </w:rPr>
                  </w:pPr>
                  <w:r>
                    <w:rPr>
                      <w:rFonts w:hint="eastAsia" w:eastAsiaTheme="minorEastAsia"/>
                      <w:color w:val="auto"/>
                      <w:szCs w:val="21"/>
                    </w:rPr>
                    <w:t>TP</w:t>
                  </w:r>
                </w:p>
              </w:tc>
              <w:tc>
                <w:tcPr>
                  <w:tcW w:w="2900" w:type="dxa"/>
                  <w:vAlign w:val="center"/>
                </w:tcPr>
                <w:p w14:paraId="74B2D395">
                  <w:pPr>
                    <w:adjustRightInd w:val="0"/>
                    <w:snapToGrid w:val="0"/>
                    <w:spacing w:line="240" w:lineRule="atLeast"/>
                    <w:jc w:val="center"/>
                    <w:rPr>
                      <w:rFonts w:hint="eastAsia" w:eastAsiaTheme="minorEastAsia"/>
                      <w:color w:val="auto"/>
                      <w:szCs w:val="21"/>
                      <w:lang w:val="en-US" w:eastAsia="zh-CN"/>
                    </w:rPr>
                  </w:pPr>
                  <w:r>
                    <w:rPr>
                      <w:rFonts w:hint="eastAsia" w:eastAsiaTheme="minorEastAsia"/>
                      <w:color w:val="auto"/>
                      <w:szCs w:val="21"/>
                      <w:lang w:val="en-US" w:eastAsia="zh-CN"/>
                    </w:rPr>
                    <w:t xml:space="preserve">0.003 </w:t>
                  </w:r>
                </w:p>
              </w:tc>
            </w:tr>
            <w:tr w14:paraId="044B85C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jc w:val="center"/>
              </w:trPr>
              <w:tc>
                <w:tcPr>
                  <w:tcW w:w="1014" w:type="pct"/>
                  <w:gridSpan w:val="2"/>
                  <w:vMerge w:val="continue"/>
                  <w:vAlign w:val="center"/>
                </w:tcPr>
                <w:p w14:paraId="0595A39D">
                  <w:pPr>
                    <w:widowControl/>
                    <w:jc w:val="center"/>
                    <w:rPr>
                      <w:color w:val="auto"/>
                      <w:szCs w:val="21"/>
                    </w:rPr>
                  </w:pPr>
                </w:p>
              </w:tc>
              <w:tc>
                <w:tcPr>
                  <w:tcW w:w="2936" w:type="pct"/>
                  <w:gridSpan w:val="3"/>
                  <w:vAlign w:val="center"/>
                </w:tcPr>
                <w:p w14:paraId="7387C4FD">
                  <w:pPr>
                    <w:adjustRightInd w:val="0"/>
                    <w:snapToGrid w:val="0"/>
                    <w:spacing w:line="240" w:lineRule="atLeast"/>
                    <w:jc w:val="center"/>
                    <w:rPr>
                      <w:rFonts w:hint="eastAsia" w:eastAsiaTheme="minorEastAsia"/>
                      <w:color w:val="auto"/>
                      <w:szCs w:val="21"/>
                    </w:rPr>
                  </w:pPr>
                  <w:r>
                    <w:rPr>
                      <w:rFonts w:hint="eastAsia" w:eastAsiaTheme="minorEastAsia"/>
                      <w:color w:val="auto"/>
                      <w:szCs w:val="21"/>
                    </w:rPr>
                    <w:t>TN</w:t>
                  </w:r>
                </w:p>
              </w:tc>
              <w:tc>
                <w:tcPr>
                  <w:tcW w:w="2900" w:type="dxa"/>
                  <w:vAlign w:val="center"/>
                </w:tcPr>
                <w:p w14:paraId="318A8749">
                  <w:pPr>
                    <w:adjustRightInd w:val="0"/>
                    <w:snapToGrid w:val="0"/>
                    <w:spacing w:line="240" w:lineRule="atLeast"/>
                    <w:jc w:val="center"/>
                    <w:rPr>
                      <w:rFonts w:hint="eastAsia" w:eastAsiaTheme="minorEastAsia"/>
                      <w:color w:val="auto"/>
                      <w:szCs w:val="21"/>
                      <w:lang w:val="en-US" w:eastAsia="zh-CN"/>
                    </w:rPr>
                  </w:pPr>
                  <w:r>
                    <w:rPr>
                      <w:rFonts w:hint="eastAsia" w:eastAsiaTheme="minorEastAsia"/>
                      <w:color w:val="auto"/>
                      <w:szCs w:val="21"/>
                      <w:lang w:val="en-US" w:eastAsia="zh-CN"/>
                    </w:rPr>
                    <w:t xml:space="preserve">0.032 </w:t>
                  </w:r>
                </w:p>
              </w:tc>
            </w:tr>
          </w:tbl>
          <w:p w14:paraId="5CFBAE8A">
            <w:pPr>
              <w:widowControl/>
              <w:autoSpaceDE w:val="0"/>
              <w:autoSpaceDN w:val="0"/>
              <w:adjustRightInd w:val="0"/>
              <w:spacing w:line="360" w:lineRule="auto"/>
              <w:rPr>
                <w:rFonts w:hint="eastAsia"/>
                <w:color w:val="auto"/>
                <w:kern w:val="0"/>
                <w:sz w:val="24"/>
                <w:szCs w:val="24"/>
                <w:lang w:eastAsia="zh-CN"/>
              </w:rPr>
            </w:pPr>
          </w:p>
          <w:p w14:paraId="0CBA204A">
            <w:pPr>
              <w:widowControl/>
              <w:autoSpaceDE w:val="0"/>
              <w:autoSpaceDN w:val="0"/>
              <w:adjustRightInd w:val="0"/>
              <w:spacing w:line="360" w:lineRule="auto"/>
              <w:rPr>
                <w:rFonts w:hint="eastAsia"/>
                <w:color w:val="auto"/>
                <w:kern w:val="0"/>
                <w:sz w:val="24"/>
                <w:szCs w:val="24"/>
                <w:lang w:eastAsia="zh-CN"/>
              </w:rPr>
            </w:pPr>
          </w:p>
          <w:p w14:paraId="7AB75475">
            <w:pPr>
              <w:widowControl/>
              <w:autoSpaceDE w:val="0"/>
              <w:autoSpaceDN w:val="0"/>
              <w:adjustRightInd w:val="0"/>
              <w:spacing w:line="360" w:lineRule="auto"/>
              <w:rPr>
                <w:rFonts w:hint="eastAsia"/>
                <w:color w:val="auto"/>
                <w:kern w:val="0"/>
                <w:sz w:val="24"/>
                <w:szCs w:val="24"/>
                <w:lang w:eastAsia="zh-CN"/>
              </w:rPr>
            </w:pPr>
          </w:p>
          <w:p w14:paraId="23720CDF">
            <w:pPr>
              <w:pStyle w:val="3"/>
              <w:rPr>
                <w:rFonts w:hint="eastAsia"/>
                <w:lang w:eastAsia="zh-CN"/>
              </w:rPr>
            </w:pPr>
          </w:p>
          <w:p w14:paraId="0BA2C636">
            <w:pPr>
              <w:widowControl/>
              <w:autoSpaceDE w:val="0"/>
              <w:autoSpaceDN w:val="0"/>
              <w:adjustRightInd w:val="0"/>
              <w:spacing w:line="360" w:lineRule="auto"/>
              <w:rPr>
                <w:rFonts w:hint="eastAsia" w:eastAsia="宋体"/>
                <w:color w:val="auto"/>
                <w:kern w:val="0"/>
                <w:sz w:val="24"/>
                <w:szCs w:val="24"/>
                <w:lang w:eastAsia="zh-CN"/>
              </w:rPr>
            </w:pPr>
          </w:p>
        </w:tc>
      </w:tr>
    </w:tbl>
    <w:p w14:paraId="6745CA43">
      <w:pPr>
        <w:tabs>
          <w:tab w:val="left" w:pos="1144"/>
        </w:tabs>
        <w:spacing w:line="360" w:lineRule="auto"/>
        <w:ind w:right="6"/>
        <w:jc w:val="center"/>
        <w:rPr>
          <w:rFonts w:hint="eastAsia"/>
          <w:b/>
          <w:bCs/>
          <w:color w:val="auto"/>
          <w:sz w:val="24"/>
          <w:szCs w:val="24"/>
        </w:rPr>
        <w:sectPr>
          <w:pgSz w:w="16838" w:h="11905" w:orient="landscape"/>
          <w:pgMar w:top="1803" w:right="1276" w:bottom="1803" w:left="1712" w:header="850" w:footer="992" w:gutter="0"/>
          <w:pgBorders>
            <w:top w:val="none" w:sz="0" w:space="0"/>
            <w:left w:val="none" w:sz="0" w:space="0"/>
            <w:bottom w:val="none" w:sz="0" w:space="0"/>
            <w:right w:val="none" w:sz="0" w:space="0"/>
          </w:pgBorders>
          <w:pgNumType w:fmt="decimal"/>
          <w:cols w:space="0" w:num="1"/>
          <w:docGrid w:type="lines" w:linePitch="319" w:charSpace="0"/>
        </w:sect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
        <w:gridCol w:w="8275"/>
      </w:tblGrid>
      <w:tr w14:paraId="36D2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dxa"/>
          </w:tcPr>
          <w:p w14:paraId="2FCAF5D7">
            <w:pPr>
              <w:rPr>
                <w:color w:val="FF0000"/>
              </w:rPr>
            </w:pPr>
          </w:p>
        </w:tc>
        <w:tc>
          <w:tcPr>
            <w:tcW w:w="8275" w:type="dxa"/>
          </w:tcPr>
          <w:p w14:paraId="6041C9D4">
            <w:pPr>
              <w:adjustRightInd w:val="0"/>
              <w:snapToGrid w:val="0"/>
              <w:spacing w:line="360" w:lineRule="auto"/>
              <w:ind w:left="480"/>
              <w:rPr>
                <w:rFonts w:eastAsiaTheme="minorEastAsia"/>
                <w:b/>
                <w:bCs/>
                <w:color w:val="auto"/>
                <w:sz w:val="24"/>
                <w:szCs w:val="24"/>
              </w:rPr>
            </w:pPr>
            <w:r>
              <w:rPr>
                <w:rFonts w:hint="eastAsia" w:eastAsiaTheme="minorEastAsia"/>
                <w:b/>
                <w:bCs/>
                <w:color w:val="auto"/>
                <w:sz w:val="24"/>
                <w:szCs w:val="24"/>
              </w:rPr>
              <w:t>3、噪声</w:t>
            </w:r>
          </w:p>
          <w:p w14:paraId="52D7A254">
            <w:pPr>
              <w:adjustRightInd w:val="0"/>
              <w:snapToGrid w:val="0"/>
              <w:spacing w:line="360" w:lineRule="auto"/>
              <w:ind w:firstLine="482" w:firstLineChars="200"/>
              <w:rPr>
                <w:rFonts w:eastAsiaTheme="minorEastAsia"/>
                <w:b/>
                <w:bCs/>
                <w:color w:val="auto"/>
                <w:sz w:val="24"/>
                <w:szCs w:val="24"/>
              </w:rPr>
            </w:pPr>
            <w:r>
              <w:rPr>
                <w:rFonts w:hint="eastAsia" w:eastAsiaTheme="minorEastAsia"/>
                <w:b/>
                <w:bCs/>
                <w:color w:val="auto"/>
                <w:sz w:val="24"/>
                <w:szCs w:val="24"/>
              </w:rPr>
              <w:t>3.1噪声源情况</w:t>
            </w:r>
          </w:p>
          <w:p w14:paraId="633980AD">
            <w:pPr>
              <w:spacing w:line="360" w:lineRule="auto"/>
              <w:ind w:firstLine="480" w:firstLineChars="200"/>
              <w:rPr>
                <w:rFonts w:eastAsiaTheme="minorEastAsia"/>
                <w:bCs/>
                <w:color w:val="auto"/>
                <w:sz w:val="24"/>
                <w:szCs w:val="24"/>
              </w:rPr>
            </w:pPr>
            <w:r>
              <w:rPr>
                <w:rFonts w:eastAsiaTheme="minorEastAsia"/>
                <w:bCs/>
                <w:color w:val="auto"/>
                <w:sz w:val="24"/>
                <w:szCs w:val="24"/>
              </w:rPr>
              <w:t>本项目主要高噪声设备为</w:t>
            </w:r>
            <w:r>
              <w:rPr>
                <w:rFonts w:hint="eastAsia" w:eastAsiaTheme="minorEastAsia"/>
                <w:bCs/>
                <w:color w:val="auto"/>
                <w:sz w:val="24"/>
                <w:szCs w:val="24"/>
                <w:lang w:val="en-US" w:eastAsia="zh-CN"/>
              </w:rPr>
              <w:t>发泡机（1台）、冷媒充注机（2台）、空压机（1台）、风机（1台）</w:t>
            </w:r>
            <w:r>
              <w:rPr>
                <w:rFonts w:eastAsiaTheme="minorEastAsia"/>
                <w:bCs/>
                <w:color w:val="auto"/>
                <w:sz w:val="24"/>
                <w:szCs w:val="24"/>
              </w:rPr>
              <w:t>，单台设备噪声源强为8</w:t>
            </w:r>
            <w:r>
              <w:rPr>
                <w:rFonts w:hint="eastAsia" w:eastAsiaTheme="minorEastAsia"/>
                <w:bCs/>
                <w:color w:val="auto"/>
                <w:sz w:val="24"/>
                <w:szCs w:val="24"/>
              </w:rPr>
              <w:t>0</w:t>
            </w:r>
            <w:r>
              <w:rPr>
                <w:rFonts w:eastAsiaTheme="minorEastAsia"/>
                <w:bCs/>
                <w:color w:val="auto"/>
                <w:sz w:val="24"/>
                <w:szCs w:val="24"/>
              </w:rPr>
              <w:t>～</w:t>
            </w:r>
            <w:r>
              <w:rPr>
                <w:rFonts w:hint="eastAsia" w:eastAsiaTheme="minorEastAsia"/>
                <w:bCs/>
                <w:color w:val="auto"/>
                <w:sz w:val="24"/>
                <w:szCs w:val="24"/>
                <w:lang w:val="en-US" w:eastAsia="zh-CN"/>
              </w:rPr>
              <w:t>90</w:t>
            </w:r>
            <w:r>
              <w:rPr>
                <w:rFonts w:eastAsiaTheme="minorEastAsia"/>
                <w:bCs/>
                <w:color w:val="auto"/>
                <w:sz w:val="24"/>
                <w:szCs w:val="24"/>
              </w:rPr>
              <w:t>dB（A）。</w:t>
            </w:r>
          </w:p>
          <w:p w14:paraId="5633A4D2">
            <w:pPr>
              <w:spacing w:line="360" w:lineRule="auto"/>
              <w:ind w:firstLine="480" w:firstLineChars="200"/>
              <w:rPr>
                <w:rFonts w:eastAsiaTheme="minorEastAsia"/>
                <w:color w:val="auto"/>
                <w:sz w:val="24"/>
                <w:szCs w:val="24"/>
              </w:rPr>
            </w:pPr>
            <w:r>
              <w:rPr>
                <w:rFonts w:hint="eastAsia" w:eastAsiaTheme="minorEastAsia"/>
                <w:color w:val="auto"/>
                <w:sz w:val="24"/>
                <w:szCs w:val="24"/>
              </w:rPr>
              <w:t>工业企业噪声源强调查清单</w:t>
            </w:r>
            <w:r>
              <w:rPr>
                <w:rFonts w:eastAsiaTheme="minorEastAsia"/>
                <w:color w:val="auto"/>
                <w:sz w:val="24"/>
                <w:szCs w:val="24"/>
              </w:rPr>
              <w:t>见表</w:t>
            </w:r>
            <w:r>
              <w:rPr>
                <w:rFonts w:hint="eastAsia" w:eastAsiaTheme="minorEastAsia"/>
                <w:color w:val="auto"/>
                <w:sz w:val="24"/>
                <w:szCs w:val="24"/>
              </w:rPr>
              <w:t>4</w:t>
            </w:r>
            <w:r>
              <w:rPr>
                <w:rFonts w:hint="eastAsia" w:eastAsiaTheme="minorEastAsia"/>
                <w:color w:val="auto"/>
                <w:sz w:val="24"/>
                <w:szCs w:val="24"/>
                <w:lang w:val="en-US" w:eastAsia="zh-CN"/>
              </w:rPr>
              <w:t>-15、表4-16</w:t>
            </w:r>
            <w:r>
              <w:rPr>
                <w:rFonts w:eastAsiaTheme="minorEastAsia"/>
                <w:color w:val="auto"/>
                <w:sz w:val="24"/>
                <w:szCs w:val="24"/>
              </w:rPr>
              <w:t>。</w:t>
            </w:r>
          </w:p>
          <w:p w14:paraId="747A29D4">
            <w:pPr>
              <w:tabs>
                <w:tab w:val="left" w:pos="1144"/>
              </w:tabs>
              <w:spacing w:line="360" w:lineRule="auto"/>
              <w:ind w:right="6"/>
              <w:jc w:val="center"/>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表4</w:t>
            </w:r>
            <w:r>
              <w:rPr>
                <w:rFonts w:hint="eastAsia" w:ascii="Times New Roman" w:hAnsi="Times New Roman" w:eastAsia="宋体" w:cs="Times New Roman"/>
                <w:b/>
                <w:bCs/>
                <w:color w:val="auto"/>
                <w:sz w:val="24"/>
                <w:szCs w:val="24"/>
                <w:lang w:val="en-US" w:eastAsia="zh-CN"/>
              </w:rPr>
              <w:t>-</w:t>
            </w:r>
            <w:r>
              <w:rPr>
                <w:rFonts w:hint="eastAsia" w:cs="Times New Roman"/>
                <w:b/>
                <w:bCs/>
                <w:color w:val="auto"/>
                <w:sz w:val="24"/>
                <w:szCs w:val="24"/>
                <w:lang w:val="en-US" w:eastAsia="zh-CN"/>
              </w:rPr>
              <w:t>15</w:t>
            </w:r>
            <w:r>
              <w:rPr>
                <w:rFonts w:hint="eastAsia" w:ascii="Times New Roman" w:hAnsi="Times New Roman" w:eastAsia="宋体" w:cs="Times New Roman"/>
                <w:b/>
                <w:bCs/>
                <w:color w:val="auto"/>
                <w:sz w:val="24"/>
                <w:szCs w:val="24"/>
              </w:rPr>
              <w:t>工业企业噪声源强调查清单（室外声源）</w:t>
            </w:r>
          </w:p>
          <w:tbl>
            <w:tblPr>
              <w:tblStyle w:val="35"/>
              <w:tblW w:w="81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34"/>
              <w:gridCol w:w="1084"/>
              <w:gridCol w:w="1202"/>
              <w:gridCol w:w="762"/>
              <w:gridCol w:w="762"/>
              <w:gridCol w:w="778"/>
              <w:gridCol w:w="1022"/>
              <w:gridCol w:w="1075"/>
              <w:gridCol w:w="1039"/>
            </w:tblGrid>
            <w:tr w14:paraId="3AF3D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2" w:hRule="atLeast"/>
                <w:jc w:val="center"/>
              </w:trPr>
              <w:tc>
                <w:tcPr>
                  <w:tcW w:w="265" w:type="pct"/>
                  <w:vMerge w:val="restart"/>
                  <w:vAlign w:val="center"/>
                </w:tcPr>
                <w:p w14:paraId="78F66D65">
                  <w:pPr>
                    <w:widowControl/>
                    <w:jc w:val="center"/>
                    <w:rPr>
                      <w:rFonts w:eastAsiaTheme="minorEastAsia"/>
                      <w:b/>
                      <w:color w:val="auto"/>
                      <w:kern w:val="0"/>
                      <w:szCs w:val="21"/>
                    </w:rPr>
                  </w:pPr>
                  <w:r>
                    <w:rPr>
                      <w:rFonts w:eastAsiaTheme="minorEastAsia"/>
                      <w:b/>
                      <w:color w:val="auto"/>
                      <w:kern w:val="0"/>
                      <w:szCs w:val="21"/>
                    </w:rPr>
                    <w:t>序号</w:t>
                  </w:r>
                </w:p>
              </w:tc>
              <w:tc>
                <w:tcPr>
                  <w:tcW w:w="664" w:type="pct"/>
                  <w:vMerge w:val="restart"/>
                  <w:vAlign w:val="center"/>
                </w:tcPr>
                <w:p w14:paraId="5030DD9C">
                  <w:pPr>
                    <w:widowControl/>
                    <w:jc w:val="center"/>
                    <w:rPr>
                      <w:rFonts w:eastAsiaTheme="minorEastAsia"/>
                      <w:b/>
                      <w:color w:val="auto"/>
                      <w:kern w:val="0"/>
                      <w:szCs w:val="21"/>
                    </w:rPr>
                  </w:pPr>
                  <w:r>
                    <w:rPr>
                      <w:rFonts w:hint="eastAsia" w:eastAsiaTheme="minorEastAsia"/>
                      <w:b/>
                      <w:color w:val="auto"/>
                      <w:kern w:val="0"/>
                      <w:szCs w:val="21"/>
                    </w:rPr>
                    <w:t>声源</w:t>
                  </w:r>
                  <w:r>
                    <w:rPr>
                      <w:rFonts w:eastAsiaTheme="minorEastAsia"/>
                      <w:b/>
                      <w:color w:val="auto"/>
                      <w:kern w:val="0"/>
                      <w:szCs w:val="21"/>
                    </w:rPr>
                    <w:t>名称</w:t>
                  </w:r>
                </w:p>
              </w:tc>
              <w:tc>
                <w:tcPr>
                  <w:tcW w:w="736" w:type="pct"/>
                  <w:vMerge w:val="restart"/>
                  <w:vAlign w:val="center"/>
                </w:tcPr>
                <w:p w14:paraId="137D3D7B">
                  <w:pPr>
                    <w:widowControl/>
                    <w:jc w:val="center"/>
                    <w:rPr>
                      <w:rFonts w:eastAsiaTheme="minorEastAsia"/>
                      <w:b/>
                      <w:color w:val="auto"/>
                      <w:kern w:val="0"/>
                      <w:szCs w:val="21"/>
                    </w:rPr>
                  </w:pPr>
                  <w:r>
                    <w:rPr>
                      <w:rFonts w:hint="eastAsia" w:eastAsiaTheme="minorEastAsia"/>
                      <w:b/>
                      <w:color w:val="auto"/>
                      <w:kern w:val="0"/>
                      <w:szCs w:val="21"/>
                    </w:rPr>
                    <w:t>型号</w:t>
                  </w:r>
                </w:p>
              </w:tc>
              <w:tc>
                <w:tcPr>
                  <w:tcW w:w="1410" w:type="pct"/>
                  <w:gridSpan w:val="3"/>
                  <w:vAlign w:val="center"/>
                </w:tcPr>
                <w:p w14:paraId="2E919370">
                  <w:pPr>
                    <w:widowControl/>
                    <w:jc w:val="center"/>
                    <w:rPr>
                      <w:rFonts w:eastAsiaTheme="minorEastAsia"/>
                      <w:b/>
                      <w:color w:val="auto"/>
                      <w:kern w:val="0"/>
                      <w:szCs w:val="21"/>
                    </w:rPr>
                  </w:pPr>
                  <w:r>
                    <w:rPr>
                      <w:rFonts w:hint="eastAsia" w:eastAsiaTheme="minorEastAsia"/>
                      <w:b/>
                      <w:color w:val="auto"/>
                      <w:kern w:val="0"/>
                      <w:szCs w:val="21"/>
                    </w:rPr>
                    <w:t>*空间相对位置/m</w:t>
                  </w:r>
                </w:p>
              </w:tc>
              <w:tc>
                <w:tcPr>
                  <w:tcW w:w="626" w:type="pct"/>
                  <w:vAlign w:val="center"/>
                </w:tcPr>
                <w:p w14:paraId="0AF3FEF9">
                  <w:pPr>
                    <w:widowControl/>
                    <w:jc w:val="center"/>
                    <w:rPr>
                      <w:rFonts w:eastAsiaTheme="minorEastAsia"/>
                      <w:b/>
                      <w:color w:val="auto"/>
                      <w:kern w:val="0"/>
                      <w:szCs w:val="21"/>
                    </w:rPr>
                  </w:pPr>
                  <w:r>
                    <w:rPr>
                      <w:rFonts w:hint="eastAsia" w:eastAsiaTheme="minorEastAsia"/>
                      <w:b/>
                      <w:color w:val="auto"/>
                      <w:kern w:val="0"/>
                      <w:szCs w:val="21"/>
                    </w:rPr>
                    <w:t>声源源强</w:t>
                  </w:r>
                </w:p>
              </w:tc>
              <w:tc>
                <w:tcPr>
                  <w:tcW w:w="658" w:type="pct"/>
                  <w:vMerge w:val="restart"/>
                  <w:vAlign w:val="center"/>
                </w:tcPr>
                <w:p w14:paraId="399665D8">
                  <w:pPr>
                    <w:jc w:val="center"/>
                    <w:rPr>
                      <w:rFonts w:eastAsiaTheme="minorEastAsia"/>
                      <w:b/>
                      <w:color w:val="auto"/>
                      <w:kern w:val="0"/>
                      <w:szCs w:val="21"/>
                    </w:rPr>
                  </w:pPr>
                  <w:r>
                    <w:rPr>
                      <w:rFonts w:hint="eastAsia" w:eastAsiaTheme="minorEastAsia"/>
                      <w:b/>
                      <w:color w:val="auto"/>
                      <w:kern w:val="0"/>
                      <w:szCs w:val="21"/>
                    </w:rPr>
                    <w:t>声源控制措施</w:t>
                  </w:r>
                </w:p>
              </w:tc>
              <w:tc>
                <w:tcPr>
                  <w:tcW w:w="636" w:type="pct"/>
                  <w:vMerge w:val="restart"/>
                  <w:vAlign w:val="center"/>
                </w:tcPr>
                <w:p w14:paraId="2C07812E">
                  <w:pPr>
                    <w:widowControl/>
                    <w:jc w:val="center"/>
                    <w:rPr>
                      <w:rFonts w:eastAsiaTheme="minorEastAsia"/>
                      <w:b/>
                      <w:color w:val="auto"/>
                      <w:kern w:val="0"/>
                      <w:szCs w:val="21"/>
                    </w:rPr>
                  </w:pPr>
                  <w:r>
                    <w:rPr>
                      <w:rFonts w:hint="eastAsia" w:eastAsiaTheme="minorEastAsia"/>
                      <w:b/>
                      <w:color w:val="auto"/>
                      <w:kern w:val="0"/>
                      <w:szCs w:val="21"/>
                    </w:rPr>
                    <w:t>运行时段</w:t>
                  </w:r>
                </w:p>
              </w:tc>
            </w:tr>
            <w:tr w14:paraId="02EB7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265" w:type="pct"/>
                  <w:vMerge w:val="continue"/>
                  <w:vAlign w:val="center"/>
                </w:tcPr>
                <w:p w14:paraId="6D50E487">
                  <w:pPr>
                    <w:widowControl/>
                    <w:jc w:val="center"/>
                    <w:rPr>
                      <w:rFonts w:eastAsiaTheme="minorEastAsia"/>
                      <w:b/>
                      <w:color w:val="auto"/>
                      <w:kern w:val="0"/>
                      <w:szCs w:val="21"/>
                    </w:rPr>
                  </w:pPr>
                </w:p>
              </w:tc>
              <w:tc>
                <w:tcPr>
                  <w:tcW w:w="664" w:type="pct"/>
                  <w:vMerge w:val="continue"/>
                  <w:vAlign w:val="center"/>
                </w:tcPr>
                <w:p w14:paraId="681AD66A">
                  <w:pPr>
                    <w:widowControl/>
                    <w:jc w:val="center"/>
                    <w:rPr>
                      <w:rFonts w:eastAsiaTheme="minorEastAsia"/>
                      <w:b/>
                      <w:color w:val="auto"/>
                      <w:kern w:val="0"/>
                      <w:szCs w:val="21"/>
                    </w:rPr>
                  </w:pPr>
                </w:p>
              </w:tc>
              <w:tc>
                <w:tcPr>
                  <w:tcW w:w="736" w:type="pct"/>
                  <w:vMerge w:val="continue"/>
                  <w:vAlign w:val="center"/>
                </w:tcPr>
                <w:p w14:paraId="2652BE19">
                  <w:pPr>
                    <w:widowControl/>
                    <w:jc w:val="center"/>
                    <w:rPr>
                      <w:rFonts w:eastAsiaTheme="minorEastAsia"/>
                      <w:b/>
                      <w:color w:val="auto"/>
                      <w:kern w:val="0"/>
                      <w:szCs w:val="21"/>
                    </w:rPr>
                  </w:pPr>
                </w:p>
              </w:tc>
              <w:tc>
                <w:tcPr>
                  <w:tcW w:w="467" w:type="pct"/>
                  <w:vAlign w:val="center"/>
                </w:tcPr>
                <w:p w14:paraId="1E8D14A5">
                  <w:pPr>
                    <w:widowControl/>
                    <w:jc w:val="center"/>
                    <w:rPr>
                      <w:rFonts w:eastAsiaTheme="minorEastAsia"/>
                      <w:b/>
                      <w:color w:val="auto"/>
                      <w:kern w:val="0"/>
                      <w:szCs w:val="21"/>
                    </w:rPr>
                  </w:pPr>
                  <w:r>
                    <w:rPr>
                      <w:rFonts w:hint="eastAsia" w:eastAsiaTheme="minorEastAsia"/>
                      <w:b/>
                      <w:color w:val="auto"/>
                      <w:kern w:val="0"/>
                      <w:szCs w:val="21"/>
                    </w:rPr>
                    <w:t>X</w:t>
                  </w:r>
                </w:p>
              </w:tc>
              <w:tc>
                <w:tcPr>
                  <w:tcW w:w="467" w:type="pct"/>
                  <w:vAlign w:val="center"/>
                </w:tcPr>
                <w:p w14:paraId="3848A6AC">
                  <w:pPr>
                    <w:widowControl/>
                    <w:jc w:val="center"/>
                    <w:rPr>
                      <w:rFonts w:eastAsiaTheme="minorEastAsia"/>
                      <w:b/>
                      <w:color w:val="auto"/>
                      <w:kern w:val="0"/>
                      <w:szCs w:val="21"/>
                    </w:rPr>
                  </w:pPr>
                  <w:r>
                    <w:rPr>
                      <w:rFonts w:hint="eastAsia" w:eastAsiaTheme="minorEastAsia"/>
                      <w:b/>
                      <w:color w:val="auto"/>
                      <w:kern w:val="0"/>
                      <w:szCs w:val="21"/>
                    </w:rPr>
                    <w:t>Y</w:t>
                  </w:r>
                </w:p>
              </w:tc>
              <w:tc>
                <w:tcPr>
                  <w:tcW w:w="476" w:type="pct"/>
                  <w:vAlign w:val="center"/>
                </w:tcPr>
                <w:p w14:paraId="42AA79E2">
                  <w:pPr>
                    <w:widowControl/>
                    <w:jc w:val="center"/>
                    <w:rPr>
                      <w:rFonts w:eastAsiaTheme="minorEastAsia"/>
                      <w:b/>
                      <w:color w:val="auto"/>
                      <w:kern w:val="0"/>
                      <w:szCs w:val="21"/>
                    </w:rPr>
                  </w:pPr>
                  <w:r>
                    <w:rPr>
                      <w:rFonts w:hint="eastAsia" w:eastAsiaTheme="minorEastAsia"/>
                      <w:b/>
                      <w:color w:val="auto"/>
                      <w:kern w:val="0"/>
                      <w:szCs w:val="21"/>
                    </w:rPr>
                    <w:t>Z</w:t>
                  </w:r>
                </w:p>
              </w:tc>
              <w:tc>
                <w:tcPr>
                  <w:tcW w:w="626" w:type="pct"/>
                  <w:vAlign w:val="center"/>
                </w:tcPr>
                <w:p w14:paraId="606E8638">
                  <w:pPr>
                    <w:widowControl/>
                    <w:jc w:val="center"/>
                    <w:rPr>
                      <w:rFonts w:hint="eastAsia" w:eastAsiaTheme="minorEastAsia"/>
                      <w:b/>
                      <w:color w:val="auto"/>
                      <w:kern w:val="0"/>
                      <w:szCs w:val="21"/>
                      <w:lang w:eastAsia="zh-CN"/>
                    </w:rPr>
                  </w:pPr>
                  <w:r>
                    <w:rPr>
                      <w:rFonts w:hint="eastAsia" w:eastAsiaTheme="minorEastAsia"/>
                      <w:b/>
                      <w:color w:val="auto"/>
                      <w:kern w:val="0"/>
                      <w:szCs w:val="21"/>
                    </w:rPr>
                    <w:t>声功率级/dB</w:t>
                  </w:r>
                  <w:r>
                    <w:rPr>
                      <w:rFonts w:hint="eastAsia" w:eastAsiaTheme="minorEastAsia"/>
                      <w:b/>
                      <w:color w:val="auto"/>
                      <w:kern w:val="0"/>
                      <w:szCs w:val="21"/>
                      <w:lang w:eastAsia="zh-CN"/>
                    </w:rPr>
                    <w:t>（</w:t>
                  </w:r>
                  <w:r>
                    <w:rPr>
                      <w:rFonts w:hint="eastAsia" w:eastAsiaTheme="minorEastAsia"/>
                      <w:b/>
                      <w:color w:val="auto"/>
                      <w:kern w:val="0"/>
                      <w:szCs w:val="21"/>
                    </w:rPr>
                    <w:t>A</w:t>
                  </w:r>
                  <w:r>
                    <w:rPr>
                      <w:rFonts w:hint="eastAsia" w:eastAsiaTheme="minorEastAsia"/>
                      <w:b/>
                      <w:color w:val="auto"/>
                      <w:kern w:val="0"/>
                      <w:szCs w:val="21"/>
                      <w:lang w:eastAsia="zh-CN"/>
                    </w:rPr>
                    <w:t>）</w:t>
                  </w:r>
                </w:p>
              </w:tc>
              <w:tc>
                <w:tcPr>
                  <w:tcW w:w="658" w:type="pct"/>
                  <w:vMerge w:val="continue"/>
                  <w:vAlign w:val="center"/>
                </w:tcPr>
                <w:p w14:paraId="0860C123">
                  <w:pPr>
                    <w:jc w:val="center"/>
                    <w:rPr>
                      <w:rFonts w:eastAsiaTheme="minorEastAsia"/>
                      <w:b/>
                      <w:color w:val="auto"/>
                      <w:kern w:val="0"/>
                      <w:szCs w:val="21"/>
                    </w:rPr>
                  </w:pPr>
                </w:p>
              </w:tc>
              <w:tc>
                <w:tcPr>
                  <w:tcW w:w="636" w:type="pct"/>
                  <w:vMerge w:val="continue"/>
                  <w:vAlign w:val="center"/>
                </w:tcPr>
                <w:p w14:paraId="2C13F52F">
                  <w:pPr>
                    <w:widowControl/>
                    <w:jc w:val="center"/>
                    <w:rPr>
                      <w:rFonts w:eastAsiaTheme="minorEastAsia"/>
                      <w:b/>
                      <w:color w:val="auto"/>
                      <w:kern w:val="0"/>
                      <w:szCs w:val="21"/>
                    </w:rPr>
                  </w:pPr>
                </w:p>
              </w:tc>
            </w:tr>
            <w:tr w14:paraId="40939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265" w:type="pct"/>
                  <w:vAlign w:val="center"/>
                </w:tcPr>
                <w:p w14:paraId="79BF4A82">
                  <w:pPr>
                    <w:jc w:val="center"/>
                    <w:rPr>
                      <w:rFonts w:hint="default" w:eastAsiaTheme="minorEastAsia"/>
                      <w:color w:val="auto"/>
                      <w:lang w:val="en-US" w:eastAsia="zh-CN"/>
                    </w:rPr>
                  </w:pPr>
                  <w:r>
                    <w:rPr>
                      <w:rFonts w:hint="eastAsia" w:eastAsiaTheme="minorEastAsia"/>
                      <w:color w:val="auto"/>
                      <w:lang w:val="en-US" w:eastAsia="zh-CN"/>
                    </w:rPr>
                    <w:t>1</w:t>
                  </w:r>
                </w:p>
              </w:tc>
              <w:tc>
                <w:tcPr>
                  <w:tcW w:w="664" w:type="pct"/>
                  <w:vAlign w:val="center"/>
                </w:tcPr>
                <w:p w14:paraId="7A4F566A">
                  <w:pPr>
                    <w:jc w:val="center"/>
                    <w:rPr>
                      <w:rFonts w:hint="default" w:ascii="Times New Roman" w:hAnsi="Times New Roman" w:cs="Times New Roman" w:eastAsiaTheme="minorEastAsia"/>
                      <w:color w:val="auto"/>
                      <w:kern w:val="2"/>
                      <w:sz w:val="21"/>
                      <w:lang w:val="en-US" w:eastAsia="zh-CN" w:bidi="ar-SA"/>
                    </w:rPr>
                  </w:pPr>
                  <w:r>
                    <w:rPr>
                      <w:rFonts w:hint="eastAsia" w:eastAsiaTheme="minorEastAsia"/>
                      <w:color w:val="auto"/>
                      <w:lang w:val="en-US" w:eastAsia="zh-CN"/>
                    </w:rPr>
                    <w:t>1#风机</w:t>
                  </w:r>
                </w:p>
              </w:tc>
              <w:tc>
                <w:tcPr>
                  <w:tcW w:w="736" w:type="pct"/>
                  <w:vAlign w:val="center"/>
                </w:tcPr>
                <w:p w14:paraId="72751B10">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40</w:t>
                  </w:r>
                  <w:r>
                    <w:rPr>
                      <w:rFonts w:hint="eastAsia" w:eastAsiaTheme="minorEastAsia"/>
                      <w:color w:val="auto"/>
                      <w:szCs w:val="21"/>
                    </w:rPr>
                    <w:t>00m</w:t>
                  </w:r>
                  <w:r>
                    <w:rPr>
                      <w:rFonts w:hint="eastAsia" w:eastAsiaTheme="minorEastAsia"/>
                      <w:color w:val="auto"/>
                      <w:szCs w:val="21"/>
                      <w:vertAlign w:val="superscript"/>
                    </w:rPr>
                    <w:t>3</w:t>
                  </w:r>
                  <w:r>
                    <w:rPr>
                      <w:rFonts w:hint="eastAsia" w:eastAsiaTheme="minorEastAsia"/>
                      <w:color w:val="auto"/>
                      <w:szCs w:val="21"/>
                    </w:rPr>
                    <w:t>/h</w:t>
                  </w:r>
                </w:p>
              </w:tc>
              <w:tc>
                <w:tcPr>
                  <w:tcW w:w="467" w:type="pct"/>
                  <w:vAlign w:val="center"/>
                </w:tcPr>
                <w:p w14:paraId="31687505">
                  <w:pPr>
                    <w:jc w:val="center"/>
                    <w:rPr>
                      <w:rFonts w:hint="default" w:ascii="Times New Roman" w:hAnsi="Times New Roman" w:cs="Times New Roman" w:eastAsiaTheme="minorEastAsia"/>
                      <w:color w:val="auto"/>
                      <w:kern w:val="0"/>
                      <w:sz w:val="21"/>
                      <w:szCs w:val="21"/>
                      <w:lang w:val="en-US" w:eastAsia="zh-CN" w:bidi="ar-SA"/>
                    </w:rPr>
                  </w:pPr>
                  <w:r>
                    <w:rPr>
                      <w:rFonts w:hint="eastAsia" w:cs="Times New Roman" w:eastAsiaTheme="minorEastAsia"/>
                      <w:color w:val="auto"/>
                      <w:kern w:val="0"/>
                      <w:sz w:val="21"/>
                      <w:szCs w:val="21"/>
                      <w:lang w:val="en-US" w:eastAsia="zh-CN" w:bidi="ar-SA"/>
                    </w:rPr>
                    <w:t>15</w:t>
                  </w:r>
                </w:p>
              </w:tc>
              <w:tc>
                <w:tcPr>
                  <w:tcW w:w="467" w:type="pct"/>
                  <w:vAlign w:val="center"/>
                </w:tcPr>
                <w:p w14:paraId="7E321D88">
                  <w:pPr>
                    <w:jc w:val="center"/>
                    <w:rPr>
                      <w:rFonts w:hint="default" w:ascii="Times New Roman" w:hAnsi="Times New Roman" w:cs="Times New Roman" w:eastAsiaTheme="minorEastAsia"/>
                      <w:color w:val="auto"/>
                      <w:kern w:val="0"/>
                      <w:sz w:val="21"/>
                      <w:szCs w:val="21"/>
                      <w:lang w:val="en-US" w:eastAsia="zh-CN" w:bidi="ar-SA"/>
                    </w:rPr>
                  </w:pPr>
                  <w:r>
                    <w:rPr>
                      <w:rFonts w:hint="eastAsia" w:cs="Times New Roman" w:eastAsiaTheme="minorEastAsia"/>
                      <w:color w:val="auto"/>
                      <w:kern w:val="0"/>
                      <w:sz w:val="21"/>
                      <w:szCs w:val="21"/>
                      <w:lang w:val="en-US" w:eastAsia="zh-CN" w:bidi="ar-SA"/>
                    </w:rPr>
                    <w:t>38</w:t>
                  </w:r>
                </w:p>
              </w:tc>
              <w:tc>
                <w:tcPr>
                  <w:tcW w:w="476" w:type="pct"/>
                  <w:shd w:val="clear" w:color="auto" w:fill="auto"/>
                  <w:vAlign w:val="center"/>
                </w:tcPr>
                <w:p w14:paraId="6D5A13A3">
                  <w:pPr>
                    <w:jc w:val="center"/>
                    <w:rPr>
                      <w:rFonts w:hint="default" w:cs="Times New Roman" w:eastAsiaTheme="minorEastAsia"/>
                      <w:color w:val="auto"/>
                      <w:kern w:val="0"/>
                      <w:sz w:val="21"/>
                      <w:szCs w:val="21"/>
                      <w:lang w:val="en-US" w:eastAsia="zh-CN" w:bidi="ar-SA"/>
                    </w:rPr>
                  </w:pPr>
                  <w:r>
                    <w:rPr>
                      <w:rFonts w:hint="eastAsia" w:cs="Times New Roman" w:eastAsiaTheme="minorEastAsia"/>
                      <w:color w:val="auto"/>
                      <w:kern w:val="0"/>
                      <w:sz w:val="21"/>
                      <w:szCs w:val="21"/>
                      <w:lang w:val="en-US" w:eastAsia="zh-CN" w:bidi="ar-SA"/>
                    </w:rPr>
                    <w:t>0</w:t>
                  </w:r>
                </w:p>
              </w:tc>
              <w:tc>
                <w:tcPr>
                  <w:tcW w:w="626" w:type="pct"/>
                  <w:shd w:val="clear" w:color="auto" w:fill="auto"/>
                  <w:vAlign w:val="center"/>
                </w:tcPr>
                <w:p w14:paraId="76EA786F">
                  <w:pPr>
                    <w:jc w:val="center"/>
                    <w:rPr>
                      <w:rFonts w:hint="default" w:ascii="Times New Roman" w:hAnsi="Times New Roman" w:cs="Times New Roman" w:eastAsiaTheme="minorEastAsia"/>
                      <w:color w:val="auto"/>
                      <w:kern w:val="0"/>
                      <w:sz w:val="21"/>
                      <w:szCs w:val="21"/>
                      <w:lang w:val="en-US" w:eastAsia="zh-CN" w:bidi="ar-SA"/>
                    </w:rPr>
                  </w:pPr>
                  <w:r>
                    <w:rPr>
                      <w:rFonts w:hint="eastAsia" w:eastAsiaTheme="minorEastAsia"/>
                      <w:color w:val="auto"/>
                      <w:kern w:val="0"/>
                      <w:szCs w:val="21"/>
                      <w:lang w:val="en-US" w:eastAsia="zh-CN"/>
                    </w:rPr>
                    <w:t>80</w:t>
                  </w:r>
                </w:p>
              </w:tc>
              <w:tc>
                <w:tcPr>
                  <w:tcW w:w="658" w:type="pct"/>
                  <w:vAlign w:val="center"/>
                </w:tcPr>
                <w:p w14:paraId="65817AC7">
                  <w:pPr>
                    <w:jc w:val="center"/>
                    <w:rPr>
                      <w:rFonts w:eastAsiaTheme="minorEastAsia"/>
                      <w:color w:val="auto"/>
                      <w:kern w:val="0"/>
                      <w:szCs w:val="21"/>
                    </w:rPr>
                  </w:pPr>
                  <w:r>
                    <w:rPr>
                      <w:rFonts w:eastAsiaTheme="minorEastAsia"/>
                      <w:color w:val="auto"/>
                      <w:kern w:val="0"/>
                      <w:szCs w:val="21"/>
                    </w:rPr>
                    <w:t>合理布局+</w:t>
                  </w:r>
                </w:p>
                <w:p w14:paraId="3AB76EBA">
                  <w:pPr>
                    <w:jc w:val="center"/>
                    <w:rPr>
                      <w:rFonts w:ascii="Times New Roman" w:hAnsi="Times New Roman" w:cs="Times New Roman" w:eastAsiaTheme="minorEastAsia"/>
                      <w:color w:val="auto"/>
                      <w:kern w:val="0"/>
                      <w:sz w:val="21"/>
                      <w:szCs w:val="21"/>
                      <w:lang w:val="en-US" w:eastAsia="zh-CN" w:bidi="ar-SA"/>
                    </w:rPr>
                  </w:pPr>
                  <w:r>
                    <w:rPr>
                      <w:rFonts w:eastAsiaTheme="minorEastAsia"/>
                      <w:color w:val="auto"/>
                      <w:kern w:val="0"/>
                      <w:szCs w:val="21"/>
                    </w:rPr>
                    <w:t>消声、减振</w:t>
                  </w:r>
                </w:p>
              </w:tc>
              <w:tc>
                <w:tcPr>
                  <w:tcW w:w="636" w:type="pct"/>
                  <w:vAlign w:val="center"/>
                </w:tcPr>
                <w:p w14:paraId="6313CB2F">
                  <w:pPr>
                    <w:jc w:val="center"/>
                    <w:rPr>
                      <w:rFonts w:hint="eastAsia" w:ascii="Times New Roman" w:hAnsi="Times New Roman" w:cs="Times New Roman" w:eastAsiaTheme="minorEastAsia"/>
                      <w:color w:val="auto"/>
                      <w:kern w:val="0"/>
                      <w:sz w:val="21"/>
                      <w:szCs w:val="21"/>
                      <w:lang w:val="en-US" w:eastAsia="zh-CN" w:bidi="ar-SA"/>
                    </w:rPr>
                  </w:pPr>
                  <w:r>
                    <w:rPr>
                      <w:rFonts w:hint="eastAsia" w:cs="Times New Roman" w:eastAsiaTheme="minorEastAsia"/>
                      <w:color w:val="auto"/>
                      <w:kern w:val="0"/>
                      <w:sz w:val="21"/>
                      <w:szCs w:val="21"/>
                      <w:lang w:val="en-US" w:eastAsia="zh-CN" w:bidi="ar-SA"/>
                    </w:rPr>
                    <w:t>8：00-16：00</w:t>
                  </w:r>
                </w:p>
              </w:tc>
            </w:tr>
          </w:tbl>
          <w:p w14:paraId="6AB59117">
            <w:pPr>
              <w:pStyle w:val="2"/>
              <w:ind w:left="0" w:leftChars="0" w:firstLine="360" w:firstLineChars="200"/>
              <w:rPr>
                <w:rFonts w:eastAsiaTheme="minorEastAsia"/>
                <w:b w:val="0"/>
                <w:bCs/>
                <w:color w:val="auto"/>
                <w:sz w:val="18"/>
                <w:szCs w:val="18"/>
              </w:rPr>
            </w:pPr>
            <w:r>
              <w:rPr>
                <w:rFonts w:hint="eastAsia" w:eastAsiaTheme="minorEastAsia"/>
                <w:b w:val="0"/>
                <w:bCs/>
                <w:color w:val="auto"/>
                <w:sz w:val="18"/>
                <w:szCs w:val="18"/>
              </w:rPr>
              <w:t>*注：空间相对坐标以</w:t>
            </w:r>
            <w:r>
              <w:rPr>
                <w:rFonts w:hint="eastAsia" w:eastAsiaTheme="minorEastAsia"/>
                <w:b w:val="0"/>
                <w:bCs/>
                <w:color w:val="auto"/>
                <w:sz w:val="18"/>
                <w:szCs w:val="18"/>
                <w:lang w:val="en-US" w:eastAsia="zh-CN"/>
              </w:rPr>
              <w:t>设备所在车间的</w:t>
            </w:r>
            <w:r>
              <w:rPr>
                <w:rFonts w:hint="eastAsia" w:eastAsiaTheme="minorEastAsia"/>
                <w:b w:val="0"/>
                <w:bCs/>
                <w:color w:val="auto"/>
                <w:sz w:val="18"/>
                <w:szCs w:val="18"/>
              </w:rPr>
              <w:t>西南角为原点（0</w:t>
            </w:r>
            <w:r>
              <w:rPr>
                <w:rFonts w:hint="eastAsia" w:eastAsiaTheme="minorEastAsia"/>
                <w:b w:val="0"/>
                <w:bCs/>
                <w:color w:val="auto"/>
                <w:sz w:val="18"/>
                <w:szCs w:val="18"/>
                <w:lang w:eastAsia="zh-CN"/>
              </w:rPr>
              <w:t>，</w:t>
            </w:r>
            <w:r>
              <w:rPr>
                <w:rFonts w:hint="eastAsia" w:eastAsiaTheme="minorEastAsia"/>
                <w:b w:val="0"/>
                <w:bCs/>
                <w:color w:val="auto"/>
                <w:sz w:val="18"/>
                <w:szCs w:val="18"/>
              </w:rPr>
              <w:t>0</w:t>
            </w:r>
            <w:r>
              <w:rPr>
                <w:rFonts w:hint="eastAsia" w:eastAsiaTheme="minorEastAsia"/>
                <w:b w:val="0"/>
                <w:bCs/>
                <w:color w:val="auto"/>
                <w:sz w:val="18"/>
                <w:szCs w:val="18"/>
                <w:lang w:eastAsia="zh-CN"/>
              </w:rPr>
              <w:t>，</w:t>
            </w:r>
            <w:r>
              <w:rPr>
                <w:rFonts w:hint="eastAsia" w:eastAsiaTheme="minorEastAsia"/>
                <w:b w:val="0"/>
                <w:bCs/>
                <w:color w:val="auto"/>
                <w:sz w:val="18"/>
                <w:szCs w:val="18"/>
              </w:rPr>
              <w:t>0）</w:t>
            </w:r>
          </w:p>
          <w:p w14:paraId="26B02981">
            <w:pPr>
              <w:pStyle w:val="2"/>
              <w:rPr>
                <w:rFonts w:hint="eastAsia" w:ascii="Times New Roman" w:hAnsi="Times New Roman" w:cs="Times New Roman" w:eastAsiaTheme="minorEastAsia"/>
                <w:bCs/>
                <w:color w:val="FF0000"/>
                <w:sz w:val="24"/>
                <w:szCs w:val="24"/>
                <w:lang w:val="en-US" w:eastAsia="zh-CN"/>
              </w:rPr>
            </w:pPr>
          </w:p>
          <w:p w14:paraId="40BB4341">
            <w:pPr>
              <w:rPr>
                <w:rFonts w:hint="eastAsia"/>
                <w:color w:val="FF0000"/>
                <w:lang w:val="en-US" w:eastAsia="zh-CN"/>
              </w:rPr>
            </w:pPr>
          </w:p>
          <w:p w14:paraId="37DB83BD">
            <w:pPr>
              <w:spacing w:line="360" w:lineRule="auto"/>
              <w:ind w:firstLine="480" w:firstLineChars="200"/>
              <w:rPr>
                <w:rFonts w:hint="eastAsia" w:ascii="Times New Roman" w:hAnsi="Times New Roman" w:cs="Times New Roman" w:eastAsiaTheme="minorEastAsia"/>
                <w:bCs/>
                <w:color w:val="FF0000"/>
                <w:sz w:val="24"/>
                <w:szCs w:val="24"/>
                <w:lang w:val="en-US" w:eastAsia="zh-CN"/>
              </w:rPr>
            </w:pPr>
          </w:p>
          <w:p w14:paraId="5A6868E1">
            <w:pPr>
              <w:pStyle w:val="45"/>
              <w:rPr>
                <w:rFonts w:hint="eastAsia" w:ascii="Times New Roman" w:hAnsi="Times New Roman" w:cs="Times New Roman" w:eastAsiaTheme="minorEastAsia"/>
                <w:bCs/>
                <w:color w:val="FF0000"/>
                <w:sz w:val="24"/>
                <w:szCs w:val="24"/>
                <w:lang w:val="en-US" w:eastAsia="zh-CN"/>
              </w:rPr>
            </w:pPr>
          </w:p>
          <w:p w14:paraId="06C15930">
            <w:pPr>
              <w:pStyle w:val="45"/>
              <w:rPr>
                <w:rFonts w:hint="eastAsia" w:ascii="Times New Roman" w:hAnsi="Times New Roman" w:cs="Times New Roman" w:eastAsiaTheme="minorEastAsia"/>
                <w:bCs/>
                <w:color w:val="FF0000"/>
                <w:sz w:val="24"/>
                <w:szCs w:val="24"/>
                <w:lang w:val="en-US" w:eastAsia="zh-CN"/>
              </w:rPr>
            </w:pPr>
          </w:p>
          <w:p w14:paraId="71D30946">
            <w:pPr>
              <w:pStyle w:val="45"/>
              <w:rPr>
                <w:rFonts w:hint="eastAsia" w:ascii="Times New Roman" w:hAnsi="Times New Roman" w:cs="Times New Roman" w:eastAsiaTheme="minorEastAsia"/>
                <w:bCs/>
                <w:color w:val="FF0000"/>
                <w:sz w:val="24"/>
                <w:szCs w:val="24"/>
                <w:lang w:val="en-US" w:eastAsia="zh-CN"/>
              </w:rPr>
            </w:pPr>
          </w:p>
          <w:p w14:paraId="5B0089D5">
            <w:pPr>
              <w:pStyle w:val="45"/>
              <w:rPr>
                <w:rFonts w:hint="eastAsia" w:ascii="Times New Roman" w:hAnsi="Times New Roman" w:cs="Times New Roman" w:eastAsiaTheme="minorEastAsia"/>
                <w:bCs/>
                <w:color w:val="FF0000"/>
                <w:sz w:val="24"/>
                <w:szCs w:val="24"/>
                <w:lang w:val="en-US" w:eastAsia="zh-CN"/>
              </w:rPr>
            </w:pPr>
          </w:p>
          <w:p w14:paraId="1572AC99">
            <w:pPr>
              <w:pStyle w:val="45"/>
              <w:rPr>
                <w:rFonts w:hint="eastAsia" w:ascii="Times New Roman" w:hAnsi="Times New Roman" w:cs="Times New Roman" w:eastAsiaTheme="minorEastAsia"/>
                <w:bCs/>
                <w:color w:val="FF0000"/>
                <w:sz w:val="24"/>
                <w:szCs w:val="24"/>
                <w:lang w:val="en-US" w:eastAsia="zh-CN"/>
              </w:rPr>
            </w:pPr>
          </w:p>
          <w:p w14:paraId="77E6E8DF">
            <w:pPr>
              <w:pStyle w:val="45"/>
              <w:rPr>
                <w:rFonts w:hint="eastAsia" w:ascii="Times New Roman" w:hAnsi="Times New Roman" w:cs="Times New Roman" w:eastAsiaTheme="minorEastAsia"/>
                <w:bCs/>
                <w:color w:val="FF0000"/>
                <w:sz w:val="24"/>
                <w:szCs w:val="24"/>
                <w:lang w:val="en-US" w:eastAsia="zh-CN"/>
              </w:rPr>
            </w:pPr>
          </w:p>
          <w:p w14:paraId="4505B71D">
            <w:pPr>
              <w:pStyle w:val="45"/>
              <w:rPr>
                <w:rFonts w:hint="eastAsia" w:ascii="Times New Roman" w:hAnsi="Times New Roman" w:cs="Times New Roman" w:eastAsiaTheme="minorEastAsia"/>
                <w:bCs/>
                <w:color w:val="FF0000"/>
                <w:sz w:val="24"/>
                <w:szCs w:val="24"/>
                <w:lang w:val="en-US" w:eastAsia="zh-CN"/>
              </w:rPr>
            </w:pPr>
          </w:p>
          <w:p w14:paraId="28FDF83D">
            <w:pPr>
              <w:pStyle w:val="45"/>
              <w:rPr>
                <w:rFonts w:hint="eastAsia" w:ascii="Times New Roman" w:hAnsi="Times New Roman" w:cs="Times New Roman" w:eastAsiaTheme="minorEastAsia"/>
                <w:bCs/>
                <w:color w:val="FF0000"/>
                <w:sz w:val="24"/>
                <w:szCs w:val="24"/>
                <w:lang w:val="en-US" w:eastAsia="zh-CN"/>
              </w:rPr>
            </w:pPr>
          </w:p>
          <w:p w14:paraId="64D07C0F">
            <w:pPr>
              <w:pStyle w:val="45"/>
              <w:rPr>
                <w:rFonts w:hint="eastAsia" w:ascii="Times New Roman" w:hAnsi="Times New Roman" w:cs="Times New Roman" w:eastAsiaTheme="minorEastAsia"/>
                <w:bCs/>
                <w:color w:val="FF0000"/>
                <w:sz w:val="24"/>
                <w:szCs w:val="24"/>
                <w:lang w:val="en-US" w:eastAsia="zh-CN"/>
              </w:rPr>
            </w:pPr>
          </w:p>
          <w:p w14:paraId="078F3757">
            <w:pPr>
              <w:pStyle w:val="45"/>
              <w:rPr>
                <w:rFonts w:hint="eastAsia" w:ascii="Times New Roman" w:hAnsi="Times New Roman" w:cs="Times New Roman" w:eastAsiaTheme="minorEastAsia"/>
                <w:bCs/>
                <w:color w:val="FF0000"/>
                <w:sz w:val="24"/>
                <w:szCs w:val="24"/>
                <w:lang w:val="en-US" w:eastAsia="zh-CN"/>
              </w:rPr>
            </w:pPr>
          </w:p>
          <w:p w14:paraId="70939501">
            <w:pPr>
              <w:pStyle w:val="45"/>
              <w:rPr>
                <w:rFonts w:hint="eastAsia" w:ascii="Times New Roman" w:hAnsi="Times New Roman" w:cs="Times New Roman" w:eastAsiaTheme="minorEastAsia"/>
                <w:bCs/>
                <w:color w:val="FF0000"/>
                <w:sz w:val="24"/>
                <w:szCs w:val="24"/>
                <w:lang w:val="en-US" w:eastAsia="zh-CN"/>
              </w:rPr>
            </w:pPr>
          </w:p>
          <w:p w14:paraId="673255A3">
            <w:pPr>
              <w:pStyle w:val="45"/>
              <w:rPr>
                <w:rFonts w:hint="eastAsia" w:ascii="Times New Roman" w:hAnsi="Times New Roman" w:cs="Times New Roman" w:eastAsiaTheme="minorEastAsia"/>
                <w:bCs/>
                <w:color w:val="FF0000"/>
                <w:sz w:val="24"/>
                <w:szCs w:val="24"/>
                <w:lang w:val="en-US" w:eastAsia="zh-CN"/>
              </w:rPr>
            </w:pPr>
          </w:p>
          <w:p w14:paraId="61E36525">
            <w:pPr>
              <w:pStyle w:val="45"/>
              <w:rPr>
                <w:rFonts w:hint="eastAsia" w:ascii="Times New Roman" w:hAnsi="Times New Roman" w:cs="Times New Roman" w:eastAsiaTheme="minorEastAsia"/>
                <w:bCs/>
                <w:color w:val="FF0000"/>
                <w:sz w:val="24"/>
                <w:szCs w:val="24"/>
                <w:lang w:val="en-US" w:eastAsia="zh-CN"/>
              </w:rPr>
            </w:pPr>
          </w:p>
          <w:p w14:paraId="261F7B06">
            <w:pPr>
              <w:pStyle w:val="45"/>
              <w:rPr>
                <w:rFonts w:hint="eastAsia" w:ascii="Times New Roman" w:hAnsi="Times New Roman" w:cs="Times New Roman" w:eastAsiaTheme="minorEastAsia"/>
                <w:bCs/>
                <w:color w:val="FF0000"/>
                <w:sz w:val="24"/>
                <w:szCs w:val="24"/>
                <w:lang w:val="en-US" w:eastAsia="zh-CN"/>
              </w:rPr>
            </w:pPr>
          </w:p>
          <w:p w14:paraId="16884154">
            <w:pPr>
              <w:pStyle w:val="45"/>
              <w:rPr>
                <w:rFonts w:hint="eastAsia" w:ascii="Times New Roman" w:hAnsi="Times New Roman" w:cs="Times New Roman" w:eastAsiaTheme="minorEastAsia"/>
                <w:bCs/>
                <w:color w:val="FF0000"/>
                <w:sz w:val="24"/>
                <w:szCs w:val="24"/>
                <w:lang w:val="en-US" w:eastAsia="zh-CN"/>
              </w:rPr>
            </w:pPr>
          </w:p>
          <w:p w14:paraId="5DAD5D6C">
            <w:pPr>
              <w:pStyle w:val="45"/>
              <w:rPr>
                <w:rFonts w:hint="eastAsia" w:ascii="Times New Roman" w:hAnsi="Times New Roman" w:cs="Times New Roman" w:eastAsiaTheme="minorEastAsia"/>
                <w:bCs/>
                <w:color w:val="FF0000"/>
                <w:sz w:val="24"/>
                <w:szCs w:val="24"/>
                <w:lang w:val="en-US" w:eastAsia="zh-CN"/>
              </w:rPr>
            </w:pPr>
          </w:p>
          <w:p w14:paraId="782BAF2D">
            <w:pPr>
              <w:pStyle w:val="45"/>
              <w:rPr>
                <w:rFonts w:hint="eastAsia" w:ascii="Times New Roman" w:hAnsi="Times New Roman" w:cs="Times New Roman" w:eastAsiaTheme="minorEastAsia"/>
                <w:bCs/>
                <w:color w:val="FF0000"/>
                <w:sz w:val="24"/>
                <w:szCs w:val="24"/>
                <w:lang w:val="en-US" w:eastAsia="zh-CN"/>
              </w:rPr>
            </w:pPr>
          </w:p>
          <w:p w14:paraId="7F8D6E26">
            <w:pPr>
              <w:pStyle w:val="45"/>
              <w:rPr>
                <w:rFonts w:hint="eastAsia" w:ascii="Times New Roman" w:hAnsi="Times New Roman" w:cs="Times New Roman" w:eastAsiaTheme="minorEastAsia"/>
                <w:bCs/>
                <w:color w:val="FF0000"/>
                <w:sz w:val="24"/>
                <w:szCs w:val="24"/>
                <w:lang w:val="en-US" w:eastAsia="zh-CN"/>
              </w:rPr>
            </w:pPr>
          </w:p>
          <w:p w14:paraId="7152D079">
            <w:pPr>
              <w:pStyle w:val="45"/>
              <w:rPr>
                <w:rFonts w:hint="eastAsia" w:ascii="Times New Roman" w:hAnsi="Times New Roman" w:cs="Times New Roman" w:eastAsiaTheme="minorEastAsia"/>
                <w:bCs/>
                <w:color w:val="FF0000"/>
                <w:sz w:val="24"/>
                <w:szCs w:val="24"/>
                <w:lang w:val="en-US" w:eastAsia="zh-CN"/>
              </w:rPr>
            </w:pPr>
          </w:p>
          <w:p w14:paraId="109B75A1">
            <w:pPr>
              <w:pStyle w:val="45"/>
              <w:rPr>
                <w:rFonts w:hint="eastAsia" w:ascii="Times New Roman" w:hAnsi="Times New Roman" w:cs="Times New Roman" w:eastAsiaTheme="minorEastAsia"/>
                <w:bCs/>
                <w:color w:val="FF0000"/>
                <w:sz w:val="24"/>
                <w:szCs w:val="24"/>
                <w:lang w:val="en-US" w:eastAsia="zh-CN"/>
              </w:rPr>
            </w:pPr>
          </w:p>
          <w:p w14:paraId="1B752A39">
            <w:pPr>
              <w:pStyle w:val="45"/>
              <w:rPr>
                <w:rFonts w:hint="eastAsia" w:ascii="Times New Roman" w:hAnsi="Times New Roman" w:cs="Times New Roman" w:eastAsiaTheme="minorEastAsia"/>
                <w:bCs/>
                <w:color w:val="FF0000"/>
                <w:sz w:val="24"/>
                <w:szCs w:val="24"/>
                <w:lang w:val="en-US" w:eastAsia="zh-CN"/>
              </w:rPr>
            </w:pPr>
          </w:p>
          <w:p w14:paraId="20DEEA4E">
            <w:pPr>
              <w:pStyle w:val="45"/>
              <w:rPr>
                <w:rFonts w:hint="eastAsia" w:ascii="Times New Roman" w:hAnsi="Times New Roman" w:cs="Times New Roman" w:eastAsiaTheme="minorEastAsia"/>
                <w:bCs/>
                <w:color w:val="FF0000"/>
                <w:sz w:val="24"/>
                <w:szCs w:val="24"/>
                <w:lang w:val="en-US" w:eastAsia="zh-CN"/>
              </w:rPr>
            </w:pPr>
          </w:p>
          <w:p w14:paraId="6E12E551">
            <w:pPr>
              <w:pStyle w:val="45"/>
              <w:rPr>
                <w:rFonts w:hint="eastAsia" w:ascii="Times New Roman" w:hAnsi="Times New Roman" w:cs="Times New Roman" w:eastAsiaTheme="minorEastAsia"/>
                <w:bCs/>
                <w:color w:val="FF0000"/>
                <w:sz w:val="24"/>
                <w:szCs w:val="24"/>
                <w:lang w:val="en-US" w:eastAsia="zh-CN"/>
              </w:rPr>
            </w:pPr>
          </w:p>
          <w:p w14:paraId="7809EB6B">
            <w:pPr>
              <w:pStyle w:val="45"/>
              <w:rPr>
                <w:rFonts w:hint="eastAsia" w:ascii="Times New Roman" w:hAnsi="Times New Roman" w:cs="Times New Roman" w:eastAsiaTheme="minorEastAsia"/>
                <w:bCs/>
                <w:color w:val="FF0000"/>
                <w:sz w:val="24"/>
                <w:szCs w:val="24"/>
                <w:lang w:val="en-US" w:eastAsia="zh-CN"/>
              </w:rPr>
            </w:pPr>
          </w:p>
          <w:p w14:paraId="687C9064">
            <w:pPr>
              <w:pStyle w:val="45"/>
              <w:rPr>
                <w:rFonts w:hint="eastAsia" w:ascii="Times New Roman" w:hAnsi="Times New Roman" w:cs="Times New Roman" w:eastAsiaTheme="minorEastAsia"/>
                <w:bCs/>
                <w:color w:val="FF0000"/>
                <w:sz w:val="24"/>
                <w:szCs w:val="24"/>
                <w:lang w:val="en-US" w:eastAsia="zh-CN"/>
              </w:rPr>
            </w:pPr>
          </w:p>
          <w:p w14:paraId="42A91D4C">
            <w:pPr>
              <w:pStyle w:val="45"/>
              <w:rPr>
                <w:rFonts w:hint="eastAsia" w:ascii="Times New Roman" w:hAnsi="Times New Roman" w:cs="Times New Roman" w:eastAsiaTheme="minorEastAsia"/>
                <w:bCs/>
                <w:color w:val="FF0000"/>
                <w:sz w:val="24"/>
                <w:szCs w:val="24"/>
                <w:lang w:val="en-US" w:eastAsia="zh-CN"/>
              </w:rPr>
            </w:pPr>
          </w:p>
          <w:p w14:paraId="5CCA80B4">
            <w:pPr>
              <w:pStyle w:val="2"/>
              <w:ind w:firstLine="210"/>
              <w:rPr>
                <w:color w:val="FF0000"/>
              </w:rPr>
            </w:pPr>
          </w:p>
          <w:p w14:paraId="64F1226B">
            <w:pPr>
              <w:rPr>
                <w:color w:val="FF0000"/>
              </w:rPr>
            </w:pPr>
          </w:p>
        </w:tc>
      </w:tr>
    </w:tbl>
    <w:p w14:paraId="632CE945">
      <w:pPr>
        <w:tabs>
          <w:tab w:val="left" w:pos="1144"/>
        </w:tabs>
        <w:spacing w:line="360" w:lineRule="auto"/>
        <w:ind w:right="6"/>
        <w:jc w:val="center"/>
        <w:rPr>
          <w:rFonts w:hint="eastAsia"/>
          <w:b/>
          <w:bCs/>
          <w:color w:val="auto"/>
          <w:sz w:val="24"/>
          <w:szCs w:val="24"/>
        </w:rPr>
        <w:sectPr>
          <w:pgSz w:w="11905" w:h="16838"/>
          <w:pgMar w:top="1276" w:right="1803" w:bottom="1712" w:left="1803" w:header="850" w:footer="992" w:gutter="0"/>
          <w:pgBorders>
            <w:top w:val="none" w:sz="0" w:space="0"/>
            <w:left w:val="none" w:sz="0" w:space="0"/>
            <w:bottom w:val="none" w:sz="0" w:space="0"/>
            <w:right w:val="none" w:sz="0" w:space="0"/>
          </w:pgBorders>
          <w:pgNumType w:fmt="decimal"/>
          <w:cols w:space="0" w:num="1"/>
          <w:docGrid w:type="lines" w:linePitch="319" w:charSpace="0"/>
        </w:sect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6"/>
      </w:tblGrid>
      <w:tr w14:paraId="112C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6" w:type="dxa"/>
          </w:tcPr>
          <w:p w14:paraId="0026AF29">
            <w:pPr>
              <w:tabs>
                <w:tab w:val="left" w:pos="1144"/>
              </w:tabs>
              <w:spacing w:line="360" w:lineRule="auto"/>
              <w:ind w:right="6"/>
              <w:jc w:val="center"/>
              <w:rPr>
                <w:rFonts w:hint="eastAsia"/>
                <w:b/>
                <w:bCs/>
                <w:color w:val="auto"/>
                <w:sz w:val="24"/>
                <w:szCs w:val="24"/>
              </w:rPr>
            </w:pPr>
            <w:r>
              <w:rPr>
                <w:rFonts w:hint="eastAsia"/>
                <w:b/>
                <w:bCs/>
                <w:color w:val="auto"/>
                <w:sz w:val="24"/>
                <w:szCs w:val="24"/>
              </w:rPr>
              <w:t>表4</w:t>
            </w:r>
            <w:r>
              <w:rPr>
                <w:rFonts w:hint="eastAsia"/>
                <w:b/>
                <w:bCs/>
                <w:color w:val="auto"/>
                <w:sz w:val="24"/>
                <w:szCs w:val="24"/>
                <w:lang w:val="en-US" w:eastAsia="zh-CN"/>
              </w:rPr>
              <w:t>-16</w:t>
            </w:r>
            <w:r>
              <w:rPr>
                <w:rFonts w:hint="eastAsia"/>
                <w:b/>
                <w:bCs/>
                <w:color w:val="auto"/>
                <w:sz w:val="24"/>
                <w:szCs w:val="24"/>
              </w:rPr>
              <w:t>工业企业噪声源强调查清单（室内声源）</w:t>
            </w:r>
          </w:p>
          <w:tbl>
            <w:tblPr>
              <w:tblStyle w:val="35"/>
              <w:tblW w:w="501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40"/>
              <w:gridCol w:w="1165"/>
              <w:gridCol w:w="1728"/>
              <w:gridCol w:w="1251"/>
              <w:gridCol w:w="1146"/>
              <w:gridCol w:w="1326"/>
              <w:gridCol w:w="644"/>
              <w:gridCol w:w="646"/>
              <w:gridCol w:w="655"/>
              <w:gridCol w:w="699"/>
              <w:gridCol w:w="766"/>
              <w:gridCol w:w="1024"/>
              <w:gridCol w:w="818"/>
              <w:gridCol w:w="818"/>
              <w:gridCol w:w="827"/>
            </w:tblGrid>
            <w:tr w14:paraId="00CF30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06" w:hRule="atLeast"/>
                <w:jc w:val="center"/>
              </w:trPr>
              <w:tc>
                <w:tcPr>
                  <w:tcW w:w="123" w:type="pct"/>
                  <w:vMerge w:val="restart"/>
                  <w:vAlign w:val="center"/>
                </w:tcPr>
                <w:p w14:paraId="065FCA73">
                  <w:pPr>
                    <w:widowControl/>
                    <w:jc w:val="center"/>
                    <w:rPr>
                      <w:rFonts w:eastAsiaTheme="minorEastAsia"/>
                      <w:b/>
                      <w:color w:val="auto"/>
                      <w:kern w:val="0"/>
                      <w:szCs w:val="21"/>
                    </w:rPr>
                  </w:pPr>
                  <w:r>
                    <w:rPr>
                      <w:rFonts w:eastAsiaTheme="minorEastAsia"/>
                      <w:b/>
                      <w:color w:val="auto"/>
                      <w:kern w:val="0"/>
                      <w:szCs w:val="21"/>
                    </w:rPr>
                    <w:t>序号</w:t>
                  </w:r>
                </w:p>
              </w:tc>
              <w:tc>
                <w:tcPr>
                  <w:tcW w:w="420" w:type="pct"/>
                  <w:vMerge w:val="restart"/>
                  <w:vAlign w:val="center"/>
                </w:tcPr>
                <w:p w14:paraId="1EE23745">
                  <w:pPr>
                    <w:widowControl/>
                    <w:jc w:val="center"/>
                    <w:rPr>
                      <w:rFonts w:eastAsiaTheme="minorEastAsia"/>
                      <w:b/>
                      <w:color w:val="auto"/>
                      <w:kern w:val="0"/>
                      <w:szCs w:val="21"/>
                    </w:rPr>
                  </w:pPr>
                  <w:r>
                    <w:rPr>
                      <w:rFonts w:hint="eastAsia" w:eastAsiaTheme="minorEastAsia"/>
                      <w:b/>
                      <w:color w:val="auto"/>
                      <w:kern w:val="0"/>
                      <w:szCs w:val="21"/>
                    </w:rPr>
                    <w:t>建筑物名称</w:t>
                  </w:r>
                </w:p>
              </w:tc>
              <w:tc>
                <w:tcPr>
                  <w:tcW w:w="623" w:type="pct"/>
                  <w:vMerge w:val="restart"/>
                  <w:vAlign w:val="center"/>
                </w:tcPr>
                <w:p w14:paraId="7BB52168">
                  <w:pPr>
                    <w:widowControl/>
                    <w:jc w:val="center"/>
                    <w:rPr>
                      <w:rFonts w:eastAsiaTheme="minorEastAsia"/>
                      <w:b/>
                      <w:color w:val="auto"/>
                      <w:kern w:val="0"/>
                      <w:szCs w:val="21"/>
                    </w:rPr>
                  </w:pPr>
                  <w:r>
                    <w:rPr>
                      <w:rFonts w:hint="eastAsia" w:eastAsiaTheme="minorEastAsia"/>
                      <w:b/>
                      <w:color w:val="auto"/>
                      <w:kern w:val="0"/>
                      <w:szCs w:val="21"/>
                    </w:rPr>
                    <w:t>声源</w:t>
                  </w:r>
                  <w:r>
                    <w:rPr>
                      <w:rFonts w:eastAsiaTheme="minorEastAsia"/>
                      <w:b/>
                      <w:color w:val="auto"/>
                      <w:kern w:val="0"/>
                      <w:szCs w:val="21"/>
                    </w:rPr>
                    <w:t>名称</w:t>
                  </w:r>
                </w:p>
              </w:tc>
              <w:tc>
                <w:tcPr>
                  <w:tcW w:w="451" w:type="pct"/>
                  <w:vMerge w:val="restart"/>
                  <w:vAlign w:val="center"/>
                </w:tcPr>
                <w:p w14:paraId="20BA578C">
                  <w:pPr>
                    <w:widowControl/>
                    <w:jc w:val="center"/>
                    <w:rPr>
                      <w:rFonts w:eastAsiaTheme="minorEastAsia"/>
                      <w:b/>
                      <w:color w:val="auto"/>
                      <w:kern w:val="0"/>
                      <w:szCs w:val="21"/>
                    </w:rPr>
                  </w:pPr>
                  <w:r>
                    <w:rPr>
                      <w:rFonts w:hint="eastAsia" w:eastAsiaTheme="minorEastAsia"/>
                      <w:b/>
                      <w:color w:val="auto"/>
                      <w:kern w:val="0"/>
                      <w:szCs w:val="21"/>
                    </w:rPr>
                    <w:t>型号</w:t>
                  </w:r>
                </w:p>
              </w:tc>
              <w:tc>
                <w:tcPr>
                  <w:tcW w:w="413" w:type="pct"/>
                  <w:vAlign w:val="center"/>
                </w:tcPr>
                <w:p w14:paraId="258ACD43">
                  <w:pPr>
                    <w:widowControl/>
                    <w:jc w:val="center"/>
                    <w:rPr>
                      <w:rFonts w:eastAsiaTheme="minorEastAsia"/>
                      <w:b/>
                      <w:color w:val="auto"/>
                      <w:kern w:val="0"/>
                      <w:szCs w:val="21"/>
                    </w:rPr>
                  </w:pPr>
                  <w:r>
                    <w:rPr>
                      <w:rFonts w:hint="eastAsia" w:eastAsiaTheme="minorEastAsia"/>
                      <w:b/>
                      <w:color w:val="auto"/>
                      <w:kern w:val="0"/>
                      <w:szCs w:val="21"/>
                    </w:rPr>
                    <w:t>声源源强</w:t>
                  </w:r>
                </w:p>
              </w:tc>
              <w:tc>
                <w:tcPr>
                  <w:tcW w:w="478" w:type="pct"/>
                  <w:vMerge w:val="restart"/>
                  <w:vAlign w:val="center"/>
                </w:tcPr>
                <w:p w14:paraId="6CD8E7F3">
                  <w:pPr>
                    <w:jc w:val="center"/>
                    <w:rPr>
                      <w:rFonts w:eastAsiaTheme="minorEastAsia"/>
                      <w:b/>
                      <w:color w:val="auto"/>
                      <w:kern w:val="0"/>
                      <w:szCs w:val="21"/>
                    </w:rPr>
                  </w:pPr>
                  <w:r>
                    <w:rPr>
                      <w:rFonts w:hint="eastAsia" w:eastAsiaTheme="minorEastAsia"/>
                      <w:b/>
                      <w:color w:val="auto"/>
                      <w:kern w:val="0"/>
                      <w:szCs w:val="21"/>
                    </w:rPr>
                    <w:t>声源控制措施</w:t>
                  </w:r>
                </w:p>
              </w:tc>
              <w:tc>
                <w:tcPr>
                  <w:tcW w:w="701" w:type="pct"/>
                  <w:gridSpan w:val="3"/>
                  <w:vAlign w:val="center"/>
                </w:tcPr>
                <w:p w14:paraId="21870258">
                  <w:pPr>
                    <w:widowControl/>
                    <w:jc w:val="center"/>
                    <w:rPr>
                      <w:rFonts w:eastAsiaTheme="minorEastAsia"/>
                      <w:b/>
                      <w:color w:val="auto"/>
                      <w:kern w:val="0"/>
                      <w:szCs w:val="21"/>
                    </w:rPr>
                  </w:pPr>
                  <w:r>
                    <w:rPr>
                      <w:rFonts w:hint="eastAsia" w:eastAsiaTheme="minorEastAsia"/>
                      <w:b/>
                      <w:color w:val="auto"/>
                      <w:kern w:val="0"/>
                      <w:szCs w:val="21"/>
                    </w:rPr>
                    <w:t>*空间相对位置/m</w:t>
                  </w:r>
                </w:p>
              </w:tc>
              <w:tc>
                <w:tcPr>
                  <w:tcW w:w="252" w:type="pct"/>
                  <w:vMerge w:val="restart"/>
                  <w:vAlign w:val="center"/>
                </w:tcPr>
                <w:p w14:paraId="283026EF">
                  <w:pPr>
                    <w:widowControl/>
                    <w:jc w:val="center"/>
                    <w:rPr>
                      <w:rFonts w:eastAsiaTheme="minorEastAsia"/>
                      <w:b/>
                      <w:color w:val="auto"/>
                      <w:kern w:val="0"/>
                      <w:szCs w:val="21"/>
                    </w:rPr>
                  </w:pPr>
                  <w:r>
                    <w:rPr>
                      <w:rFonts w:hint="eastAsia" w:eastAsiaTheme="minorEastAsia"/>
                      <w:b/>
                      <w:color w:val="auto"/>
                      <w:kern w:val="0"/>
                      <w:szCs w:val="21"/>
                    </w:rPr>
                    <w:t>距室内边界距离/m</w:t>
                  </w:r>
                </w:p>
              </w:tc>
              <w:tc>
                <w:tcPr>
                  <w:tcW w:w="276" w:type="pct"/>
                  <w:vMerge w:val="restart"/>
                  <w:vAlign w:val="center"/>
                </w:tcPr>
                <w:p w14:paraId="6F9B124A">
                  <w:pPr>
                    <w:jc w:val="center"/>
                    <w:rPr>
                      <w:rFonts w:hint="eastAsia" w:eastAsiaTheme="minorEastAsia"/>
                      <w:b/>
                      <w:color w:val="auto"/>
                      <w:kern w:val="0"/>
                      <w:szCs w:val="21"/>
                      <w:lang w:eastAsia="zh-CN"/>
                    </w:rPr>
                  </w:pPr>
                  <w:r>
                    <w:rPr>
                      <w:rFonts w:hint="eastAsia" w:eastAsiaTheme="minorEastAsia"/>
                      <w:b/>
                      <w:color w:val="auto"/>
                      <w:kern w:val="0"/>
                      <w:szCs w:val="21"/>
                    </w:rPr>
                    <w:t>室内边界声级/dB</w:t>
                  </w:r>
                  <w:r>
                    <w:rPr>
                      <w:rFonts w:hint="eastAsia" w:eastAsiaTheme="minorEastAsia"/>
                      <w:b/>
                      <w:color w:val="auto"/>
                      <w:kern w:val="0"/>
                      <w:szCs w:val="21"/>
                      <w:lang w:eastAsia="zh-CN"/>
                    </w:rPr>
                    <w:t>（</w:t>
                  </w:r>
                  <w:r>
                    <w:rPr>
                      <w:rFonts w:hint="eastAsia" w:eastAsiaTheme="minorEastAsia"/>
                      <w:b/>
                      <w:color w:val="auto"/>
                      <w:kern w:val="0"/>
                      <w:szCs w:val="21"/>
                    </w:rPr>
                    <w:t>A</w:t>
                  </w:r>
                  <w:r>
                    <w:rPr>
                      <w:rFonts w:hint="eastAsia" w:eastAsiaTheme="minorEastAsia"/>
                      <w:b/>
                      <w:color w:val="auto"/>
                      <w:kern w:val="0"/>
                      <w:szCs w:val="21"/>
                      <w:lang w:eastAsia="zh-CN"/>
                    </w:rPr>
                    <w:t>）</w:t>
                  </w:r>
                </w:p>
              </w:tc>
              <w:tc>
                <w:tcPr>
                  <w:tcW w:w="369" w:type="pct"/>
                  <w:vMerge w:val="restart"/>
                  <w:vAlign w:val="center"/>
                </w:tcPr>
                <w:p w14:paraId="6CAB4A3B">
                  <w:pPr>
                    <w:widowControl/>
                    <w:jc w:val="center"/>
                    <w:rPr>
                      <w:rFonts w:eastAsiaTheme="minorEastAsia"/>
                      <w:b/>
                      <w:color w:val="auto"/>
                      <w:kern w:val="0"/>
                      <w:szCs w:val="21"/>
                    </w:rPr>
                  </w:pPr>
                  <w:r>
                    <w:rPr>
                      <w:rFonts w:hint="eastAsia" w:eastAsiaTheme="minorEastAsia"/>
                      <w:b/>
                      <w:color w:val="auto"/>
                      <w:kern w:val="0"/>
                      <w:szCs w:val="21"/>
                    </w:rPr>
                    <w:t>运行时段</w:t>
                  </w:r>
                </w:p>
              </w:tc>
              <w:tc>
                <w:tcPr>
                  <w:tcW w:w="295" w:type="pct"/>
                  <w:vMerge w:val="restart"/>
                  <w:vAlign w:val="center"/>
                </w:tcPr>
                <w:p w14:paraId="567675E4">
                  <w:pPr>
                    <w:widowControl/>
                    <w:jc w:val="center"/>
                    <w:rPr>
                      <w:rFonts w:hint="eastAsia" w:eastAsiaTheme="minorEastAsia"/>
                      <w:b/>
                      <w:color w:val="auto"/>
                      <w:kern w:val="0"/>
                      <w:szCs w:val="21"/>
                      <w:lang w:eastAsia="zh-CN"/>
                    </w:rPr>
                  </w:pPr>
                  <w:r>
                    <w:rPr>
                      <w:rFonts w:hint="eastAsia" w:eastAsiaTheme="minorEastAsia"/>
                      <w:b/>
                      <w:color w:val="auto"/>
                      <w:kern w:val="0"/>
                      <w:szCs w:val="21"/>
                    </w:rPr>
                    <w:t>建筑物插入损失/dB</w:t>
                  </w:r>
                  <w:r>
                    <w:rPr>
                      <w:rFonts w:hint="eastAsia" w:eastAsiaTheme="minorEastAsia"/>
                      <w:b/>
                      <w:color w:val="auto"/>
                      <w:kern w:val="0"/>
                      <w:szCs w:val="21"/>
                      <w:lang w:eastAsia="zh-CN"/>
                    </w:rPr>
                    <w:t>（</w:t>
                  </w:r>
                  <w:r>
                    <w:rPr>
                      <w:rFonts w:hint="eastAsia" w:eastAsiaTheme="minorEastAsia"/>
                      <w:b/>
                      <w:color w:val="auto"/>
                      <w:kern w:val="0"/>
                      <w:szCs w:val="21"/>
                    </w:rPr>
                    <w:t>A</w:t>
                  </w:r>
                  <w:r>
                    <w:rPr>
                      <w:rFonts w:hint="eastAsia" w:eastAsiaTheme="minorEastAsia"/>
                      <w:b/>
                      <w:color w:val="auto"/>
                      <w:kern w:val="0"/>
                      <w:szCs w:val="21"/>
                      <w:lang w:eastAsia="zh-CN"/>
                    </w:rPr>
                    <w:t>）</w:t>
                  </w:r>
                </w:p>
              </w:tc>
              <w:tc>
                <w:tcPr>
                  <w:tcW w:w="593" w:type="pct"/>
                  <w:gridSpan w:val="2"/>
                  <w:vAlign w:val="center"/>
                </w:tcPr>
                <w:p w14:paraId="0475A9E7">
                  <w:pPr>
                    <w:widowControl/>
                    <w:jc w:val="center"/>
                    <w:rPr>
                      <w:rFonts w:eastAsiaTheme="minorEastAsia"/>
                      <w:b/>
                      <w:color w:val="auto"/>
                      <w:kern w:val="0"/>
                      <w:szCs w:val="21"/>
                    </w:rPr>
                  </w:pPr>
                  <w:r>
                    <w:rPr>
                      <w:rFonts w:hint="eastAsia" w:eastAsiaTheme="minorEastAsia"/>
                      <w:b/>
                      <w:color w:val="auto"/>
                      <w:kern w:val="0"/>
                      <w:szCs w:val="21"/>
                    </w:rPr>
                    <w:t>建筑物外噪声</w:t>
                  </w:r>
                </w:p>
              </w:tc>
            </w:tr>
            <w:tr w14:paraId="706D2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123" w:type="pct"/>
                  <w:vMerge w:val="continue"/>
                  <w:vAlign w:val="center"/>
                </w:tcPr>
                <w:p w14:paraId="7C883285">
                  <w:pPr>
                    <w:widowControl/>
                    <w:jc w:val="center"/>
                    <w:rPr>
                      <w:rFonts w:eastAsiaTheme="minorEastAsia"/>
                      <w:b/>
                      <w:color w:val="auto"/>
                      <w:kern w:val="0"/>
                      <w:szCs w:val="21"/>
                    </w:rPr>
                  </w:pPr>
                </w:p>
              </w:tc>
              <w:tc>
                <w:tcPr>
                  <w:tcW w:w="420" w:type="pct"/>
                  <w:vMerge w:val="continue"/>
                  <w:vAlign w:val="center"/>
                </w:tcPr>
                <w:p w14:paraId="7814426D">
                  <w:pPr>
                    <w:widowControl/>
                    <w:jc w:val="center"/>
                    <w:rPr>
                      <w:rFonts w:eastAsiaTheme="minorEastAsia"/>
                      <w:b/>
                      <w:color w:val="auto"/>
                      <w:kern w:val="0"/>
                      <w:szCs w:val="21"/>
                    </w:rPr>
                  </w:pPr>
                </w:p>
              </w:tc>
              <w:tc>
                <w:tcPr>
                  <w:tcW w:w="623" w:type="pct"/>
                  <w:vMerge w:val="continue"/>
                  <w:vAlign w:val="center"/>
                </w:tcPr>
                <w:p w14:paraId="36449C92">
                  <w:pPr>
                    <w:widowControl/>
                    <w:jc w:val="center"/>
                    <w:rPr>
                      <w:rFonts w:eastAsiaTheme="minorEastAsia"/>
                      <w:b/>
                      <w:color w:val="auto"/>
                      <w:kern w:val="0"/>
                      <w:szCs w:val="21"/>
                    </w:rPr>
                  </w:pPr>
                </w:p>
              </w:tc>
              <w:tc>
                <w:tcPr>
                  <w:tcW w:w="451" w:type="pct"/>
                  <w:vMerge w:val="continue"/>
                  <w:vAlign w:val="center"/>
                </w:tcPr>
                <w:p w14:paraId="098D22F3">
                  <w:pPr>
                    <w:widowControl/>
                    <w:jc w:val="center"/>
                    <w:rPr>
                      <w:rFonts w:eastAsiaTheme="minorEastAsia"/>
                      <w:b/>
                      <w:color w:val="auto"/>
                      <w:kern w:val="0"/>
                      <w:szCs w:val="21"/>
                    </w:rPr>
                  </w:pPr>
                </w:p>
              </w:tc>
              <w:tc>
                <w:tcPr>
                  <w:tcW w:w="413" w:type="pct"/>
                  <w:vAlign w:val="center"/>
                </w:tcPr>
                <w:p w14:paraId="4B9BC5C0">
                  <w:pPr>
                    <w:widowControl/>
                    <w:jc w:val="center"/>
                    <w:rPr>
                      <w:rFonts w:hint="eastAsia" w:eastAsiaTheme="minorEastAsia"/>
                      <w:b/>
                      <w:color w:val="auto"/>
                      <w:kern w:val="0"/>
                      <w:szCs w:val="21"/>
                      <w:lang w:eastAsia="zh-CN"/>
                    </w:rPr>
                  </w:pPr>
                  <w:r>
                    <w:rPr>
                      <w:rFonts w:hint="eastAsia" w:eastAsiaTheme="minorEastAsia"/>
                      <w:b/>
                      <w:color w:val="auto"/>
                      <w:kern w:val="0"/>
                      <w:szCs w:val="21"/>
                    </w:rPr>
                    <w:t>声功率级/dB</w:t>
                  </w:r>
                  <w:r>
                    <w:rPr>
                      <w:rFonts w:hint="eastAsia" w:eastAsiaTheme="minorEastAsia"/>
                      <w:b/>
                      <w:color w:val="auto"/>
                      <w:kern w:val="0"/>
                      <w:szCs w:val="21"/>
                      <w:lang w:eastAsia="zh-CN"/>
                    </w:rPr>
                    <w:t>（</w:t>
                  </w:r>
                  <w:r>
                    <w:rPr>
                      <w:rFonts w:hint="eastAsia" w:eastAsiaTheme="minorEastAsia"/>
                      <w:b/>
                      <w:color w:val="auto"/>
                      <w:kern w:val="0"/>
                      <w:szCs w:val="21"/>
                    </w:rPr>
                    <w:t>A</w:t>
                  </w:r>
                  <w:r>
                    <w:rPr>
                      <w:rFonts w:hint="eastAsia" w:eastAsiaTheme="minorEastAsia"/>
                      <w:b/>
                      <w:color w:val="auto"/>
                      <w:kern w:val="0"/>
                      <w:szCs w:val="21"/>
                      <w:lang w:eastAsia="zh-CN"/>
                    </w:rPr>
                    <w:t>）</w:t>
                  </w:r>
                </w:p>
              </w:tc>
              <w:tc>
                <w:tcPr>
                  <w:tcW w:w="478" w:type="pct"/>
                  <w:vMerge w:val="continue"/>
                  <w:vAlign w:val="center"/>
                </w:tcPr>
                <w:p w14:paraId="7EB75833">
                  <w:pPr>
                    <w:widowControl/>
                    <w:jc w:val="center"/>
                    <w:rPr>
                      <w:rFonts w:eastAsiaTheme="minorEastAsia"/>
                      <w:b/>
                      <w:color w:val="auto"/>
                      <w:kern w:val="0"/>
                      <w:szCs w:val="21"/>
                    </w:rPr>
                  </w:pPr>
                </w:p>
              </w:tc>
              <w:tc>
                <w:tcPr>
                  <w:tcW w:w="232" w:type="pct"/>
                  <w:vAlign w:val="center"/>
                </w:tcPr>
                <w:p w14:paraId="649902BA">
                  <w:pPr>
                    <w:widowControl/>
                    <w:jc w:val="center"/>
                    <w:rPr>
                      <w:rFonts w:eastAsiaTheme="minorEastAsia"/>
                      <w:b/>
                      <w:color w:val="auto"/>
                      <w:kern w:val="0"/>
                      <w:szCs w:val="21"/>
                    </w:rPr>
                  </w:pPr>
                  <w:r>
                    <w:rPr>
                      <w:rFonts w:hint="eastAsia" w:eastAsiaTheme="minorEastAsia"/>
                      <w:b/>
                      <w:color w:val="auto"/>
                      <w:kern w:val="0"/>
                      <w:szCs w:val="21"/>
                    </w:rPr>
                    <w:t>X</w:t>
                  </w:r>
                </w:p>
              </w:tc>
              <w:tc>
                <w:tcPr>
                  <w:tcW w:w="233" w:type="pct"/>
                  <w:vAlign w:val="center"/>
                </w:tcPr>
                <w:p w14:paraId="0B41D13B">
                  <w:pPr>
                    <w:widowControl/>
                    <w:jc w:val="center"/>
                    <w:rPr>
                      <w:rFonts w:eastAsiaTheme="minorEastAsia"/>
                      <w:b/>
                      <w:color w:val="auto"/>
                      <w:kern w:val="0"/>
                      <w:szCs w:val="21"/>
                    </w:rPr>
                  </w:pPr>
                  <w:r>
                    <w:rPr>
                      <w:rFonts w:hint="eastAsia" w:eastAsiaTheme="minorEastAsia"/>
                      <w:b/>
                      <w:color w:val="auto"/>
                      <w:kern w:val="0"/>
                      <w:szCs w:val="21"/>
                    </w:rPr>
                    <w:t>Y</w:t>
                  </w:r>
                </w:p>
              </w:tc>
              <w:tc>
                <w:tcPr>
                  <w:tcW w:w="236" w:type="pct"/>
                  <w:vAlign w:val="center"/>
                </w:tcPr>
                <w:p w14:paraId="629222A0">
                  <w:pPr>
                    <w:widowControl/>
                    <w:jc w:val="center"/>
                    <w:rPr>
                      <w:rFonts w:eastAsiaTheme="minorEastAsia"/>
                      <w:b/>
                      <w:color w:val="auto"/>
                      <w:kern w:val="0"/>
                      <w:szCs w:val="21"/>
                    </w:rPr>
                  </w:pPr>
                  <w:r>
                    <w:rPr>
                      <w:rFonts w:hint="eastAsia" w:eastAsiaTheme="minorEastAsia"/>
                      <w:b/>
                      <w:color w:val="auto"/>
                      <w:kern w:val="0"/>
                      <w:szCs w:val="21"/>
                    </w:rPr>
                    <w:t>Z</w:t>
                  </w:r>
                </w:p>
              </w:tc>
              <w:tc>
                <w:tcPr>
                  <w:tcW w:w="252" w:type="pct"/>
                  <w:vMerge w:val="continue"/>
                  <w:vAlign w:val="center"/>
                </w:tcPr>
                <w:p w14:paraId="47042398">
                  <w:pPr>
                    <w:widowControl/>
                    <w:jc w:val="center"/>
                    <w:rPr>
                      <w:rFonts w:eastAsiaTheme="minorEastAsia"/>
                      <w:b/>
                      <w:color w:val="auto"/>
                      <w:kern w:val="0"/>
                      <w:szCs w:val="21"/>
                    </w:rPr>
                  </w:pPr>
                </w:p>
              </w:tc>
              <w:tc>
                <w:tcPr>
                  <w:tcW w:w="276" w:type="pct"/>
                  <w:vMerge w:val="continue"/>
                  <w:vAlign w:val="center"/>
                </w:tcPr>
                <w:p w14:paraId="252A2B52">
                  <w:pPr>
                    <w:jc w:val="center"/>
                    <w:rPr>
                      <w:rFonts w:eastAsiaTheme="minorEastAsia"/>
                      <w:b/>
                      <w:color w:val="auto"/>
                      <w:kern w:val="0"/>
                      <w:szCs w:val="21"/>
                    </w:rPr>
                  </w:pPr>
                </w:p>
              </w:tc>
              <w:tc>
                <w:tcPr>
                  <w:tcW w:w="369" w:type="pct"/>
                  <w:vMerge w:val="continue"/>
                  <w:vAlign w:val="center"/>
                </w:tcPr>
                <w:p w14:paraId="20FD838D">
                  <w:pPr>
                    <w:widowControl/>
                    <w:jc w:val="center"/>
                    <w:rPr>
                      <w:rFonts w:eastAsiaTheme="minorEastAsia"/>
                      <w:b/>
                      <w:color w:val="auto"/>
                      <w:kern w:val="0"/>
                      <w:szCs w:val="21"/>
                    </w:rPr>
                  </w:pPr>
                </w:p>
              </w:tc>
              <w:tc>
                <w:tcPr>
                  <w:tcW w:w="295" w:type="pct"/>
                  <w:vMerge w:val="continue"/>
                  <w:vAlign w:val="center"/>
                </w:tcPr>
                <w:p w14:paraId="27A9959E">
                  <w:pPr>
                    <w:widowControl/>
                    <w:jc w:val="center"/>
                    <w:rPr>
                      <w:rFonts w:eastAsiaTheme="minorEastAsia"/>
                      <w:b/>
                      <w:color w:val="auto"/>
                      <w:kern w:val="0"/>
                      <w:szCs w:val="21"/>
                    </w:rPr>
                  </w:pPr>
                </w:p>
              </w:tc>
              <w:tc>
                <w:tcPr>
                  <w:tcW w:w="295" w:type="pct"/>
                  <w:vAlign w:val="center"/>
                </w:tcPr>
                <w:p w14:paraId="040BD96F">
                  <w:pPr>
                    <w:widowControl/>
                    <w:jc w:val="center"/>
                    <w:rPr>
                      <w:rFonts w:hint="eastAsia" w:eastAsiaTheme="minorEastAsia"/>
                      <w:b/>
                      <w:color w:val="auto"/>
                      <w:kern w:val="0"/>
                      <w:szCs w:val="21"/>
                      <w:lang w:eastAsia="zh-CN"/>
                    </w:rPr>
                  </w:pPr>
                  <w:r>
                    <w:rPr>
                      <w:rFonts w:hint="eastAsia" w:eastAsiaTheme="minorEastAsia"/>
                      <w:b/>
                      <w:color w:val="auto"/>
                      <w:kern w:val="0"/>
                      <w:szCs w:val="21"/>
                    </w:rPr>
                    <w:t>声压级/dB</w:t>
                  </w:r>
                  <w:r>
                    <w:rPr>
                      <w:rFonts w:hint="eastAsia" w:eastAsiaTheme="minorEastAsia"/>
                      <w:b/>
                      <w:color w:val="auto"/>
                      <w:kern w:val="0"/>
                      <w:szCs w:val="21"/>
                      <w:lang w:eastAsia="zh-CN"/>
                    </w:rPr>
                    <w:t>（</w:t>
                  </w:r>
                  <w:r>
                    <w:rPr>
                      <w:rFonts w:hint="eastAsia" w:eastAsiaTheme="minorEastAsia"/>
                      <w:b/>
                      <w:color w:val="auto"/>
                      <w:kern w:val="0"/>
                      <w:szCs w:val="21"/>
                    </w:rPr>
                    <w:t>A</w:t>
                  </w:r>
                  <w:r>
                    <w:rPr>
                      <w:rFonts w:hint="eastAsia" w:eastAsiaTheme="minorEastAsia"/>
                      <w:b/>
                      <w:color w:val="auto"/>
                      <w:kern w:val="0"/>
                      <w:szCs w:val="21"/>
                      <w:lang w:eastAsia="zh-CN"/>
                    </w:rPr>
                    <w:t>）</w:t>
                  </w:r>
                </w:p>
              </w:tc>
              <w:tc>
                <w:tcPr>
                  <w:tcW w:w="298" w:type="pct"/>
                  <w:vAlign w:val="center"/>
                </w:tcPr>
                <w:p w14:paraId="525B27C6">
                  <w:pPr>
                    <w:widowControl/>
                    <w:jc w:val="center"/>
                    <w:rPr>
                      <w:rFonts w:eastAsiaTheme="minorEastAsia"/>
                      <w:b/>
                      <w:color w:val="auto"/>
                      <w:kern w:val="0"/>
                      <w:szCs w:val="21"/>
                    </w:rPr>
                  </w:pPr>
                  <w:r>
                    <w:rPr>
                      <w:rFonts w:hint="eastAsia" w:eastAsiaTheme="minorEastAsia"/>
                      <w:b/>
                      <w:color w:val="auto"/>
                      <w:kern w:val="0"/>
                      <w:szCs w:val="21"/>
                    </w:rPr>
                    <w:t>建筑物外距离</w:t>
                  </w:r>
                </w:p>
              </w:tc>
            </w:tr>
            <w:tr w14:paraId="7D828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123" w:type="pct"/>
                  <w:vAlign w:val="center"/>
                </w:tcPr>
                <w:p w14:paraId="689662CC">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1</w:t>
                  </w:r>
                </w:p>
              </w:tc>
              <w:tc>
                <w:tcPr>
                  <w:tcW w:w="420" w:type="pct"/>
                  <w:vMerge w:val="restart"/>
                  <w:vAlign w:val="center"/>
                </w:tcPr>
                <w:p w14:paraId="326C5B03">
                  <w:pPr>
                    <w:jc w:val="center"/>
                    <w:rPr>
                      <w:rFonts w:hint="eastAsia" w:ascii="Times New Roman" w:hAnsi="Times New Roman" w:cs="Times New Roman" w:eastAsiaTheme="minorEastAsia"/>
                      <w:color w:val="auto"/>
                      <w:lang w:val="en-US" w:eastAsia="zh-CN"/>
                    </w:rPr>
                  </w:pPr>
                  <w:r>
                    <w:rPr>
                      <w:rFonts w:hint="eastAsia" w:cs="Times New Roman" w:eastAsiaTheme="minorEastAsia"/>
                      <w:color w:val="auto"/>
                      <w:lang w:val="en-US" w:eastAsia="zh-CN"/>
                    </w:rPr>
                    <w:t>生产车间</w:t>
                  </w:r>
                </w:p>
              </w:tc>
              <w:tc>
                <w:tcPr>
                  <w:tcW w:w="623" w:type="pct"/>
                  <w:vAlign w:val="center"/>
                </w:tcPr>
                <w:p w14:paraId="0492FE42">
                  <w:pPr>
                    <w:jc w:val="center"/>
                    <w:rPr>
                      <w:rFonts w:hint="eastAsia"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发泡机</w:t>
                  </w:r>
                </w:p>
                <w:p w14:paraId="4E5D908A">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（1台）</w:t>
                  </w:r>
                </w:p>
              </w:tc>
              <w:tc>
                <w:tcPr>
                  <w:tcW w:w="451" w:type="pct"/>
                  <w:shd w:val="clear" w:color="auto" w:fill="auto"/>
                  <w:vAlign w:val="center"/>
                </w:tcPr>
                <w:p w14:paraId="3628DB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pacing w:val="1"/>
                      <w:kern w:val="2"/>
                      <w:sz w:val="21"/>
                      <w:szCs w:val="21"/>
                      <w:lang w:val="en-US" w:eastAsia="zh-CN" w:bidi="ar-SA"/>
                    </w:rPr>
                  </w:pPr>
                  <w:r>
                    <w:rPr>
                      <w:rFonts w:hint="eastAsia" w:cs="Times New Roman"/>
                      <w:b w:val="0"/>
                      <w:bCs w:val="0"/>
                      <w:color w:val="auto"/>
                      <w:spacing w:val="1"/>
                      <w:kern w:val="2"/>
                      <w:sz w:val="21"/>
                      <w:szCs w:val="21"/>
                      <w:lang w:val="en-US" w:eastAsia="zh-CN" w:bidi="ar-SA"/>
                    </w:rPr>
                    <w:t>定制</w:t>
                  </w:r>
                </w:p>
              </w:tc>
              <w:tc>
                <w:tcPr>
                  <w:tcW w:w="413" w:type="pct"/>
                  <w:vAlign w:val="center"/>
                </w:tcPr>
                <w:p w14:paraId="16106AD3">
                  <w:pPr>
                    <w:jc w:val="center"/>
                    <w:rPr>
                      <w:rFonts w:hint="default" w:eastAsiaTheme="minorEastAsia"/>
                      <w:color w:val="auto"/>
                      <w:kern w:val="0"/>
                      <w:sz w:val="21"/>
                      <w:szCs w:val="21"/>
                      <w:lang w:val="en-US" w:eastAsia="zh-CN"/>
                    </w:rPr>
                  </w:pPr>
                  <w:r>
                    <w:rPr>
                      <w:rFonts w:hint="eastAsia" w:eastAsiaTheme="minorEastAsia"/>
                      <w:color w:val="auto"/>
                      <w:kern w:val="0"/>
                      <w:sz w:val="21"/>
                      <w:szCs w:val="21"/>
                      <w:lang w:val="en-US" w:eastAsia="zh-CN"/>
                    </w:rPr>
                    <w:t>85</w:t>
                  </w:r>
                </w:p>
              </w:tc>
              <w:tc>
                <w:tcPr>
                  <w:tcW w:w="478" w:type="pct"/>
                  <w:vMerge w:val="restart"/>
                  <w:vAlign w:val="center"/>
                </w:tcPr>
                <w:p w14:paraId="2C542114">
                  <w:pPr>
                    <w:jc w:val="center"/>
                    <w:rPr>
                      <w:rFonts w:eastAsiaTheme="minorEastAsia"/>
                      <w:color w:val="auto"/>
                      <w:kern w:val="0"/>
                      <w:szCs w:val="21"/>
                    </w:rPr>
                  </w:pPr>
                  <w:r>
                    <w:rPr>
                      <w:rFonts w:eastAsiaTheme="minorEastAsia"/>
                      <w:color w:val="auto"/>
                      <w:kern w:val="0"/>
                      <w:szCs w:val="21"/>
                    </w:rPr>
                    <w:t>合理布局+</w:t>
                  </w:r>
                </w:p>
                <w:p w14:paraId="437147FD">
                  <w:pPr>
                    <w:jc w:val="center"/>
                    <w:rPr>
                      <w:rFonts w:eastAsiaTheme="minorEastAsia"/>
                      <w:color w:val="auto"/>
                      <w:szCs w:val="21"/>
                    </w:rPr>
                  </w:pPr>
                  <w:r>
                    <w:rPr>
                      <w:rFonts w:eastAsiaTheme="minorEastAsia"/>
                      <w:color w:val="auto"/>
                      <w:kern w:val="0"/>
                      <w:szCs w:val="21"/>
                    </w:rPr>
                    <w:t>消声、减振+厂房隔声</w:t>
                  </w:r>
                </w:p>
              </w:tc>
              <w:tc>
                <w:tcPr>
                  <w:tcW w:w="232" w:type="pct"/>
                  <w:vAlign w:val="center"/>
                </w:tcPr>
                <w:p w14:paraId="566AF8D4">
                  <w:pPr>
                    <w:jc w:val="center"/>
                    <w:rPr>
                      <w:rFonts w:hint="default" w:ascii="Times New Roman" w:hAnsi="Times New Roman" w:cs="Times New Roman" w:eastAsiaTheme="minorEastAsia"/>
                      <w:color w:val="auto"/>
                      <w:kern w:val="0"/>
                      <w:sz w:val="21"/>
                      <w:szCs w:val="21"/>
                      <w:lang w:val="en-US" w:eastAsia="zh-CN" w:bidi="ar-SA"/>
                    </w:rPr>
                  </w:pPr>
                  <w:r>
                    <w:rPr>
                      <w:rFonts w:hint="eastAsia" w:cs="Times New Roman" w:eastAsiaTheme="minorEastAsia"/>
                      <w:color w:val="auto"/>
                      <w:kern w:val="0"/>
                      <w:sz w:val="21"/>
                      <w:szCs w:val="21"/>
                      <w:lang w:val="en-US" w:eastAsia="zh-CN" w:bidi="ar-SA"/>
                    </w:rPr>
                    <w:t>15</w:t>
                  </w:r>
                </w:p>
              </w:tc>
              <w:tc>
                <w:tcPr>
                  <w:tcW w:w="233" w:type="pct"/>
                  <w:vAlign w:val="center"/>
                </w:tcPr>
                <w:p w14:paraId="5D4478CE">
                  <w:pPr>
                    <w:jc w:val="center"/>
                    <w:rPr>
                      <w:rFonts w:hint="default" w:ascii="Times New Roman" w:hAnsi="Times New Roman" w:cs="Times New Roman" w:eastAsiaTheme="minorEastAsia"/>
                      <w:color w:val="auto"/>
                      <w:kern w:val="0"/>
                      <w:sz w:val="21"/>
                      <w:szCs w:val="21"/>
                      <w:lang w:val="en-US" w:eastAsia="zh-CN" w:bidi="ar-SA"/>
                    </w:rPr>
                  </w:pPr>
                  <w:r>
                    <w:rPr>
                      <w:rFonts w:hint="eastAsia" w:cs="Times New Roman" w:eastAsiaTheme="minorEastAsia"/>
                      <w:color w:val="auto"/>
                      <w:kern w:val="0"/>
                      <w:sz w:val="21"/>
                      <w:szCs w:val="21"/>
                      <w:lang w:val="en-US" w:eastAsia="zh-CN" w:bidi="ar-SA"/>
                    </w:rPr>
                    <w:t>30</w:t>
                  </w:r>
                </w:p>
              </w:tc>
              <w:tc>
                <w:tcPr>
                  <w:tcW w:w="236" w:type="pct"/>
                  <w:shd w:val="clear" w:color="auto" w:fill="auto"/>
                  <w:vAlign w:val="center"/>
                </w:tcPr>
                <w:p w14:paraId="49E39BFC">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w:t>
                  </w:r>
                </w:p>
              </w:tc>
              <w:tc>
                <w:tcPr>
                  <w:tcW w:w="252" w:type="pct"/>
                  <w:shd w:val="clear" w:color="auto" w:fill="auto"/>
                  <w:vAlign w:val="center"/>
                </w:tcPr>
                <w:p w14:paraId="15C92A71">
                  <w:pPr>
                    <w:jc w:val="center"/>
                    <w:rPr>
                      <w:rFonts w:hint="default" w:eastAsiaTheme="minorEastAsia"/>
                      <w:color w:val="auto"/>
                      <w:kern w:val="0"/>
                      <w:szCs w:val="21"/>
                      <w:lang w:val="en-US" w:eastAsia="zh-CN"/>
                    </w:rPr>
                  </w:pPr>
                  <w:r>
                    <w:rPr>
                      <w:rFonts w:hint="eastAsia" w:eastAsiaTheme="minorEastAsia"/>
                      <w:color w:val="auto"/>
                      <w:kern w:val="0"/>
                      <w:szCs w:val="21"/>
                      <w:lang w:val="en-US" w:eastAsia="zh-CN"/>
                    </w:rPr>
                    <w:t>15</w:t>
                  </w:r>
                </w:p>
              </w:tc>
              <w:tc>
                <w:tcPr>
                  <w:tcW w:w="276" w:type="pct"/>
                  <w:vAlign w:val="center"/>
                </w:tcPr>
                <w:p w14:paraId="6A1D5E9C">
                  <w:pPr>
                    <w:jc w:val="center"/>
                    <w:rPr>
                      <w:rFonts w:hint="default" w:eastAsiaTheme="minorEastAsia"/>
                      <w:color w:val="auto"/>
                      <w:kern w:val="0"/>
                      <w:szCs w:val="21"/>
                      <w:lang w:val="en-US" w:eastAsia="zh-CN"/>
                    </w:rPr>
                  </w:pPr>
                  <w:r>
                    <w:rPr>
                      <w:rFonts w:hint="eastAsia" w:eastAsiaTheme="minorEastAsia"/>
                      <w:color w:val="auto"/>
                      <w:kern w:val="0"/>
                      <w:szCs w:val="21"/>
                      <w:lang w:val="en-US" w:eastAsia="zh-CN"/>
                    </w:rPr>
                    <w:t>85</w:t>
                  </w:r>
                </w:p>
              </w:tc>
              <w:tc>
                <w:tcPr>
                  <w:tcW w:w="369" w:type="pct"/>
                  <w:vAlign w:val="center"/>
                </w:tcPr>
                <w:p w14:paraId="47196DFC">
                  <w:pPr>
                    <w:jc w:val="center"/>
                    <w:rPr>
                      <w:rFonts w:eastAsiaTheme="minorEastAsia"/>
                      <w:color w:val="auto"/>
                      <w:kern w:val="0"/>
                      <w:szCs w:val="21"/>
                    </w:rPr>
                  </w:pPr>
                  <w:r>
                    <w:rPr>
                      <w:rFonts w:hint="eastAsia" w:cs="Times New Roman" w:eastAsiaTheme="minorEastAsia"/>
                      <w:color w:val="auto"/>
                      <w:kern w:val="0"/>
                      <w:sz w:val="21"/>
                      <w:szCs w:val="21"/>
                      <w:lang w:val="en-US" w:eastAsia="zh-CN" w:bidi="ar-SA"/>
                    </w:rPr>
                    <w:t>8：00-16：00</w:t>
                  </w:r>
                </w:p>
              </w:tc>
              <w:tc>
                <w:tcPr>
                  <w:tcW w:w="295" w:type="pct"/>
                  <w:vAlign w:val="center"/>
                </w:tcPr>
                <w:p w14:paraId="2E5A03C2">
                  <w:pPr>
                    <w:jc w:val="center"/>
                    <w:rPr>
                      <w:rFonts w:eastAsiaTheme="minorEastAsia"/>
                      <w:color w:val="auto"/>
                      <w:kern w:val="0"/>
                      <w:szCs w:val="21"/>
                    </w:rPr>
                  </w:pPr>
                  <w:r>
                    <w:rPr>
                      <w:rFonts w:hint="eastAsia" w:eastAsiaTheme="minorEastAsia"/>
                      <w:color w:val="auto"/>
                      <w:kern w:val="0"/>
                      <w:szCs w:val="21"/>
                    </w:rPr>
                    <w:t>30</w:t>
                  </w:r>
                </w:p>
              </w:tc>
              <w:tc>
                <w:tcPr>
                  <w:tcW w:w="295" w:type="pct"/>
                  <w:vMerge w:val="restart"/>
                  <w:vAlign w:val="center"/>
                </w:tcPr>
                <w:p w14:paraId="187E2000">
                  <w:pPr>
                    <w:jc w:val="center"/>
                    <w:rPr>
                      <w:rFonts w:hint="default" w:eastAsiaTheme="minorEastAsia"/>
                      <w:color w:val="auto"/>
                      <w:kern w:val="0"/>
                      <w:szCs w:val="21"/>
                      <w:lang w:val="en-US" w:eastAsia="zh-CN"/>
                    </w:rPr>
                  </w:pPr>
                  <w:r>
                    <w:rPr>
                      <w:rFonts w:hint="eastAsia" w:eastAsiaTheme="minorEastAsia"/>
                      <w:color w:val="auto"/>
                      <w:kern w:val="0"/>
                      <w:szCs w:val="21"/>
                      <w:lang w:val="en-US" w:eastAsia="zh-CN"/>
                    </w:rPr>
                    <w:t>61</w:t>
                  </w:r>
                </w:p>
              </w:tc>
              <w:tc>
                <w:tcPr>
                  <w:tcW w:w="298" w:type="pct"/>
                  <w:vMerge w:val="restart"/>
                  <w:vAlign w:val="center"/>
                </w:tcPr>
                <w:p w14:paraId="3B82D45B">
                  <w:pPr>
                    <w:jc w:val="center"/>
                    <w:rPr>
                      <w:rFonts w:eastAsiaTheme="minorEastAsia"/>
                      <w:color w:val="auto"/>
                      <w:kern w:val="0"/>
                      <w:szCs w:val="21"/>
                    </w:rPr>
                  </w:pPr>
                  <w:r>
                    <w:rPr>
                      <w:rFonts w:hint="eastAsia" w:eastAsiaTheme="minorEastAsia"/>
                      <w:color w:val="auto"/>
                      <w:kern w:val="0"/>
                      <w:szCs w:val="21"/>
                    </w:rPr>
                    <w:t>1m</w:t>
                  </w:r>
                </w:p>
              </w:tc>
            </w:tr>
            <w:tr w14:paraId="1348A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123" w:type="pct"/>
                  <w:vAlign w:val="center"/>
                </w:tcPr>
                <w:p w14:paraId="3E313F80">
                  <w:pPr>
                    <w:jc w:val="center"/>
                    <w:rPr>
                      <w:rFonts w:hint="eastAsia" w:ascii="Times New Roman" w:hAnsi="Times New Roman" w:cs="Times New Roman" w:eastAsiaTheme="minorEastAsia"/>
                      <w:color w:val="auto"/>
                      <w:lang w:val="en-US" w:eastAsia="zh-CN"/>
                    </w:rPr>
                  </w:pPr>
                  <w:r>
                    <w:rPr>
                      <w:rFonts w:hint="eastAsia" w:cs="Times New Roman" w:eastAsiaTheme="minorEastAsia"/>
                      <w:color w:val="auto"/>
                      <w:lang w:val="en-US" w:eastAsia="zh-CN"/>
                    </w:rPr>
                    <w:t>2</w:t>
                  </w:r>
                </w:p>
              </w:tc>
              <w:tc>
                <w:tcPr>
                  <w:tcW w:w="420" w:type="pct"/>
                  <w:vMerge w:val="continue"/>
                  <w:vAlign w:val="center"/>
                </w:tcPr>
                <w:p w14:paraId="23EA99B0">
                  <w:pPr>
                    <w:jc w:val="center"/>
                    <w:rPr>
                      <w:rFonts w:hint="eastAsia" w:ascii="Times New Roman" w:hAnsi="Times New Roman" w:cs="Times New Roman" w:eastAsiaTheme="minorEastAsia"/>
                      <w:color w:val="auto"/>
                      <w:lang w:val="en-US" w:eastAsia="zh-CN"/>
                    </w:rPr>
                  </w:pPr>
                </w:p>
              </w:tc>
              <w:tc>
                <w:tcPr>
                  <w:tcW w:w="623" w:type="pct"/>
                  <w:vAlign w:val="center"/>
                </w:tcPr>
                <w:p w14:paraId="68F492CE">
                  <w:pPr>
                    <w:jc w:val="center"/>
                    <w:rPr>
                      <w:rFonts w:hint="eastAsia"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冷媒充注机</w:t>
                  </w:r>
                </w:p>
                <w:p w14:paraId="719F866E">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（2台）</w:t>
                  </w:r>
                </w:p>
              </w:tc>
              <w:tc>
                <w:tcPr>
                  <w:tcW w:w="451" w:type="pct"/>
                  <w:shd w:val="clear" w:color="auto" w:fill="auto"/>
                  <w:vAlign w:val="center"/>
                </w:tcPr>
                <w:p w14:paraId="784BBB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pacing w:val="1"/>
                      <w:kern w:val="2"/>
                      <w:sz w:val="21"/>
                      <w:szCs w:val="21"/>
                      <w:lang w:val="en-US" w:eastAsia="zh-CN" w:bidi="ar-SA"/>
                    </w:rPr>
                  </w:pPr>
                  <w:r>
                    <w:rPr>
                      <w:rFonts w:hint="eastAsia" w:ascii="Times New Roman" w:hAnsi="Times New Roman" w:eastAsia="宋体" w:cs="Times New Roman"/>
                      <w:b w:val="0"/>
                      <w:bCs w:val="0"/>
                      <w:color w:val="auto"/>
                      <w:spacing w:val="1"/>
                      <w:kern w:val="2"/>
                      <w:sz w:val="21"/>
                      <w:szCs w:val="21"/>
                      <w:lang w:val="en-US" w:eastAsia="zh-CN" w:bidi="ar-SA"/>
                    </w:rPr>
                    <w:t>Testo</w:t>
                  </w:r>
                  <w:r>
                    <w:rPr>
                      <w:rFonts w:hint="eastAsia" w:cs="Times New Roman"/>
                      <w:b w:val="0"/>
                      <w:bCs w:val="0"/>
                      <w:color w:val="auto"/>
                      <w:spacing w:val="1"/>
                      <w:kern w:val="2"/>
                      <w:sz w:val="21"/>
                      <w:szCs w:val="21"/>
                      <w:lang w:val="en-US" w:eastAsia="zh-CN" w:bidi="ar-SA"/>
                    </w:rPr>
                    <w:t xml:space="preserve"> </w:t>
                  </w:r>
                  <w:r>
                    <w:rPr>
                      <w:rFonts w:hint="eastAsia" w:ascii="Times New Roman" w:hAnsi="Times New Roman" w:eastAsia="宋体" w:cs="Times New Roman"/>
                      <w:b w:val="0"/>
                      <w:bCs w:val="0"/>
                      <w:color w:val="auto"/>
                      <w:spacing w:val="1"/>
                      <w:kern w:val="2"/>
                      <w:sz w:val="21"/>
                      <w:szCs w:val="21"/>
                      <w:lang w:val="en-US" w:eastAsia="zh-CN" w:bidi="ar-SA"/>
                    </w:rPr>
                    <w:t>570s</w:t>
                  </w:r>
                </w:p>
              </w:tc>
              <w:tc>
                <w:tcPr>
                  <w:tcW w:w="413" w:type="pct"/>
                  <w:vAlign w:val="center"/>
                </w:tcPr>
                <w:p w14:paraId="16CC4879">
                  <w:pPr>
                    <w:jc w:val="center"/>
                    <w:rPr>
                      <w:rFonts w:hint="default" w:eastAsiaTheme="minorEastAsia"/>
                      <w:color w:val="auto"/>
                      <w:kern w:val="0"/>
                      <w:sz w:val="21"/>
                      <w:szCs w:val="21"/>
                      <w:lang w:val="en-US" w:eastAsia="zh-CN"/>
                    </w:rPr>
                  </w:pPr>
                  <w:r>
                    <w:rPr>
                      <w:rFonts w:hint="eastAsia" w:eastAsiaTheme="minorEastAsia"/>
                      <w:color w:val="auto"/>
                      <w:kern w:val="0"/>
                      <w:sz w:val="21"/>
                      <w:szCs w:val="21"/>
                      <w:lang w:val="en-US" w:eastAsia="zh-CN"/>
                    </w:rPr>
                    <w:t>80</w:t>
                  </w:r>
                </w:p>
              </w:tc>
              <w:tc>
                <w:tcPr>
                  <w:tcW w:w="478" w:type="pct"/>
                  <w:vMerge w:val="continue"/>
                  <w:vAlign w:val="center"/>
                </w:tcPr>
                <w:p w14:paraId="631002CF">
                  <w:pPr>
                    <w:jc w:val="center"/>
                    <w:rPr>
                      <w:rFonts w:eastAsiaTheme="minorEastAsia"/>
                      <w:color w:val="FF0000"/>
                      <w:kern w:val="0"/>
                      <w:szCs w:val="21"/>
                    </w:rPr>
                  </w:pPr>
                </w:p>
              </w:tc>
              <w:tc>
                <w:tcPr>
                  <w:tcW w:w="232" w:type="pct"/>
                  <w:vAlign w:val="center"/>
                </w:tcPr>
                <w:p w14:paraId="6A74FCE9">
                  <w:pPr>
                    <w:jc w:val="center"/>
                    <w:rPr>
                      <w:rFonts w:hint="default" w:cs="Times New Roman" w:eastAsiaTheme="minorEastAsia"/>
                      <w:color w:val="auto"/>
                      <w:kern w:val="0"/>
                      <w:sz w:val="21"/>
                      <w:szCs w:val="21"/>
                      <w:lang w:val="en-US" w:eastAsia="zh-CN" w:bidi="ar-SA"/>
                    </w:rPr>
                  </w:pPr>
                  <w:r>
                    <w:rPr>
                      <w:rFonts w:hint="eastAsia" w:cs="Times New Roman" w:eastAsiaTheme="minorEastAsia"/>
                      <w:color w:val="auto"/>
                      <w:kern w:val="0"/>
                      <w:sz w:val="21"/>
                      <w:szCs w:val="21"/>
                      <w:lang w:val="en-US" w:eastAsia="zh-CN" w:bidi="ar-SA"/>
                    </w:rPr>
                    <w:t>15</w:t>
                  </w:r>
                </w:p>
              </w:tc>
              <w:tc>
                <w:tcPr>
                  <w:tcW w:w="233" w:type="pct"/>
                  <w:vAlign w:val="center"/>
                </w:tcPr>
                <w:p w14:paraId="6088AC29">
                  <w:pPr>
                    <w:jc w:val="center"/>
                    <w:rPr>
                      <w:rFonts w:hint="default" w:cs="Times New Roman" w:eastAsiaTheme="minorEastAsia"/>
                      <w:color w:val="auto"/>
                      <w:kern w:val="0"/>
                      <w:sz w:val="21"/>
                      <w:szCs w:val="21"/>
                      <w:lang w:val="en-US" w:eastAsia="zh-CN" w:bidi="ar-SA"/>
                    </w:rPr>
                  </w:pPr>
                  <w:r>
                    <w:rPr>
                      <w:rFonts w:hint="eastAsia" w:cs="Times New Roman" w:eastAsiaTheme="minorEastAsia"/>
                      <w:color w:val="auto"/>
                      <w:kern w:val="0"/>
                      <w:sz w:val="21"/>
                      <w:szCs w:val="21"/>
                      <w:lang w:val="en-US" w:eastAsia="zh-CN" w:bidi="ar-SA"/>
                    </w:rPr>
                    <w:t>15</w:t>
                  </w:r>
                </w:p>
              </w:tc>
              <w:tc>
                <w:tcPr>
                  <w:tcW w:w="236" w:type="pct"/>
                  <w:shd w:val="clear" w:color="auto" w:fill="auto"/>
                  <w:vAlign w:val="center"/>
                </w:tcPr>
                <w:p w14:paraId="65A98241">
                  <w:pPr>
                    <w:jc w:val="center"/>
                    <w:rPr>
                      <w:rFonts w:hint="default"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w:t>
                  </w:r>
                </w:p>
              </w:tc>
              <w:tc>
                <w:tcPr>
                  <w:tcW w:w="252" w:type="pct"/>
                  <w:shd w:val="clear" w:color="auto" w:fill="auto"/>
                  <w:vAlign w:val="center"/>
                </w:tcPr>
                <w:p w14:paraId="1A054FCA">
                  <w:pPr>
                    <w:jc w:val="center"/>
                    <w:rPr>
                      <w:rFonts w:hint="default" w:eastAsiaTheme="minorEastAsia"/>
                      <w:color w:val="auto"/>
                      <w:kern w:val="0"/>
                      <w:szCs w:val="21"/>
                      <w:lang w:val="en-US" w:eastAsia="zh-CN"/>
                    </w:rPr>
                  </w:pPr>
                  <w:r>
                    <w:rPr>
                      <w:rFonts w:hint="eastAsia" w:eastAsiaTheme="minorEastAsia"/>
                      <w:color w:val="auto"/>
                      <w:kern w:val="0"/>
                      <w:szCs w:val="21"/>
                      <w:lang w:val="en-US" w:eastAsia="zh-CN"/>
                    </w:rPr>
                    <w:t>15</w:t>
                  </w:r>
                </w:p>
              </w:tc>
              <w:tc>
                <w:tcPr>
                  <w:tcW w:w="276" w:type="pct"/>
                  <w:vAlign w:val="center"/>
                </w:tcPr>
                <w:p w14:paraId="5843F407">
                  <w:pPr>
                    <w:jc w:val="center"/>
                    <w:rPr>
                      <w:rFonts w:hint="default" w:eastAsiaTheme="minorEastAsia"/>
                      <w:color w:val="auto"/>
                      <w:kern w:val="0"/>
                      <w:szCs w:val="21"/>
                      <w:lang w:val="en-US" w:eastAsia="zh-CN"/>
                    </w:rPr>
                  </w:pPr>
                  <w:r>
                    <w:rPr>
                      <w:rFonts w:hint="eastAsia" w:eastAsiaTheme="minorEastAsia"/>
                      <w:color w:val="auto"/>
                      <w:kern w:val="0"/>
                      <w:szCs w:val="21"/>
                      <w:lang w:val="en-US" w:eastAsia="zh-CN"/>
                    </w:rPr>
                    <w:t>83</w:t>
                  </w:r>
                </w:p>
              </w:tc>
              <w:tc>
                <w:tcPr>
                  <w:tcW w:w="369" w:type="pct"/>
                  <w:vAlign w:val="center"/>
                </w:tcPr>
                <w:p w14:paraId="4D8F06A7">
                  <w:pPr>
                    <w:jc w:val="center"/>
                    <w:rPr>
                      <w:rFonts w:hint="eastAsia" w:cs="Times New Roman" w:eastAsiaTheme="minorEastAsia"/>
                      <w:color w:val="auto"/>
                      <w:kern w:val="0"/>
                      <w:sz w:val="21"/>
                      <w:szCs w:val="21"/>
                      <w:lang w:val="en-US" w:eastAsia="zh-CN" w:bidi="ar-SA"/>
                    </w:rPr>
                  </w:pPr>
                  <w:r>
                    <w:rPr>
                      <w:rFonts w:hint="eastAsia" w:cs="Times New Roman" w:eastAsiaTheme="minorEastAsia"/>
                      <w:color w:val="auto"/>
                      <w:kern w:val="0"/>
                      <w:sz w:val="21"/>
                      <w:szCs w:val="21"/>
                      <w:lang w:val="en-US" w:eastAsia="zh-CN" w:bidi="ar-SA"/>
                    </w:rPr>
                    <w:t>8：00-16：00</w:t>
                  </w:r>
                </w:p>
              </w:tc>
              <w:tc>
                <w:tcPr>
                  <w:tcW w:w="295" w:type="pct"/>
                  <w:vAlign w:val="center"/>
                </w:tcPr>
                <w:p w14:paraId="2CC7935E">
                  <w:pPr>
                    <w:jc w:val="center"/>
                    <w:rPr>
                      <w:rFonts w:hint="default" w:eastAsiaTheme="minorEastAsia"/>
                      <w:color w:val="auto"/>
                      <w:kern w:val="0"/>
                      <w:szCs w:val="21"/>
                      <w:lang w:val="en-US" w:eastAsia="zh-CN"/>
                    </w:rPr>
                  </w:pPr>
                  <w:r>
                    <w:rPr>
                      <w:rFonts w:hint="eastAsia" w:eastAsiaTheme="minorEastAsia"/>
                      <w:color w:val="auto"/>
                      <w:kern w:val="0"/>
                      <w:szCs w:val="21"/>
                      <w:lang w:val="en-US" w:eastAsia="zh-CN"/>
                    </w:rPr>
                    <w:t>30</w:t>
                  </w:r>
                </w:p>
              </w:tc>
              <w:tc>
                <w:tcPr>
                  <w:tcW w:w="295" w:type="pct"/>
                  <w:vMerge w:val="continue"/>
                  <w:vAlign w:val="center"/>
                </w:tcPr>
                <w:p w14:paraId="592D79BC">
                  <w:pPr>
                    <w:jc w:val="center"/>
                    <w:rPr>
                      <w:rFonts w:hint="eastAsia" w:eastAsiaTheme="minorEastAsia"/>
                      <w:color w:val="auto"/>
                      <w:kern w:val="0"/>
                      <w:szCs w:val="21"/>
                      <w:lang w:val="en-US" w:eastAsia="zh-CN"/>
                    </w:rPr>
                  </w:pPr>
                </w:p>
              </w:tc>
              <w:tc>
                <w:tcPr>
                  <w:tcW w:w="298" w:type="pct"/>
                  <w:vMerge w:val="continue"/>
                  <w:vAlign w:val="center"/>
                </w:tcPr>
                <w:p w14:paraId="2B2D0E4E">
                  <w:pPr>
                    <w:jc w:val="center"/>
                    <w:rPr>
                      <w:rFonts w:hint="eastAsia" w:eastAsiaTheme="minorEastAsia"/>
                      <w:color w:val="auto"/>
                      <w:kern w:val="0"/>
                      <w:szCs w:val="21"/>
                    </w:rPr>
                  </w:pPr>
                </w:p>
              </w:tc>
            </w:tr>
            <w:tr w14:paraId="57900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28" w:hRule="atLeast"/>
                <w:jc w:val="center"/>
              </w:trPr>
              <w:tc>
                <w:tcPr>
                  <w:tcW w:w="0" w:type="auto"/>
                  <w:vAlign w:val="center"/>
                </w:tcPr>
                <w:p w14:paraId="5A03A8C1">
                  <w:pPr>
                    <w:jc w:val="center"/>
                    <w:rPr>
                      <w:rFonts w:hint="default" w:ascii="Times New Roman" w:hAnsi="Times New Roman" w:cs="Times New Roman" w:eastAsiaTheme="minorEastAsia"/>
                      <w:color w:val="auto"/>
                      <w:lang w:val="en-US" w:eastAsia="zh-CN"/>
                    </w:rPr>
                  </w:pPr>
                  <w:r>
                    <w:rPr>
                      <w:rFonts w:hint="eastAsia" w:cs="Times New Roman" w:eastAsiaTheme="minorEastAsia"/>
                      <w:color w:val="auto"/>
                      <w:lang w:val="en-US" w:eastAsia="zh-CN"/>
                    </w:rPr>
                    <w:t>3</w:t>
                  </w:r>
                </w:p>
              </w:tc>
              <w:tc>
                <w:tcPr>
                  <w:tcW w:w="420" w:type="pct"/>
                  <w:vMerge w:val="continue"/>
                  <w:vAlign w:val="center"/>
                </w:tcPr>
                <w:p w14:paraId="4E437FE4">
                  <w:pPr>
                    <w:jc w:val="center"/>
                    <w:rPr>
                      <w:rFonts w:hint="eastAsia" w:ascii="Times New Roman" w:hAnsi="Times New Roman" w:cs="Times New Roman" w:eastAsiaTheme="minorEastAsia"/>
                      <w:color w:val="auto"/>
                      <w:lang w:val="en-US" w:eastAsia="zh-CN"/>
                    </w:rPr>
                  </w:pPr>
                </w:p>
              </w:tc>
              <w:tc>
                <w:tcPr>
                  <w:tcW w:w="623" w:type="pct"/>
                  <w:vAlign w:val="center"/>
                </w:tcPr>
                <w:p w14:paraId="2A02B510">
                  <w:pPr>
                    <w:jc w:val="center"/>
                    <w:rPr>
                      <w:rFonts w:hint="eastAsia"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空压机</w:t>
                  </w:r>
                </w:p>
                <w:p w14:paraId="70C300A0">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（1台）</w:t>
                  </w:r>
                </w:p>
              </w:tc>
              <w:tc>
                <w:tcPr>
                  <w:tcW w:w="451" w:type="pct"/>
                  <w:shd w:val="clear" w:color="auto" w:fill="auto"/>
                  <w:vAlign w:val="center"/>
                </w:tcPr>
                <w:p w14:paraId="2EF5696C">
                  <w:pPr>
                    <w:jc w:val="center"/>
                    <w:rPr>
                      <w:rFonts w:hint="default" w:ascii="Times New Roman" w:hAnsi="Times New Roman" w:cs="Times New Roman" w:eastAsiaTheme="minorEastAsia"/>
                      <w:color w:val="FF0000"/>
                      <w:lang w:val="en-US" w:eastAsia="zh-CN"/>
                    </w:rPr>
                  </w:pPr>
                  <w:r>
                    <w:rPr>
                      <w:rFonts w:hint="eastAsia" w:eastAsia="宋体" w:cs="Times New Roman"/>
                      <w:color w:val="auto"/>
                      <w:sz w:val="21"/>
                      <w:szCs w:val="21"/>
                      <w:lang w:val="en-US" w:eastAsia="zh-CN"/>
                    </w:rPr>
                    <w:t>0.</w:t>
                  </w:r>
                  <w:r>
                    <w:rPr>
                      <w:rFonts w:hint="eastAsia" w:cs="Times New Roman"/>
                      <w:color w:val="auto"/>
                      <w:sz w:val="21"/>
                      <w:szCs w:val="21"/>
                      <w:lang w:val="en-US" w:eastAsia="zh-CN"/>
                    </w:rPr>
                    <w:t>9</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/min</w:t>
                  </w:r>
                </w:p>
              </w:tc>
              <w:tc>
                <w:tcPr>
                  <w:tcW w:w="0" w:type="auto"/>
                  <w:vAlign w:val="center"/>
                </w:tcPr>
                <w:p w14:paraId="5C91959F">
                  <w:pPr>
                    <w:jc w:val="center"/>
                    <w:rPr>
                      <w:rFonts w:hint="default" w:eastAsiaTheme="minorEastAsia"/>
                      <w:color w:val="auto"/>
                      <w:kern w:val="0"/>
                      <w:sz w:val="21"/>
                      <w:szCs w:val="21"/>
                      <w:lang w:val="en-US" w:eastAsia="zh-CN"/>
                    </w:rPr>
                  </w:pPr>
                  <w:r>
                    <w:rPr>
                      <w:rFonts w:hint="eastAsia" w:eastAsiaTheme="minorEastAsia"/>
                      <w:color w:val="auto"/>
                      <w:kern w:val="0"/>
                      <w:sz w:val="21"/>
                      <w:szCs w:val="21"/>
                      <w:lang w:val="en-US" w:eastAsia="zh-CN"/>
                    </w:rPr>
                    <w:t>90</w:t>
                  </w:r>
                </w:p>
              </w:tc>
              <w:tc>
                <w:tcPr>
                  <w:tcW w:w="478" w:type="pct"/>
                  <w:vMerge w:val="continue"/>
                  <w:vAlign w:val="center"/>
                </w:tcPr>
                <w:p w14:paraId="5C72F0AF">
                  <w:pPr>
                    <w:jc w:val="center"/>
                    <w:rPr>
                      <w:rFonts w:eastAsiaTheme="minorEastAsia"/>
                      <w:color w:val="FF0000"/>
                      <w:kern w:val="0"/>
                      <w:szCs w:val="21"/>
                    </w:rPr>
                  </w:pPr>
                </w:p>
              </w:tc>
              <w:tc>
                <w:tcPr>
                  <w:tcW w:w="232" w:type="pct"/>
                  <w:shd w:val="clear" w:color="auto" w:fill="auto"/>
                  <w:vAlign w:val="center"/>
                </w:tcPr>
                <w:p w14:paraId="3EEF1CCF">
                  <w:pPr>
                    <w:jc w:val="center"/>
                    <w:rPr>
                      <w:rFonts w:hint="default" w:ascii="Times New Roman" w:hAnsi="Times New Roman" w:cs="Times New Roman" w:eastAsiaTheme="minorEastAsia"/>
                      <w:color w:val="auto"/>
                      <w:kern w:val="0"/>
                      <w:sz w:val="21"/>
                      <w:szCs w:val="21"/>
                      <w:lang w:val="en-US" w:eastAsia="zh-CN" w:bidi="ar-SA"/>
                    </w:rPr>
                  </w:pPr>
                  <w:r>
                    <w:rPr>
                      <w:rFonts w:hint="eastAsia" w:cs="Times New Roman" w:eastAsiaTheme="minorEastAsia"/>
                      <w:color w:val="auto"/>
                      <w:kern w:val="0"/>
                      <w:sz w:val="21"/>
                      <w:szCs w:val="21"/>
                      <w:lang w:val="en-US" w:eastAsia="zh-CN" w:bidi="ar-SA"/>
                    </w:rPr>
                    <w:t>10</w:t>
                  </w:r>
                </w:p>
              </w:tc>
              <w:tc>
                <w:tcPr>
                  <w:tcW w:w="233" w:type="pct"/>
                  <w:shd w:val="clear" w:color="auto" w:fill="auto"/>
                  <w:vAlign w:val="center"/>
                </w:tcPr>
                <w:p w14:paraId="111CD0C3">
                  <w:pPr>
                    <w:jc w:val="center"/>
                    <w:rPr>
                      <w:rFonts w:hint="default" w:ascii="Times New Roman" w:hAnsi="Times New Roman" w:cs="Times New Roman" w:eastAsiaTheme="minorEastAsia"/>
                      <w:color w:val="auto"/>
                      <w:kern w:val="0"/>
                      <w:sz w:val="21"/>
                      <w:szCs w:val="21"/>
                      <w:lang w:val="en-US" w:eastAsia="zh-CN" w:bidi="ar-SA"/>
                    </w:rPr>
                  </w:pPr>
                  <w:r>
                    <w:rPr>
                      <w:rFonts w:hint="eastAsia" w:cs="Times New Roman" w:eastAsiaTheme="minorEastAsia"/>
                      <w:color w:val="auto"/>
                      <w:kern w:val="0"/>
                      <w:sz w:val="21"/>
                      <w:szCs w:val="21"/>
                      <w:lang w:val="en-US" w:eastAsia="zh-CN" w:bidi="ar-SA"/>
                    </w:rPr>
                    <w:t>15</w:t>
                  </w:r>
                </w:p>
              </w:tc>
              <w:tc>
                <w:tcPr>
                  <w:tcW w:w="0" w:type="auto"/>
                  <w:shd w:val="clear" w:color="auto" w:fill="auto"/>
                  <w:vAlign w:val="center"/>
                </w:tcPr>
                <w:p w14:paraId="77D9BF4D">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w:t>
                  </w:r>
                </w:p>
              </w:tc>
              <w:tc>
                <w:tcPr>
                  <w:tcW w:w="252" w:type="pct"/>
                  <w:vAlign w:val="center"/>
                </w:tcPr>
                <w:p w14:paraId="44A99650">
                  <w:pPr>
                    <w:jc w:val="center"/>
                    <w:rPr>
                      <w:rFonts w:hint="default" w:eastAsiaTheme="minorEastAsia"/>
                      <w:color w:val="auto"/>
                      <w:kern w:val="0"/>
                      <w:szCs w:val="21"/>
                      <w:lang w:val="en-US" w:eastAsia="zh-CN"/>
                    </w:rPr>
                  </w:pPr>
                  <w:r>
                    <w:rPr>
                      <w:rFonts w:hint="eastAsia" w:eastAsiaTheme="minorEastAsia"/>
                      <w:color w:val="auto"/>
                      <w:kern w:val="0"/>
                      <w:szCs w:val="21"/>
                      <w:lang w:val="en-US" w:eastAsia="zh-CN"/>
                    </w:rPr>
                    <w:t>10</w:t>
                  </w:r>
                </w:p>
              </w:tc>
              <w:tc>
                <w:tcPr>
                  <w:tcW w:w="276" w:type="pct"/>
                  <w:vAlign w:val="center"/>
                </w:tcPr>
                <w:p w14:paraId="2E944639">
                  <w:pPr>
                    <w:jc w:val="center"/>
                    <w:rPr>
                      <w:rFonts w:hint="default" w:eastAsiaTheme="minorEastAsia"/>
                      <w:color w:val="auto"/>
                      <w:kern w:val="0"/>
                      <w:szCs w:val="21"/>
                      <w:lang w:val="en-US" w:eastAsia="zh-CN"/>
                    </w:rPr>
                  </w:pPr>
                  <w:r>
                    <w:rPr>
                      <w:rFonts w:hint="eastAsia" w:eastAsiaTheme="minorEastAsia"/>
                      <w:color w:val="auto"/>
                      <w:kern w:val="0"/>
                      <w:szCs w:val="21"/>
                      <w:lang w:val="en-US" w:eastAsia="zh-CN"/>
                    </w:rPr>
                    <w:t>90</w:t>
                  </w:r>
                </w:p>
              </w:tc>
              <w:tc>
                <w:tcPr>
                  <w:tcW w:w="0" w:type="auto"/>
                  <w:vAlign w:val="center"/>
                </w:tcPr>
                <w:p w14:paraId="3906588F">
                  <w:pPr>
                    <w:jc w:val="center"/>
                    <w:rPr>
                      <w:rFonts w:hint="eastAsia" w:eastAsiaTheme="minorEastAsia"/>
                      <w:color w:val="auto"/>
                      <w:kern w:val="0"/>
                      <w:szCs w:val="21"/>
                      <w:lang w:val="en-US" w:eastAsia="zh-CN"/>
                    </w:rPr>
                  </w:pPr>
                  <w:r>
                    <w:rPr>
                      <w:rFonts w:hint="eastAsia" w:cs="Times New Roman" w:eastAsiaTheme="minorEastAsia"/>
                      <w:color w:val="auto"/>
                      <w:kern w:val="0"/>
                      <w:sz w:val="21"/>
                      <w:szCs w:val="21"/>
                      <w:lang w:val="en-US" w:eastAsia="zh-CN" w:bidi="ar-SA"/>
                    </w:rPr>
                    <w:t>8：00-16：00</w:t>
                  </w:r>
                </w:p>
              </w:tc>
              <w:tc>
                <w:tcPr>
                  <w:tcW w:w="295" w:type="pct"/>
                  <w:vAlign w:val="center"/>
                </w:tcPr>
                <w:p w14:paraId="466DB6D4">
                  <w:pPr>
                    <w:jc w:val="center"/>
                    <w:rPr>
                      <w:rFonts w:hint="eastAsia" w:eastAsiaTheme="minorEastAsia"/>
                      <w:color w:val="auto"/>
                      <w:kern w:val="0"/>
                      <w:szCs w:val="21"/>
                    </w:rPr>
                  </w:pPr>
                  <w:r>
                    <w:rPr>
                      <w:rFonts w:hint="eastAsia" w:eastAsiaTheme="minorEastAsia"/>
                      <w:color w:val="auto"/>
                      <w:kern w:val="0"/>
                      <w:szCs w:val="21"/>
                    </w:rPr>
                    <w:t>30</w:t>
                  </w:r>
                </w:p>
              </w:tc>
              <w:tc>
                <w:tcPr>
                  <w:tcW w:w="295" w:type="pct"/>
                  <w:vMerge w:val="continue"/>
                  <w:vAlign w:val="center"/>
                </w:tcPr>
                <w:p w14:paraId="30865E61">
                  <w:pPr>
                    <w:jc w:val="center"/>
                    <w:rPr>
                      <w:rFonts w:hint="default" w:eastAsiaTheme="minorEastAsia"/>
                      <w:color w:val="FF0000"/>
                      <w:kern w:val="0"/>
                      <w:szCs w:val="21"/>
                      <w:lang w:val="en-US" w:eastAsia="zh-CN"/>
                    </w:rPr>
                  </w:pPr>
                </w:p>
              </w:tc>
              <w:tc>
                <w:tcPr>
                  <w:tcW w:w="298" w:type="pct"/>
                  <w:vMerge w:val="continue"/>
                  <w:vAlign w:val="center"/>
                </w:tcPr>
                <w:p w14:paraId="77D2D493">
                  <w:pPr>
                    <w:jc w:val="center"/>
                    <w:rPr>
                      <w:rFonts w:hint="default" w:eastAsiaTheme="minorEastAsia"/>
                      <w:color w:val="FF0000"/>
                      <w:kern w:val="0"/>
                      <w:szCs w:val="21"/>
                      <w:lang w:val="en-US" w:eastAsia="zh-CN"/>
                    </w:rPr>
                  </w:pPr>
                </w:p>
              </w:tc>
            </w:tr>
          </w:tbl>
          <w:p w14:paraId="35C11946">
            <w:pPr>
              <w:pStyle w:val="2"/>
              <w:ind w:left="0" w:leftChars="0" w:firstLine="360" w:firstLineChars="200"/>
              <w:rPr>
                <w:rFonts w:hint="eastAsia" w:eastAsiaTheme="minorEastAsia"/>
                <w:b w:val="0"/>
                <w:bCs/>
                <w:color w:val="auto"/>
                <w:sz w:val="18"/>
                <w:szCs w:val="18"/>
              </w:rPr>
            </w:pPr>
            <w:r>
              <w:rPr>
                <w:rFonts w:hint="eastAsia" w:eastAsiaTheme="minorEastAsia"/>
                <w:b w:val="0"/>
                <w:bCs/>
                <w:color w:val="auto"/>
                <w:sz w:val="18"/>
                <w:szCs w:val="18"/>
              </w:rPr>
              <w:t>*注：空间相对坐标以</w:t>
            </w:r>
            <w:r>
              <w:rPr>
                <w:rFonts w:hint="eastAsia" w:eastAsiaTheme="minorEastAsia"/>
                <w:b w:val="0"/>
                <w:bCs/>
                <w:color w:val="auto"/>
                <w:sz w:val="18"/>
                <w:szCs w:val="18"/>
                <w:lang w:val="en-US" w:eastAsia="zh-CN"/>
              </w:rPr>
              <w:t>车间的</w:t>
            </w:r>
            <w:r>
              <w:rPr>
                <w:rFonts w:hint="eastAsia" w:eastAsiaTheme="minorEastAsia"/>
                <w:b w:val="0"/>
                <w:bCs/>
                <w:color w:val="auto"/>
                <w:sz w:val="18"/>
                <w:szCs w:val="18"/>
              </w:rPr>
              <w:t>西南角为原点（0</w:t>
            </w:r>
            <w:r>
              <w:rPr>
                <w:rFonts w:hint="eastAsia" w:eastAsiaTheme="minorEastAsia"/>
                <w:b w:val="0"/>
                <w:bCs/>
                <w:color w:val="auto"/>
                <w:sz w:val="18"/>
                <w:szCs w:val="18"/>
                <w:lang w:eastAsia="zh-CN"/>
              </w:rPr>
              <w:t>，</w:t>
            </w:r>
            <w:r>
              <w:rPr>
                <w:rFonts w:hint="eastAsia" w:eastAsiaTheme="minorEastAsia"/>
                <w:b w:val="0"/>
                <w:bCs/>
                <w:color w:val="auto"/>
                <w:sz w:val="18"/>
                <w:szCs w:val="18"/>
              </w:rPr>
              <w:t>0</w:t>
            </w:r>
            <w:r>
              <w:rPr>
                <w:rFonts w:hint="eastAsia" w:eastAsiaTheme="minorEastAsia"/>
                <w:b w:val="0"/>
                <w:bCs/>
                <w:color w:val="auto"/>
                <w:sz w:val="18"/>
                <w:szCs w:val="18"/>
                <w:lang w:eastAsia="zh-CN"/>
              </w:rPr>
              <w:t>，</w:t>
            </w:r>
            <w:r>
              <w:rPr>
                <w:rFonts w:hint="eastAsia" w:eastAsiaTheme="minorEastAsia"/>
                <w:b w:val="0"/>
                <w:bCs/>
                <w:color w:val="auto"/>
                <w:sz w:val="18"/>
                <w:szCs w:val="18"/>
              </w:rPr>
              <w:t>0）</w:t>
            </w:r>
          </w:p>
          <w:p w14:paraId="1B191CF4">
            <w:pPr>
              <w:rPr>
                <w:rFonts w:hint="eastAsia" w:eastAsiaTheme="minorEastAsia"/>
                <w:b w:val="0"/>
                <w:bCs/>
                <w:color w:val="FF0000"/>
                <w:sz w:val="18"/>
                <w:szCs w:val="18"/>
              </w:rPr>
            </w:pPr>
          </w:p>
          <w:p w14:paraId="133BB567">
            <w:pPr>
              <w:rPr>
                <w:rFonts w:hint="eastAsia" w:eastAsiaTheme="minorEastAsia"/>
                <w:b w:val="0"/>
                <w:bCs/>
                <w:color w:val="FF0000"/>
                <w:sz w:val="18"/>
                <w:szCs w:val="18"/>
              </w:rPr>
            </w:pPr>
          </w:p>
          <w:p w14:paraId="07DBAD1A">
            <w:pPr>
              <w:pStyle w:val="3"/>
              <w:rPr>
                <w:rFonts w:hint="eastAsia" w:eastAsiaTheme="minorEastAsia"/>
                <w:b w:val="0"/>
                <w:bCs/>
                <w:color w:val="FF0000"/>
                <w:sz w:val="18"/>
                <w:szCs w:val="18"/>
              </w:rPr>
            </w:pPr>
          </w:p>
          <w:p w14:paraId="4E1215DF">
            <w:pPr>
              <w:rPr>
                <w:rFonts w:hint="eastAsia" w:eastAsiaTheme="minorEastAsia"/>
                <w:b w:val="0"/>
                <w:bCs/>
                <w:color w:val="FF0000"/>
                <w:sz w:val="18"/>
                <w:szCs w:val="18"/>
              </w:rPr>
            </w:pPr>
          </w:p>
          <w:p w14:paraId="1776632C">
            <w:pPr>
              <w:pStyle w:val="3"/>
              <w:rPr>
                <w:rFonts w:hint="eastAsia" w:eastAsiaTheme="minorEastAsia"/>
                <w:b w:val="0"/>
                <w:bCs/>
                <w:color w:val="FF0000"/>
                <w:sz w:val="18"/>
                <w:szCs w:val="18"/>
              </w:rPr>
            </w:pPr>
          </w:p>
          <w:p w14:paraId="2E2BE5D8">
            <w:pPr>
              <w:rPr>
                <w:rFonts w:hint="eastAsia" w:eastAsiaTheme="minorEastAsia"/>
                <w:b w:val="0"/>
                <w:bCs/>
                <w:color w:val="FF0000"/>
                <w:sz w:val="18"/>
                <w:szCs w:val="18"/>
              </w:rPr>
            </w:pPr>
          </w:p>
          <w:p w14:paraId="4A7A63DB">
            <w:pPr>
              <w:pStyle w:val="3"/>
              <w:rPr>
                <w:rFonts w:hint="eastAsia" w:eastAsiaTheme="minorEastAsia"/>
                <w:b w:val="0"/>
                <w:bCs/>
                <w:color w:val="FF0000"/>
                <w:sz w:val="18"/>
                <w:szCs w:val="18"/>
              </w:rPr>
            </w:pPr>
          </w:p>
          <w:p w14:paraId="0353538B">
            <w:pPr>
              <w:rPr>
                <w:rFonts w:hint="eastAsia" w:eastAsiaTheme="minorEastAsia"/>
                <w:b w:val="0"/>
                <w:bCs/>
                <w:color w:val="FF0000"/>
                <w:sz w:val="18"/>
                <w:szCs w:val="18"/>
              </w:rPr>
            </w:pPr>
          </w:p>
          <w:p w14:paraId="08199F86">
            <w:pPr>
              <w:pStyle w:val="3"/>
              <w:rPr>
                <w:rFonts w:hint="eastAsia" w:eastAsiaTheme="minorEastAsia"/>
                <w:b w:val="0"/>
                <w:bCs/>
                <w:color w:val="FF0000"/>
                <w:sz w:val="18"/>
                <w:szCs w:val="18"/>
              </w:rPr>
            </w:pPr>
          </w:p>
          <w:p w14:paraId="24306C88">
            <w:pPr>
              <w:rPr>
                <w:rFonts w:hint="eastAsia" w:eastAsiaTheme="minorEastAsia"/>
                <w:b w:val="0"/>
                <w:bCs/>
                <w:color w:val="FF0000"/>
                <w:sz w:val="18"/>
                <w:szCs w:val="18"/>
              </w:rPr>
            </w:pPr>
          </w:p>
          <w:p w14:paraId="3CBEFB45">
            <w:pPr>
              <w:pStyle w:val="3"/>
              <w:rPr>
                <w:rFonts w:hint="eastAsia" w:eastAsiaTheme="minorEastAsia"/>
                <w:b w:val="0"/>
                <w:bCs/>
                <w:color w:val="FF0000"/>
                <w:sz w:val="18"/>
                <w:szCs w:val="18"/>
              </w:rPr>
            </w:pPr>
          </w:p>
          <w:p w14:paraId="12129C75">
            <w:pPr>
              <w:rPr>
                <w:rFonts w:hint="eastAsia" w:eastAsiaTheme="minorEastAsia"/>
                <w:b w:val="0"/>
                <w:bCs/>
                <w:color w:val="FF0000"/>
                <w:sz w:val="18"/>
                <w:szCs w:val="18"/>
              </w:rPr>
            </w:pPr>
          </w:p>
          <w:p w14:paraId="458F30F0">
            <w:pPr>
              <w:pStyle w:val="3"/>
              <w:rPr>
                <w:rFonts w:hint="eastAsia" w:eastAsiaTheme="minorEastAsia"/>
                <w:b w:val="0"/>
                <w:bCs/>
                <w:color w:val="FF0000"/>
                <w:sz w:val="18"/>
                <w:szCs w:val="18"/>
              </w:rPr>
            </w:pPr>
          </w:p>
          <w:p w14:paraId="563B729F">
            <w:pPr>
              <w:rPr>
                <w:rFonts w:hint="eastAsia"/>
                <w:color w:val="FF0000"/>
              </w:rPr>
            </w:pPr>
          </w:p>
          <w:p w14:paraId="338A926C">
            <w:pPr>
              <w:pStyle w:val="3"/>
              <w:rPr>
                <w:rFonts w:hint="eastAsia" w:eastAsiaTheme="minorEastAsia"/>
                <w:b w:val="0"/>
                <w:bCs/>
                <w:color w:val="FF0000"/>
                <w:sz w:val="18"/>
                <w:szCs w:val="18"/>
              </w:rPr>
            </w:pPr>
          </w:p>
          <w:p w14:paraId="1892F490">
            <w:pPr>
              <w:rPr>
                <w:rFonts w:hint="eastAsia"/>
                <w:color w:val="FF0000"/>
              </w:rPr>
            </w:pPr>
          </w:p>
          <w:p w14:paraId="50A56016">
            <w:pPr>
              <w:pStyle w:val="3"/>
              <w:rPr>
                <w:rFonts w:hint="eastAsia"/>
                <w:color w:val="FF0000"/>
              </w:rPr>
            </w:pPr>
          </w:p>
          <w:p w14:paraId="5012CF9C">
            <w:pPr>
              <w:rPr>
                <w:rFonts w:hint="eastAsia"/>
                <w:color w:val="FF0000"/>
              </w:rPr>
            </w:pPr>
          </w:p>
          <w:p w14:paraId="4C158C75">
            <w:pPr>
              <w:rPr>
                <w:color w:val="FF0000"/>
              </w:rPr>
            </w:pPr>
          </w:p>
        </w:tc>
      </w:tr>
    </w:tbl>
    <w:p w14:paraId="06AAAF1A">
      <w:pPr>
        <w:pStyle w:val="2"/>
        <w:ind w:firstLine="0" w:firstLineChars="0"/>
        <w:rPr>
          <w:color w:val="FF0000"/>
        </w:rPr>
        <w:sectPr>
          <w:pgSz w:w="16838" w:h="11905" w:orient="landscape"/>
          <w:pgMar w:top="1803" w:right="1276" w:bottom="1803" w:left="1712" w:header="850" w:footer="992" w:gutter="0"/>
          <w:pgBorders>
            <w:top w:val="none" w:sz="0" w:space="0"/>
            <w:left w:val="none" w:sz="0" w:space="0"/>
            <w:bottom w:val="none" w:sz="0" w:space="0"/>
            <w:right w:val="none" w:sz="0" w:space="0"/>
          </w:pgBorders>
          <w:pgNumType w:fmt="decimal"/>
          <w:cols w:space="0" w:num="1"/>
          <w:docGrid w:type="lines" w:linePitch="319" w:charSpace="0"/>
        </w:sectPr>
      </w:pPr>
    </w:p>
    <w:tbl>
      <w:tblPr>
        <w:tblStyle w:val="35"/>
        <w:tblW w:w="84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1"/>
        <w:gridCol w:w="8154"/>
      </w:tblGrid>
      <w:tr w14:paraId="32F64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9" w:hRule="atLeast"/>
          <w:jc w:val="center"/>
        </w:trPr>
        <w:tc>
          <w:tcPr>
            <w:tcW w:w="281" w:type="dxa"/>
            <w:tcMar>
              <w:left w:w="28" w:type="dxa"/>
              <w:right w:w="28" w:type="dxa"/>
            </w:tcMar>
            <w:vAlign w:val="center"/>
          </w:tcPr>
          <w:p w14:paraId="19BFE996">
            <w:pPr>
              <w:pStyle w:val="2"/>
              <w:ind w:firstLine="0" w:firstLineChars="0"/>
              <w:rPr>
                <w:color w:val="FF0000"/>
              </w:rPr>
            </w:pPr>
          </w:p>
        </w:tc>
        <w:tc>
          <w:tcPr>
            <w:tcW w:w="8154" w:type="dxa"/>
            <w:vAlign w:val="center"/>
          </w:tcPr>
          <w:p w14:paraId="4C2FE9D3">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b/>
                <w:bCs/>
                <w:color w:val="auto"/>
                <w:sz w:val="24"/>
                <w:szCs w:val="24"/>
              </w:rPr>
            </w:pPr>
            <w:r>
              <w:rPr>
                <w:b/>
                <w:bCs/>
                <w:color w:val="auto"/>
                <w:sz w:val="24"/>
                <w:szCs w:val="24"/>
              </w:rPr>
              <w:t>3.2</w:t>
            </w:r>
            <w:r>
              <w:rPr>
                <w:rFonts w:hint="eastAsia"/>
                <w:b/>
                <w:bCs/>
                <w:color w:val="auto"/>
                <w:sz w:val="24"/>
                <w:szCs w:val="24"/>
              </w:rPr>
              <w:t>降噪措施情况</w:t>
            </w:r>
          </w:p>
          <w:p w14:paraId="496C924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color w:val="auto"/>
                <w:sz w:val="24"/>
                <w:szCs w:val="24"/>
              </w:rPr>
            </w:pPr>
            <w:r>
              <w:rPr>
                <w:rFonts w:hint="eastAsia"/>
                <w:color w:val="auto"/>
                <w:sz w:val="24"/>
                <w:szCs w:val="24"/>
                <w:lang w:val="en-US" w:eastAsia="zh-CN"/>
              </w:rPr>
              <w:t>本项目</w:t>
            </w:r>
            <w:r>
              <w:rPr>
                <w:color w:val="auto"/>
                <w:sz w:val="24"/>
                <w:szCs w:val="24"/>
              </w:rPr>
              <w:t>拟选用质量好、噪声低、振动低的设备，并采用</w:t>
            </w:r>
            <w:r>
              <w:rPr>
                <w:rFonts w:hint="eastAsia" w:ascii="宋体" w:hAnsi="宋体"/>
                <w:color w:val="auto"/>
                <w:sz w:val="24"/>
                <w:szCs w:val="24"/>
                <w:lang w:eastAsia="zh-CN"/>
              </w:rPr>
              <w:t>“</w:t>
            </w:r>
            <w:r>
              <w:rPr>
                <w:rFonts w:ascii="宋体" w:hAnsi="宋体"/>
                <w:color w:val="auto"/>
                <w:sz w:val="24"/>
                <w:szCs w:val="24"/>
              </w:rPr>
              <w:t>闹静分开</w:t>
            </w:r>
            <w:r>
              <w:rPr>
                <w:rFonts w:hint="eastAsia" w:ascii="宋体" w:hAnsi="宋体"/>
                <w:color w:val="auto"/>
                <w:sz w:val="24"/>
                <w:szCs w:val="24"/>
                <w:lang w:eastAsia="zh-CN"/>
              </w:rPr>
              <w:t>”</w:t>
            </w:r>
            <w:r>
              <w:rPr>
                <w:rFonts w:ascii="宋体" w:hAnsi="宋体"/>
                <w:color w:val="auto"/>
                <w:sz w:val="24"/>
                <w:szCs w:val="24"/>
              </w:rPr>
              <w:t>和</w:t>
            </w:r>
            <w:r>
              <w:rPr>
                <w:rFonts w:hint="eastAsia" w:ascii="宋体" w:hAnsi="宋体"/>
                <w:color w:val="auto"/>
                <w:sz w:val="24"/>
                <w:szCs w:val="24"/>
                <w:lang w:eastAsia="zh-CN"/>
              </w:rPr>
              <w:t>“</w:t>
            </w:r>
            <w:r>
              <w:rPr>
                <w:rFonts w:ascii="宋体" w:hAnsi="宋体"/>
                <w:color w:val="auto"/>
                <w:sz w:val="24"/>
                <w:szCs w:val="24"/>
              </w:rPr>
              <w:t>合理布局</w:t>
            </w:r>
            <w:r>
              <w:rPr>
                <w:rFonts w:hint="eastAsia" w:ascii="宋体" w:hAnsi="宋体"/>
                <w:color w:val="auto"/>
                <w:sz w:val="24"/>
                <w:szCs w:val="24"/>
                <w:lang w:eastAsia="zh-CN"/>
              </w:rPr>
              <w:t>”</w:t>
            </w:r>
            <w:r>
              <w:rPr>
                <w:rFonts w:ascii="宋体" w:hAnsi="宋体"/>
                <w:color w:val="auto"/>
                <w:sz w:val="24"/>
                <w:szCs w:val="24"/>
              </w:rPr>
              <w:t>的原</w:t>
            </w:r>
            <w:r>
              <w:rPr>
                <w:color w:val="auto"/>
                <w:sz w:val="24"/>
                <w:szCs w:val="24"/>
              </w:rPr>
              <w:t>则，对机械噪声采取隔声、减震、安装隔声垫等措施降噪</w:t>
            </w:r>
            <w:r>
              <w:rPr>
                <w:rFonts w:hint="eastAsia"/>
                <w:color w:val="auto"/>
                <w:sz w:val="24"/>
                <w:szCs w:val="24"/>
              </w:rPr>
              <w:t>，</w:t>
            </w:r>
            <w:r>
              <w:rPr>
                <w:color w:val="auto"/>
                <w:sz w:val="24"/>
                <w:szCs w:val="24"/>
              </w:rPr>
              <w:t>预计总降噪效果可达</w:t>
            </w:r>
            <w:r>
              <w:rPr>
                <w:rFonts w:hint="eastAsia"/>
                <w:color w:val="auto"/>
                <w:sz w:val="24"/>
                <w:szCs w:val="24"/>
                <w:lang w:val="en-US" w:eastAsia="zh-CN"/>
              </w:rPr>
              <w:t>15-20</w:t>
            </w:r>
            <w:r>
              <w:rPr>
                <w:color w:val="auto"/>
                <w:sz w:val="24"/>
                <w:szCs w:val="24"/>
              </w:rPr>
              <w:t>dB（A）。</w:t>
            </w:r>
          </w:p>
          <w:p w14:paraId="4B163662">
            <w:pPr>
              <w:adjustRightInd w:val="0"/>
              <w:snapToGrid w:val="0"/>
              <w:spacing w:line="360" w:lineRule="auto"/>
              <w:ind w:firstLine="482" w:firstLineChars="200"/>
              <w:rPr>
                <w:rFonts w:eastAsiaTheme="minorEastAsia"/>
                <w:b/>
                <w:bCs/>
                <w:color w:val="auto"/>
                <w:sz w:val="24"/>
                <w:szCs w:val="24"/>
              </w:rPr>
            </w:pPr>
            <w:r>
              <w:rPr>
                <w:rFonts w:hint="eastAsia"/>
                <w:b/>
                <w:bCs/>
                <w:color w:val="auto"/>
                <w:sz w:val="24"/>
                <w:szCs w:val="24"/>
              </w:rPr>
              <w:t>3.3</w:t>
            </w:r>
            <w:r>
              <w:rPr>
                <w:rFonts w:eastAsiaTheme="minorEastAsia"/>
                <w:b/>
                <w:bCs/>
                <w:color w:val="auto"/>
                <w:sz w:val="24"/>
                <w:szCs w:val="24"/>
              </w:rPr>
              <w:t>声环境影响分析</w:t>
            </w:r>
          </w:p>
          <w:p w14:paraId="3AFD65D1">
            <w:pPr>
              <w:pStyle w:val="18"/>
              <w:snapToGrid w:val="0"/>
              <w:ind w:firstLineChars="200"/>
              <w:rPr>
                <w:rFonts w:eastAsiaTheme="minorEastAsia"/>
                <w:color w:val="auto"/>
                <w:szCs w:val="24"/>
              </w:rPr>
            </w:pPr>
            <w:r>
              <w:rPr>
                <w:rFonts w:eastAsiaTheme="minorEastAsia"/>
                <w:color w:val="auto"/>
                <w:szCs w:val="24"/>
              </w:rPr>
              <w:t>（1）预测模式</w:t>
            </w:r>
          </w:p>
          <w:p w14:paraId="4691EBF1">
            <w:pPr>
              <w:pStyle w:val="18"/>
              <w:snapToGrid w:val="0"/>
              <w:ind w:firstLineChars="200"/>
              <w:rPr>
                <w:rFonts w:eastAsiaTheme="minorEastAsia"/>
                <w:color w:val="auto"/>
                <w:szCs w:val="24"/>
              </w:rPr>
            </w:pPr>
            <w:r>
              <w:rPr>
                <w:rFonts w:eastAsiaTheme="minorEastAsia"/>
                <w:color w:val="auto"/>
                <w:szCs w:val="24"/>
              </w:rPr>
              <w:t>噪声预测采用《</w:t>
            </w:r>
            <w:r>
              <w:rPr>
                <w:rFonts w:hint="eastAsia" w:eastAsiaTheme="minorEastAsia"/>
                <w:color w:val="auto"/>
                <w:szCs w:val="24"/>
              </w:rPr>
              <w:t>环境影响评价技术导则声环境</w:t>
            </w:r>
            <w:r>
              <w:rPr>
                <w:rFonts w:eastAsiaTheme="minorEastAsia"/>
                <w:color w:val="auto"/>
                <w:szCs w:val="24"/>
              </w:rPr>
              <w:t>》（</w:t>
            </w:r>
            <w:r>
              <w:rPr>
                <w:rFonts w:hint="eastAsia" w:eastAsiaTheme="minorEastAsia"/>
                <w:color w:val="auto"/>
                <w:szCs w:val="24"/>
              </w:rPr>
              <w:t>HJ2.4-2021</w:t>
            </w:r>
            <w:r>
              <w:rPr>
                <w:rFonts w:eastAsiaTheme="minorEastAsia"/>
                <w:color w:val="auto"/>
                <w:szCs w:val="24"/>
              </w:rPr>
              <w:t>）附录</w:t>
            </w:r>
            <w:r>
              <w:rPr>
                <w:rFonts w:hint="eastAsia" w:eastAsiaTheme="minorEastAsia"/>
                <w:color w:val="auto"/>
                <w:szCs w:val="24"/>
              </w:rPr>
              <w:t>B</w:t>
            </w:r>
            <w:r>
              <w:rPr>
                <w:rFonts w:eastAsiaTheme="minorEastAsia"/>
                <w:color w:val="auto"/>
                <w:szCs w:val="24"/>
              </w:rPr>
              <w:t>.1工业噪声预测</w:t>
            </w:r>
            <w:r>
              <w:rPr>
                <w:rFonts w:hint="eastAsia" w:eastAsiaTheme="minorEastAsia"/>
                <w:color w:val="auto"/>
                <w:szCs w:val="24"/>
              </w:rPr>
              <w:t>计算模型</w:t>
            </w:r>
            <w:r>
              <w:rPr>
                <w:rFonts w:eastAsiaTheme="minorEastAsia"/>
                <w:color w:val="auto"/>
                <w:szCs w:val="24"/>
              </w:rPr>
              <w:t>，本项目设备声源均为室内声源，本次预测将室内声源等效成室外声源，然后按室外声源方法计算预测点出的A声级。</w:t>
            </w:r>
          </w:p>
          <w:p w14:paraId="076A5DC0">
            <w:pPr>
              <w:pStyle w:val="18"/>
              <w:snapToGrid w:val="0"/>
              <w:ind w:firstLineChars="200"/>
              <w:rPr>
                <w:rFonts w:eastAsiaTheme="minorEastAsia"/>
                <w:color w:val="auto"/>
                <w:szCs w:val="24"/>
              </w:rPr>
            </w:pPr>
            <w:r>
              <w:rPr>
                <w:rFonts w:hint="eastAsia" w:ascii="宋体" w:hAnsi="宋体" w:cs="宋体"/>
                <w:color w:val="auto"/>
                <w:szCs w:val="24"/>
              </w:rPr>
              <w:t>①</w:t>
            </w:r>
            <w:r>
              <w:rPr>
                <w:rFonts w:eastAsiaTheme="minorEastAsia"/>
                <w:color w:val="auto"/>
                <w:szCs w:val="24"/>
              </w:rPr>
              <w:t>室外点声源在预测点产生的声级计算</w:t>
            </w:r>
            <w:r>
              <w:rPr>
                <w:rFonts w:hint="eastAsia" w:eastAsiaTheme="minorEastAsia"/>
                <w:color w:val="auto"/>
                <w:szCs w:val="24"/>
              </w:rPr>
              <w:t>模型（根据</w:t>
            </w:r>
            <w:r>
              <w:rPr>
                <w:rFonts w:eastAsiaTheme="minorEastAsia"/>
                <w:color w:val="auto"/>
                <w:szCs w:val="24"/>
              </w:rPr>
              <w:t>《</w:t>
            </w:r>
            <w:r>
              <w:rPr>
                <w:rFonts w:hint="eastAsia" w:eastAsiaTheme="minorEastAsia"/>
                <w:color w:val="auto"/>
                <w:szCs w:val="24"/>
              </w:rPr>
              <w:t>环境影响评价技术导则声环境</w:t>
            </w:r>
            <w:r>
              <w:rPr>
                <w:rFonts w:eastAsiaTheme="minorEastAsia"/>
                <w:color w:val="auto"/>
                <w:szCs w:val="24"/>
              </w:rPr>
              <w:t>》（</w:t>
            </w:r>
            <w:r>
              <w:rPr>
                <w:rFonts w:hint="eastAsia" w:eastAsiaTheme="minorEastAsia"/>
                <w:color w:val="auto"/>
                <w:szCs w:val="24"/>
              </w:rPr>
              <w:t>HJ2.4-2021</w:t>
            </w:r>
            <w:r>
              <w:rPr>
                <w:rFonts w:eastAsiaTheme="minorEastAsia"/>
                <w:color w:val="auto"/>
                <w:szCs w:val="24"/>
              </w:rPr>
              <w:t>）</w:t>
            </w:r>
            <w:r>
              <w:rPr>
                <w:rFonts w:hint="eastAsia" w:eastAsiaTheme="minorEastAsia"/>
                <w:color w:val="auto"/>
                <w:szCs w:val="24"/>
              </w:rPr>
              <w:t>附录A户外声传播的衰减）</w:t>
            </w:r>
            <w:r>
              <w:rPr>
                <w:rFonts w:eastAsiaTheme="minorEastAsia"/>
                <w:color w:val="auto"/>
                <w:szCs w:val="24"/>
              </w:rPr>
              <w:tab/>
            </w:r>
          </w:p>
          <w:p w14:paraId="75E0AB04">
            <w:pPr>
              <w:pStyle w:val="18"/>
              <w:snapToGrid w:val="0"/>
              <w:ind w:firstLineChars="200"/>
              <w:rPr>
                <w:rFonts w:eastAsiaTheme="minorEastAsia"/>
                <w:color w:val="auto"/>
                <w:szCs w:val="24"/>
              </w:rPr>
            </w:pPr>
            <w:r>
              <w:rPr>
                <w:rFonts w:hint="eastAsia" w:eastAsiaTheme="minorEastAsia"/>
                <w:color w:val="auto"/>
                <w:szCs w:val="24"/>
              </w:rPr>
              <w:t>在环境影响评价中，应根据声源声功率级，计算预测点的声级。</w:t>
            </w:r>
            <w:r>
              <w:rPr>
                <w:rFonts w:eastAsiaTheme="minorEastAsia"/>
                <w:color w:val="auto"/>
                <w:szCs w:val="24"/>
              </w:rPr>
              <w:t>已知声源的声功率级</w:t>
            </w:r>
            <w:r>
              <w:rPr>
                <w:rFonts w:hint="eastAsia" w:eastAsiaTheme="minorEastAsia"/>
                <w:color w:val="auto"/>
                <w:szCs w:val="24"/>
              </w:rPr>
              <w:t>（A计权或</w:t>
            </w:r>
            <w:r>
              <w:rPr>
                <w:rFonts w:eastAsiaTheme="minorEastAsia"/>
                <w:color w:val="auto"/>
                <w:szCs w:val="24"/>
              </w:rPr>
              <w:t>倍频带</w:t>
            </w:r>
            <w:r>
              <w:rPr>
                <w:rFonts w:hint="eastAsia" w:eastAsiaTheme="minorEastAsia"/>
                <w:color w:val="auto"/>
                <w:szCs w:val="24"/>
              </w:rPr>
              <w:t>）</w:t>
            </w:r>
            <w:r>
              <w:rPr>
                <w:rFonts w:eastAsiaTheme="minorEastAsia"/>
                <w:color w:val="auto"/>
                <w:szCs w:val="24"/>
              </w:rPr>
              <w:t>，预测点</w:t>
            </w:r>
            <w:r>
              <w:rPr>
                <w:rFonts w:hint="eastAsia" w:eastAsiaTheme="minorEastAsia"/>
                <w:color w:val="auto"/>
                <w:szCs w:val="24"/>
              </w:rPr>
              <w:t>处</w:t>
            </w:r>
            <w:r>
              <w:rPr>
                <w:rFonts w:eastAsiaTheme="minorEastAsia"/>
                <w:color w:val="auto"/>
                <w:szCs w:val="24"/>
              </w:rPr>
              <w:t>声压级</w:t>
            </w:r>
            <w:r>
              <w:rPr>
                <w:rFonts w:eastAsiaTheme="minorEastAsia"/>
                <w:color w:val="auto"/>
                <w:position w:val="-14"/>
                <w:szCs w:val="24"/>
              </w:rPr>
              <w:object>
                <v:shape id="_x0000_i1026" o:spt="75" type="#_x0000_t75" style="height:19.25pt;width:30.15pt;" o:ole="t" filled="f" coordsize="21600,21600">
                  <v:path/>
                  <v:fill on="f" focussize="0,0"/>
                  <v:stroke/>
                  <v:imagedata r:id="rId20" embosscolor="#FFFFFF" o:title=""/>
                  <o:lock v:ext="edit" aspectratio="t"/>
                  <w10:wrap type="none"/>
                  <w10:anchorlock/>
                </v:shape>
                <o:OLEObject Type="Embed" ProgID="Equation.DSMT4" ShapeID="_x0000_i1026" DrawAspect="Content" ObjectID="_1468075726" r:id="rId19">
                  <o:LockedField>false</o:LockedField>
                </o:OLEObject>
              </w:object>
            </w:r>
            <w:r>
              <w:rPr>
                <w:rFonts w:eastAsiaTheme="minorEastAsia"/>
                <w:color w:val="auto"/>
                <w:szCs w:val="24"/>
              </w:rPr>
              <w:t>按下式计算：</w:t>
            </w:r>
          </w:p>
          <w:p w14:paraId="3D5977BB">
            <w:pPr>
              <w:pStyle w:val="18"/>
              <w:ind w:firstLine="0"/>
              <w:jc w:val="center"/>
              <w:rPr>
                <w:rFonts w:eastAsiaTheme="minorEastAsia"/>
                <w:color w:val="auto"/>
                <w:szCs w:val="24"/>
              </w:rPr>
            </w:pPr>
            <w:r>
              <w:rPr>
                <w:color w:val="auto"/>
              </w:rPr>
              <w:drawing>
                <wp:inline distT="0" distB="0" distL="114300" distR="114300">
                  <wp:extent cx="3072765" cy="232410"/>
                  <wp:effectExtent l="0" t="0" r="13335" b="15240"/>
                  <wp:docPr id="6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34"/>
                          <pic:cNvPicPr>
                            <a:picLocks noChangeAspect="1"/>
                          </pic:cNvPicPr>
                        </pic:nvPicPr>
                        <pic:blipFill>
                          <a:blip r:embed="rId21"/>
                          <a:stretch>
                            <a:fillRect/>
                          </a:stretch>
                        </pic:blipFill>
                        <pic:spPr>
                          <a:xfrm>
                            <a:off x="0" y="0"/>
                            <a:ext cx="3072765" cy="232410"/>
                          </a:xfrm>
                          <a:prstGeom prst="rect">
                            <a:avLst/>
                          </a:prstGeom>
                          <a:noFill/>
                          <a:ln>
                            <a:noFill/>
                          </a:ln>
                        </pic:spPr>
                      </pic:pic>
                    </a:graphicData>
                  </a:graphic>
                </wp:inline>
              </w:drawing>
            </w:r>
          </w:p>
          <w:p w14:paraId="5BE0117A">
            <w:pPr>
              <w:pStyle w:val="18"/>
              <w:ind w:firstLineChars="200"/>
              <w:rPr>
                <w:rFonts w:eastAsiaTheme="minorEastAsia"/>
                <w:color w:val="auto"/>
                <w:szCs w:val="24"/>
              </w:rPr>
            </w:pPr>
            <w:r>
              <w:rPr>
                <w:rFonts w:eastAsiaTheme="minorEastAsia"/>
                <w:color w:val="auto"/>
                <w:szCs w:val="24"/>
              </w:rPr>
              <w:t>式中：</w:t>
            </w:r>
          </w:p>
          <w:p w14:paraId="69FC09BB">
            <w:pPr>
              <w:pStyle w:val="18"/>
              <w:ind w:firstLine="960" w:firstLineChars="400"/>
              <w:rPr>
                <w:rFonts w:eastAsiaTheme="minorEastAsia"/>
                <w:color w:val="auto"/>
                <w:szCs w:val="24"/>
              </w:rPr>
            </w:pPr>
            <w:r>
              <w:rPr>
                <w:rFonts w:eastAsiaTheme="minorEastAsia"/>
                <w:color w:val="auto"/>
                <w:position w:val="-14"/>
                <w:szCs w:val="24"/>
              </w:rPr>
              <w:object>
                <v:shape id="_x0000_i1027" o:spt="75" type="#_x0000_t75" style="height:20.1pt;width:31pt;" o:ole="t" filled="f" coordsize="21600,21600">
                  <v:path/>
                  <v:fill on="f" focussize="0,0"/>
                  <v:stroke/>
                  <v:imagedata r:id="rId20" o:title=""/>
                  <o:lock v:ext="edit" aspectratio="t"/>
                  <w10:wrap type="none"/>
                  <w10:anchorlock/>
                </v:shape>
                <o:OLEObject Type="Embed" ProgID="Equation.DSMT4" ShapeID="_x0000_i1027" DrawAspect="Content" ObjectID="_1468075727" r:id="rId22">
                  <o:LockedField>false</o:LockedField>
                </o:OLEObject>
              </w:object>
            </w:r>
            <w:r>
              <w:rPr>
                <w:rFonts w:eastAsiaTheme="minorEastAsia"/>
                <w:color w:val="auto"/>
                <w:szCs w:val="24"/>
              </w:rPr>
              <w:t>——预测点</w:t>
            </w:r>
            <w:r>
              <w:rPr>
                <w:rFonts w:hint="eastAsia" w:eastAsiaTheme="minorEastAsia"/>
                <w:color w:val="auto"/>
                <w:szCs w:val="24"/>
              </w:rPr>
              <w:t>处</w:t>
            </w:r>
            <w:r>
              <w:rPr>
                <w:rFonts w:eastAsiaTheme="minorEastAsia"/>
                <w:color w:val="auto"/>
                <w:szCs w:val="24"/>
              </w:rPr>
              <w:t>声压级，dB；</w:t>
            </w:r>
          </w:p>
          <w:p w14:paraId="439F1A8B">
            <w:pPr>
              <w:pStyle w:val="18"/>
              <w:ind w:firstLine="960" w:firstLineChars="400"/>
              <w:rPr>
                <w:rFonts w:eastAsiaTheme="minorEastAsia"/>
                <w:color w:val="auto"/>
                <w:szCs w:val="24"/>
              </w:rPr>
            </w:pPr>
            <w:r>
              <w:rPr>
                <w:rFonts w:eastAsiaTheme="minorEastAsia"/>
                <w:color w:val="auto"/>
                <w:position w:val="-6"/>
                <w:szCs w:val="24"/>
              </w:rPr>
              <w:object>
                <v:shape id="_x0000_i1028" o:spt="75" type="#_x0000_t75" style="height:14.25pt;width:19.25pt;" o:ole="t" filled="f" coordsize="21600,21600">
                  <v:path/>
                  <v:fill on="f" focussize="0,0"/>
                  <v:stroke/>
                  <v:imagedata r:id="rId24" embosscolor="#FFFFFF" o:title=""/>
                  <o:lock v:ext="edit" aspectratio="t"/>
                  <w10:wrap type="none"/>
                  <w10:anchorlock/>
                </v:shape>
                <o:OLEObject Type="Embed" ProgID="Equation.DSMT4" ShapeID="_x0000_i1028" DrawAspect="Content" ObjectID="_1468075728" r:id="rId23">
                  <o:LockedField>false</o:LockedField>
                </o:OLEObject>
              </w:object>
            </w:r>
            <w:r>
              <w:rPr>
                <w:rFonts w:eastAsiaTheme="minorEastAsia"/>
                <w:color w:val="auto"/>
                <w:szCs w:val="24"/>
              </w:rPr>
              <w:t>——</w:t>
            </w:r>
            <w:r>
              <w:rPr>
                <w:rFonts w:hint="eastAsia" w:eastAsiaTheme="minorEastAsia"/>
                <w:color w:val="auto"/>
                <w:szCs w:val="24"/>
              </w:rPr>
              <w:t>由点声源产生的</w:t>
            </w:r>
            <w:r>
              <w:rPr>
                <w:rFonts w:eastAsiaTheme="minorEastAsia"/>
                <w:color w:val="auto"/>
                <w:szCs w:val="24"/>
              </w:rPr>
              <w:t>声功率级</w:t>
            </w:r>
            <w:r>
              <w:rPr>
                <w:rFonts w:hint="eastAsia" w:eastAsiaTheme="minorEastAsia"/>
                <w:color w:val="auto"/>
                <w:szCs w:val="24"/>
              </w:rPr>
              <w:t>（A计权或</w:t>
            </w:r>
            <w:r>
              <w:rPr>
                <w:rFonts w:eastAsiaTheme="minorEastAsia"/>
                <w:color w:val="auto"/>
                <w:szCs w:val="24"/>
              </w:rPr>
              <w:t>倍频带</w:t>
            </w:r>
            <w:r>
              <w:rPr>
                <w:rFonts w:hint="eastAsia" w:eastAsiaTheme="minorEastAsia"/>
                <w:color w:val="auto"/>
                <w:szCs w:val="24"/>
              </w:rPr>
              <w:t>）</w:t>
            </w:r>
            <w:r>
              <w:rPr>
                <w:rFonts w:eastAsiaTheme="minorEastAsia"/>
                <w:color w:val="auto"/>
                <w:szCs w:val="24"/>
              </w:rPr>
              <w:t>，dB；</w:t>
            </w:r>
          </w:p>
          <w:p w14:paraId="5454EDA5">
            <w:pPr>
              <w:pStyle w:val="18"/>
              <w:ind w:firstLine="960" w:firstLineChars="400"/>
              <w:rPr>
                <w:rFonts w:eastAsiaTheme="minorEastAsia"/>
                <w:color w:val="auto"/>
                <w:szCs w:val="24"/>
              </w:rPr>
            </w:pPr>
            <w:r>
              <w:rPr>
                <w:rFonts w:eastAsiaTheme="minorEastAsia"/>
                <w:color w:val="auto"/>
                <w:position w:val="-6"/>
                <w:szCs w:val="24"/>
              </w:rPr>
              <w:object>
                <v:shape id="_x0000_i1029" o:spt="75" type="#_x0000_t75" style="height:14.25pt;width:19.25pt;" o:ole="t" filled="f" coordsize="21600,21600">
                  <v:path/>
                  <v:fill on="f" focussize="0,0"/>
                  <v:stroke/>
                  <v:imagedata r:id="rId26" embosscolor="#FFFFFF" o:title=""/>
                  <o:lock v:ext="edit" aspectratio="t"/>
                  <w10:wrap type="none"/>
                  <w10:anchorlock/>
                </v:shape>
                <o:OLEObject Type="Embed" ProgID="Equation.DSMT4" ShapeID="_x0000_i1029" DrawAspect="Content" ObjectID="_1468075729" r:id="rId25">
                  <o:LockedField>false</o:LockedField>
                </o:OLEObject>
              </w:object>
            </w:r>
            <w:r>
              <w:rPr>
                <w:rFonts w:eastAsiaTheme="minorEastAsia"/>
                <w:color w:val="auto"/>
                <w:szCs w:val="24"/>
              </w:rPr>
              <w:t>——指向性校正，</w:t>
            </w:r>
            <w:r>
              <w:rPr>
                <w:rFonts w:hint="eastAsia" w:eastAsiaTheme="minorEastAsia"/>
                <w:color w:val="auto"/>
                <w:szCs w:val="24"/>
              </w:rPr>
              <w:t>它描述点声源的等效连续声压级与产生声功率级</w:t>
            </w:r>
            <w:r>
              <w:rPr>
                <w:rFonts w:eastAsiaTheme="minorEastAsia"/>
                <w:color w:val="auto"/>
                <w:position w:val="-6"/>
                <w:szCs w:val="24"/>
              </w:rPr>
              <w:object>
                <v:shape id="_x0000_i1030" o:spt="75" type="#_x0000_t75" style="height:14.25pt;width:19.25pt;" o:ole="t" filled="f" coordsize="21600,21600">
                  <v:path/>
                  <v:fill on="f" focussize="0,0"/>
                  <v:stroke/>
                  <v:imagedata r:id="rId24" embosscolor="#FFFFFF" o:title=""/>
                  <o:lock v:ext="edit" aspectratio="t"/>
                  <w10:wrap type="none"/>
                  <w10:anchorlock/>
                </v:shape>
                <o:OLEObject Type="Embed" ProgID="Equation.DSMT4" ShapeID="_x0000_i1030" DrawAspect="Content" ObjectID="_1468075730" r:id="rId27">
                  <o:LockedField>false</o:LockedField>
                </o:OLEObject>
              </w:object>
            </w:r>
            <w:r>
              <w:rPr>
                <w:rFonts w:hint="eastAsia" w:eastAsiaTheme="minorEastAsia"/>
                <w:color w:val="auto"/>
                <w:szCs w:val="24"/>
              </w:rPr>
              <w:t>的全向点声源在规定方向的声级的偏差程度，</w:t>
            </w:r>
            <w:r>
              <w:rPr>
                <w:rFonts w:eastAsiaTheme="minorEastAsia"/>
                <w:color w:val="auto"/>
                <w:szCs w:val="24"/>
              </w:rPr>
              <w:t>dB；</w:t>
            </w:r>
          </w:p>
          <w:p w14:paraId="4D6A0465">
            <w:pPr>
              <w:pStyle w:val="18"/>
              <w:ind w:firstLineChars="200"/>
              <w:rPr>
                <w:rFonts w:eastAsiaTheme="minorEastAsia"/>
                <w:color w:val="auto"/>
                <w:szCs w:val="24"/>
              </w:rPr>
            </w:pPr>
            <w:r>
              <w:rPr>
                <w:rFonts w:eastAsiaTheme="minorEastAsia"/>
                <w:color w:val="auto"/>
                <w:position w:val="-12"/>
                <w:szCs w:val="24"/>
              </w:rPr>
              <w:object>
                <v:shape id="_x0000_i1031" o:spt="75" type="#_x0000_t75" style="height:15.9pt;width:19.25pt;" o:ole="t" filled="f" coordsize="21600,21600">
                  <v:path/>
                  <v:fill on="f" focussize="0,0"/>
                  <v:stroke/>
                  <v:imagedata r:id="rId29" embosscolor="#FFFFFF" o:title=""/>
                  <o:lock v:ext="edit" aspectratio="t"/>
                  <w10:wrap type="none"/>
                  <w10:anchorlock/>
                </v:shape>
                <o:OLEObject Type="Embed" ProgID="Equation.DSMT4" ShapeID="_x0000_i1031" DrawAspect="Content" ObjectID="_1468075731" r:id="rId28">
                  <o:LockedField>false</o:LockedField>
                </o:OLEObject>
              </w:object>
            </w:r>
            <w:r>
              <w:rPr>
                <w:rFonts w:eastAsiaTheme="minorEastAsia"/>
                <w:color w:val="auto"/>
                <w:szCs w:val="24"/>
              </w:rPr>
              <w:t>、</w:t>
            </w:r>
            <w:r>
              <w:rPr>
                <w:rFonts w:eastAsiaTheme="minorEastAsia"/>
                <w:color w:val="auto"/>
                <w:position w:val="-12"/>
                <w:szCs w:val="24"/>
              </w:rPr>
              <w:object>
                <v:shape id="_x0000_i1032" o:spt="75" type="#_x0000_t75" style="height:16.75pt;width:21.75pt;" o:ole="t" filled="f" coordsize="21600,21600">
                  <v:path/>
                  <v:fill on="f" focussize="0,0"/>
                  <v:stroke/>
                  <v:imagedata r:id="rId31" embosscolor="#FFFFFF" o:title=""/>
                  <o:lock v:ext="edit" aspectratio="t"/>
                  <w10:wrap type="none"/>
                  <w10:anchorlock/>
                </v:shape>
                <o:OLEObject Type="Embed" ProgID="Equation.DSMT4" ShapeID="_x0000_i1032" DrawAspect="Content" ObjectID="_1468075732" r:id="rId30">
                  <o:LockedField>false</o:LockedField>
                </o:OLEObject>
              </w:object>
            </w:r>
            <w:r>
              <w:rPr>
                <w:rFonts w:eastAsiaTheme="minorEastAsia"/>
                <w:color w:val="auto"/>
                <w:szCs w:val="24"/>
              </w:rPr>
              <w:t>、</w:t>
            </w:r>
            <w:r>
              <w:rPr>
                <w:rFonts w:eastAsiaTheme="minorEastAsia"/>
                <w:color w:val="auto"/>
                <w:position w:val="-14"/>
                <w:szCs w:val="24"/>
              </w:rPr>
              <w:object>
                <v:shape id="_x0000_i1033" o:spt="75" type="#_x0000_t75" style="height:19.25pt;width:16.75pt;" o:ole="t" filled="f" coordsize="21600,21600">
                  <v:path/>
                  <v:fill on="f" focussize="0,0"/>
                  <v:stroke/>
                  <v:imagedata r:id="rId33" embosscolor="#FFFFFF" o:title=""/>
                  <o:lock v:ext="edit" aspectratio="t"/>
                  <w10:wrap type="none"/>
                  <w10:anchorlock/>
                </v:shape>
                <o:OLEObject Type="Embed" ProgID="Equation.DSMT4" ShapeID="_x0000_i1033" DrawAspect="Content" ObjectID="_1468075733" r:id="rId32">
                  <o:LockedField>false</o:LockedField>
                </o:OLEObject>
              </w:object>
            </w:r>
            <w:r>
              <w:rPr>
                <w:rFonts w:eastAsiaTheme="minorEastAsia"/>
                <w:color w:val="auto"/>
                <w:szCs w:val="24"/>
              </w:rPr>
              <w:t>、</w:t>
            </w:r>
            <w:r>
              <w:rPr>
                <w:rFonts w:eastAsiaTheme="minorEastAsia"/>
                <w:color w:val="auto"/>
                <w:position w:val="-12"/>
                <w:szCs w:val="24"/>
              </w:rPr>
              <w:object>
                <v:shape id="_x0000_i1034" o:spt="75" type="#_x0000_t75" style="height:19.25pt;width:20.1pt;" o:ole="t" filled="f" coordsize="21600,21600">
                  <v:path/>
                  <v:fill on="f" focussize="0,0"/>
                  <v:stroke/>
                  <v:imagedata r:id="rId35" embosscolor="#FFFFFF" o:title=""/>
                  <o:lock v:ext="edit" aspectratio="t"/>
                  <w10:wrap type="none"/>
                  <w10:anchorlock/>
                </v:shape>
                <o:OLEObject Type="Embed" ProgID="Equation.DSMT4" ShapeID="_x0000_i1034" DrawAspect="Content" ObjectID="_1468075734" r:id="rId34">
                  <o:LockedField>false</o:LockedField>
                </o:OLEObject>
              </w:object>
            </w:r>
            <w:r>
              <w:rPr>
                <w:rFonts w:eastAsiaTheme="minorEastAsia"/>
                <w:color w:val="auto"/>
                <w:szCs w:val="24"/>
              </w:rPr>
              <w:t>、</w:t>
            </w:r>
            <w:r>
              <w:rPr>
                <w:rFonts w:eastAsiaTheme="minorEastAsia"/>
                <w:color w:val="auto"/>
                <w:position w:val="-12"/>
                <w:szCs w:val="24"/>
              </w:rPr>
              <w:object>
                <v:shape id="_x0000_i1035" o:spt="75" type="#_x0000_t75" style="height:16.75pt;width:23.45pt;" o:ole="t" filled="f" coordsize="21600,21600">
                  <v:path/>
                  <v:fill on="f" focussize="0,0"/>
                  <v:stroke/>
                  <v:imagedata r:id="rId37" embosscolor="#FFFFFF" o:title=""/>
                  <o:lock v:ext="edit" aspectratio="t"/>
                  <w10:wrap type="none"/>
                  <w10:anchorlock/>
                </v:shape>
                <o:OLEObject Type="Embed" ProgID="Equation.DSMT4" ShapeID="_x0000_i1035" DrawAspect="Content" ObjectID="_1468075735" r:id="rId36">
                  <o:LockedField>false</o:LockedField>
                </o:OLEObject>
              </w:object>
            </w:r>
            <w:r>
              <w:rPr>
                <w:rFonts w:eastAsiaTheme="minorEastAsia"/>
                <w:color w:val="auto"/>
                <w:szCs w:val="24"/>
              </w:rPr>
              <w:t>——分别指几何发散、大气吸收、地面效应、</w:t>
            </w:r>
            <w:r>
              <w:rPr>
                <w:rFonts w:hint="eastAsia" w:eastAsiaTheme="minorEastAsia"/>
                <w:color w:val="auto"/>
                <w:szCs w:val="24"/>
              </w:rPr>
              <w:t>障碍物屏蔽</w:t>
            </w:r>
            <w:r>
              <w:rPr>
                <w:rFonts w:eastAsiaTheme="minorEastAsia"/>
                <w:color w:val="auto"/>
                <w:szCs w:val="24"/>
              </w:rPr>
              <w:t>、其他多方面引起的衰减量，dB，衰减项计算按《</w:t>
            </w:r>
            <w:r>
              <w:rPr>
                <w:rFonts w:hint="eastAsia" w:eastAsiaTheme="minorEastAsia"/>
                <w:color w:val="auto"/>
                <w:szCs w:val="24"/>
              </w:rPr>
              <w:t>环境影响评价技术导则声环境</w:t>
            </w:r>
            <w:r>
              <w:rPr>
                <w:rFonts w:eastAsiaTheme="minorEastAsia"/>
                <w:color w:val="auto"/>
                <w:szCs w:val="24"/>
              </w:rPr>
              <w:t>》（</w:t>
            </w:r>
            <w:r>
              <w:rPr>
                <w:rFonts w:hint="eastAsia" w:eastAsiaTheme="minorEastAsia"/>
                <w:color w:val="auto"/>
                <w:szCs w:val="24"/>
              </w:rPr>
              <w:t>HJ2.4-2021</w:t>
            </w:r>
            <w:r>
              <w:rPr>
                <w:rFonts w:eastAsiaTheme="minorEastAsia"/>
                <w:color w:val="auto"/>
                <w:szCs w:val="24"/>
              </w:rPr>
              <w:t>）中</w:t>
            </w:r>
            <w:r>
              <w:rPr>
                <w:rFonts w:hint="eastAsia" w:eastAsiaTheme="minorEastAsia"/>
                <w:color w:val="auto"/>
                <w:szCs w:val="24"/>
              </w:rPr>
              <w:t>附录A.3</w:t>
            </w:r>
            <w:r>
              <w:rPr>
                <w:rFonts w:eastAsiaTheme="minorEastAsia"/>
                <w:color w:val="auto"/>
                <w:szCs w:val="24"/>
              </w:rPr>
              <w:t>相关模式计算。</w:t>
            </w:r>
          </w:p>
          <w:p w14:paraId="17927D02">
            <w:pPr>
              <w:pStyle w:val="18"/>
              <w:rPr>
                <w:rFonts w:eastAsiaTheme="minorEastAsia"/>
                <w:color w:val="auto"/>
                <w:szCs w:val="24"/>
              </w:rPr>
            </w:pPr>
            <w:r>
              <w:rPr>
                <w:rFonts w:hint="eastAsia" w:ascii="宋体" w:hAnsi="宋体" w:cs="宋体"/>
                <w:color w:val="auto"/>
                <w:szCs w:val="24"/>
              </w:rPr>
              <w:t>②</w:t>
            </w:r>
            <w:r>
              <w:rPr>
                <w:rFonts w:eastAsiaTheme="minorEastAsia"/>
                <w:color w:val="auto"/>
                <w:szCs w:val="24"/>
              </w:rPr>
              <w:t>室内声源等效室外声源声功率级计算方法</w:t>
            </w:r>
          </w:p>
          <w:p w14:paraId="3063B90D">
            <w:pPr>
              <w:pStyle w:val="18"/>
              <w:rPr>
                <w:rFonts w:eastAsiaTheme="minorEastAsia"/>
                <w:color w:val="auto"/>
                <w:szCs w:val="24"/>
              </w:rPr>
            </w:pPr>
            <w:r>
              <w:rPr>
                <w:rFonts w:eastAsiaTheme="minorEastAsia"/>
                <w:color w:val="auto"/>
                <w:szCs w:val="24"/>
              </w:rPr>
              <w:t>如图</w:t>
            </w:r>
            <w:r>
              <w:rPr>
                <w:rFonts w:hint="eastAsia" w:eastAsiaTheme="minorEastAsia"/>
                <w:color w:val="auto"/>
                <w:szCs w:val="24"/>
              </w:rPr>
              <w:t>4</w:t>
            </w:r>
            <w:r>
              <w:rPr>
                <w:rFonts w:hint="eastAsia" w:eastAsiaTheme="minorEastAsia"/>
                <w:color w:val="auto"/>
                <w:szCs w:val="24"/>
                <w:lang w:val="en-US" w:eastAsia="zh-CN"/>
              </w:rPr>
              <w:t>-3</w:t>
            </w:r>
            <w:r>
              <w:rPr>
                <w:rFonts w:eastAsiaTheme="minorEastAsia"/>
                <w:color w:val="auto"/>
                <w:szCs w:val="24"/>
              </w:rPr>
              <w:t>所示，声源位于室内，室内声源可采用等效室外声源声功率级法进行计算。设靠近开口处（或窗户）室内、室外某倍频带的声压级分别为</w:t>
            </w:r>
            <w:r>
              <w:rPr>
                <w:rFonts w:eastAsiaTheme="minorEastAsia"/>
                <w:color w:val="auto"/>
                <w:position w:val="-14"/>
                <w:szCs w:val="24"/>
              </w:rPr>
              <w:object>
                <v:shape id="_x0000_i1036" o:spt="75" type="#_x0000_t75" style="height:19.25pt;width:19.25pt;" o:ole="t" filled="f" coordsize="21600,21600">
                  <v:path/>
                  <v:fill on="f" focussize="0,0"/>
                  <v:stroke/>
                  <v:imagedata r:id="rId39" embosscolor="#FFFFFF" o:title=""/>
                  <o:lock v:ext="edit" aspectratio="t"/>
                  <w10:wrap type="none"/>
                  <w10:anchorlock/>
                </v:shape>
                <o:OLEObject Type="Embed" ProgID="Equation.DSMT4" ShapeID="_x0000_i1036" DrawAspect="Content" ObjectID="_1468075736" r:id="rId38">
                  <o:LockedField>false</o:LockedField>
                </o:OLEObject>
              </w:object>
            </w:r>
            <w:r>
              <w:rPr>
                <w:rFonts w:eastAsiaTheme="minorEastAsia"/>
                <w:color w:val="auto"/>
                <w:szCs w:val="24"/>
              </w:rPr>
              <w:t>、</w:t>
            </w:r>
            <w:r>
              <w:rPr>
                <w:rFonts w:eastAsiaTheme="minorEastAsia"/>
                <w:color w:val="auto"/>
                <w:position w:val="-14"/>
                <w:szCs w:val="24"/>
              </w:rPr>
              <w:object>
                <v:shape id="_x0000_i1037" o:spt="75" type="#_x0000_t75" style="height:19.25pt;width:19.25pt;" o:ole="t" filled="f" coordsize="21600,21600">
                  <v:path/>
                  <v:fill on="f" focussize="0,0"/>
                  <v:stroke/>
                  <v:imagedata r:id="rId41" embosscolor="#FFFFFF" o:title=""/>
                  <o:lock v:ext="edit" aspectratio="t"/>
                  <w10:wrap type="none"/>
                  <w10:anchorlock/>
                </v:shape>
                <o:OLEObject Type="Embed" ProgID="Equation.DSMT4" ShapeID="_x0000_i1037" DrawAspect="Content" ObjectID="_1468075737" r:id="rId40">
                  <o:LockedField>false</o:LockedField>
                </o:OLEObject>
              </w:object>
            </w:r>
            <w:r>
              <w:rPr>
                <w:rFonts w:eastAsiaTheme="minorEastAsia"/>
                <w:color w:val="auto"/>
                <w:szCs w:val="24"/>
              </w:rPr>
              <w:t>。若声源所在室内声场为近似扩散声场，则室外的倍频带声压级可按下式近似求出：</w:t>
            </w:r>
          </w:p>
          <w:p w14:paraId="5F971B09">
            <w:pPr>
              <w:pStyle w:val="18"/>
              <w:ind w:firstLine="3000" w:firstLineChars="1250"/>
              <w:rPr>
                <w:rFonts w:eastAsiaTheme="minorEastAsia"/>
                <w:color w:val="auto"/>
                <w:szCs w:val="24"/>
              </w:rPr>
            </w:pPr>
            <w:r>
              <w:rPr>
                <w:rFonts w:eastAsiaTheme="minorEastAsia"/>
                <w:color w:val="auto"/>
                <w:position w:val="-14"/>
                <w:szCs w:val="24"/>
              </w:rPr>
              <w:object>
                <v:shape id="_x0000_i1038" o:spt="75" type="#_x0000_t75" style="height:20.1pt;width:90.4pt;" o:ole="t" filled="f" coordsize="21600,21600">
                  <v:path/>
                  <v:fill on="f" focussize="0,0"/>
                  <v:stroke/>
                  <v:imagedata r:id="rId43" embosscolor="#FFFFFF" o:title=""/>
                  <o:lock v:ext="edit" aspectratio="t"/>
                  <w10:wrap type="none"/>
                  <w10:anchorlock/>
                </v:shape>
                <o:OLEObject Type="Embed" ProgID="Equation.DSMT4" ShapeID="_x0000_i1038" DrawAspect="Content" ObjectID="_1468075738" r:id="rId42">
                  <o:LockedField>false</o:LockedField>
                </o:OLEObject>
              </w:object>
            </w:r>
          </w:p>
          <w:p w14:paraId="79BDE63D">
            <w:pPr>
              <w:pStyle w:val="18"/>
              <w:ind w:firstLineChars="200"/>
              <w:rPr>
                <w:rFonts w:eastAsiaTheme="minorEastAsia"/>
                <w:color w:val="auto"/>
                <w:szCs w:val="24"/>
              </w:rPr>
            </w:pPr>
            <w:r>
              <w:rPr>
                <w:rFonts w:eastAsiaTheme="minorEastAsia"/>
                <w:color w:val="auto"/>
                <w:szCs w:val="24"/>
              </w:rPr>
              <w:t>式中：</w:t>
            </w:r>
          </w:p>
          <w:p w14:paraId="1521AFD5">
            <w:pPr>
              <w:pStyle w:val="18"/>
              <w:ind w:firstLine="960" w:firstLineChars="400"/>
              <w:rPr>
                <w:rFonts w:eastAsiaTheme="minorEastAsia"/>
                <w:color w:val="auto"/>
                <w:szCs w:val="24"/>
              </w:rPr>
            </w:pPr>
            <w:r>
              <w:rPr>
                <w:rFonts w:eastAsiaTheme="minorEastAsia"/>
                <w:color w:val="auto"/>
                <w:position w:val="-4"/>
                <w:szCs w:val="24"/>
              </w:rPr>
              <w:object>
                <v:shape id="_x0000_i1039" o:spt="75" type="#_x0000_t75" style="height:12.55pt;width:16.75pt;" o:ole="t" filled="f" coordsize="21600,21600">
                  <v:path/>
                  <v:fill on="f" focussize="0,0"/>
                  <v:stroke/>
                  <v:imagedata r:id="rId45" embosscolor="#FFFFFF" o:title=""/>
                  <o:lock v:ext="edit" aspectratio="t"/>
                  <w10:wrap type="none"/>
                  <w10:anchorlock/>
                </v:shape>
                <o:OLEObject Type="Embed" ProgID="Equation.DSMT4" ShapeID="_x0000_i1039" DrawAspect="Content" ObjectID="_1468075739" r:id="rId44">
                  <o:LockedField>false</o:LockedField>
                </o:OLEObject>
              </w:object>
            </w:r>
            <w:r>
              <w:rPr>
                <w:rFonts w:eastAsiaTheme="minorEastAsia"/>
                <w:color w:val="auto"/>
                <w:szCs w:val="24"/>
              </w:rPr>
              <w:t>——隔墙（或窗户）倍频带的隔声量，dB。</w:t>
            </w:r>
          </w:p>
          <w:p w14:paraId="7C0A35D9">
            <w:pPr>
              <w:widowControl/>
              <w:jc w:val="center"/>
              <w:rPr>
                <w:rFonts w:eastAsiaTheme="minorEastAsia"/>
                <w:color w:val="auto"/>
                <w:kern w:val="0"/>
                <w:sz w:val="24"/>
                <w:szCs w:val="24"/>
              </w:rPr>
            </w:pPr>
            <w:r>
              <w:rPr>
                <w:rFonts w:eastAsiaTheme="minorEastAsia"/>
                <w:color w:val="auto"/>
                <w:kern w:val="0"/>
                <w:sz w:val="24"/>
                <w:szCs w:val="24"/>
              </w:rPr>
              <w:drawing>
                <wp:inline distT="0" distB="0" distL="0" distR="0">
                  <wp:extent cx="1905000" cy="1028700"/>
                  <wp:effectExtent l="0" t="0" r="0" b="0"/>
                  <wp:docPr id="24" name="图片 24" descr="说明: M)${~LN[]U69NF`@NZ[4PU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说明: M)${~LN[]U69NF`@NZ[4PU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905000" cy="1028700"/>
                          </a:xfrm>
                          <a:prstGeom prst="rect">
                            <a:avLst/>
                          </a:prstGeom>
                          <a:noFill/>
                          <a:ln>
                            <a:noFill/>
                          </a:ln>
                        </pic:spPr>
                      </pic:pic>
                    </a:graphicData>
                  </a:graphic>
                </wp:inline>
              </w:drawing>
            </w:r>
          </w:p>
          <w:p w14:paraId="1EAE34B2">
            <w:pPr>
              <w:spacing w:line="500" w:lineRule="exact"/>
              <w:jc w:val="center"/>
              <w:rPr>
                <w:rFonts w:eastAsiaTheme="minorEastAsia"/>
                <w:b/>
                <w:color w:val="auto"/>
                <w:sz w:val="24"/>
                <w:szCs w:val="24"/>
              </w:rPr>
            </w:pPr>
            <w:r>
              <w:rPr>
                <w:rFonts w:eastAsiaTheme="minorEastAsia"/>
                <w:b/>
                <w:color w:val="auto"/>
                <w:sz w:val="24"/>
                <w:szCs w:val="24"/>
              </w:rPr>
              <w:t>图</w:t>
            </w:r>
            <w:r>
              <w:rPr>
                <w:rFonts w:hint="eastAsia" w:eastAsiaTheme="minorEastAsia"/>
                <w:b/>
                <w:color w:val="auto"/>
                <w:sz w:val="24"/>
                <w:szCs w:val="24"/>
              </w:rPr>
              <w:t>4</w:t>
            </w:r>
            <w:r>
              <w:rPr>
                <w:rFonts w:hint="eastAsia" w:eastAsiaTheme="minorEastAsia"/>
                <w:b/>
                <w:color w:val="auto"/>
                <w:sz w:val="24"/>
                <w:szCs w:val="24"/>
                <w:lang w:val="en-US" w:eastAsia="zh-CN"/>
              </w:rPr>
              <w:t>-3</w:t>
            </w:r>
            <w:r>
              <w:rPr>
                <w:rFonts w:eastAsiaTheme="minorEastAsia"/>
                <w:b/>
                <w:color w:val="auto"/>
                <w:sz w:val="24"/>
                <w:szCs w:val="24"/>
              </w:rPr>
              <w:t>室内声源等效为室外声源图例</w:t>
            </w:r>
          </w:p>
          <w:p w14:paraId="74CD4BBA">
            <w:pPr>
              <w:pStyle w:val="18"/>
              <w:spacing w:before="159" w:beforeLines="50"/>
              <w:ind w:firstLine="482"/>
              <w:rPr>
                <w:rFonts w:eastAsiaTheme="minorEastAsia"/>
                <w:color w:val="auto"/>
                <w:szCs w:val="24"/>
              </w:rPr>
            </w:pPr>
            <w:r>
              <w:rPr>
                <w:rFonts w:eastAsiaTheme="minorEastAsia"/>
                <w:color w:val="auto"/>
                <w:szCs w:val="24"/>
              </w:rPr>
              <w:t>也可按下式计算某一室内声源靠近围护结构处产生的倍频带声压级：</w:t>
            </w:r>
          </w:p>
          <w:p w14:paraId="0CD4AF4E">
            <w:pPr>
              <w:pStyle w:val="18"/>
              <w:jc w:val="center"/>
              <w:rPr>
                <w:rFonts w:eastAsiaTheme="minorEastAsia"/>
                <w:color w:val="auto"/>
                <w:szCs w:val="24"/>
              </w:rPr>
            </w:pPr>
            <w:r>
              <w:rPr>
                <w:rFonts w:eastAsiaTheme="minorEastAsia"/>
                <w:color w:val="auto"/>
                <w:szCs w:val="24"/>
              </w:rPr>
              <w:drawing>
                <wp:inline distT="0" distB="0" distL="0" distR="0">
                  <wp:extent cx="1743075" cy="438150"/>
                  <wp:effectExtent l="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743075" cy="438150"/>
                          </a:xfrm>
                          <a:prstGeom prst="rect">
                            <a:avLst/>
                          </a:prstGeom>
                          <a:noFill/>
                          <a:ln>
                            <a:noFill/>
                          </a:ln>
                        </pic:spPr>
                      </pic:pic>
                    </a:graphicData>
                  </a:graphic>
                </wp:inline>
              </w:drawing>
            </w:r>
          </w:p>
          <w:p w14:paraId="4A0C711D">
            <w:pPr>
              <w:pStyle w:val="18"/>
              <w:ind w:firstLineChars="200"/>
              <w:rPr>
                <w:rFonts w:eastAsiaTheme="minorEastAsia"/>
                <w:color w:val="auto"/>
                <w:szCs w:val="24"/>
              </w:rPr>
            </w:pPr>
            <w:r>
              <w:rPr>
                <w:rFonts w:eastAsiaTheme="minorEastAsia"/>
                <w:color w:val="auto"/>
                <w:szCs w:val="24"/>
              </w:rPr>
              <w:t>式中：</w:t>
            </w:r>
          </w:p>
          <w:p w14:paraId="00FD8B36">
            <w:pPr>
              <w:pStyle w:val="18"/>
              <w:ind w:firstLine="960" w:firstLineChars="400"/>
              <w:rPr>
                <w:rFonts w:eastAsiaTheme="minorEastAsia"/>
                <w:color w:val="auto"/>
                <w:szCs w:val="24"/>
              </w:rPr>
            </w:pPr>
            <w:r>
              <w:rPr>
                <w:rFonts w:eastAsiaTheme="minorEastAsia"/>
                <w:color w:val="auto"/>
                <w:position w:val="-10"/>
                <w:szCs w:val="24"/>
              </w:rPr>
              <w:object>
                <v:shape id="_x0000_i1040" o:spt="75" type="#_x0000_t75" style="height:15.9pt;width:12.55pt;" o:ole="t" filled="f" coordsize="21600,21600">
                  <v:path/>
                  <v:fill on="f" focussize="0,0"/>
                  <v:stroke/>
                  <v:imagedata r:id="rId49" embosscolor="#FFFFFF" o:title=""/>
                  <o:lock v:ext="edit" aspectratio="t"/>
                  <w10:wrap type="none"/>
                  <w10:anchorlock/>
                </v:shape>
                <o:OLEObject Type="Embed" ProgID="Equation.DSMT4" ShapeID="_x0000_i1040" DrawAspect="Content" ObjectID="_1468075740" r:id="rId48">
                  <o:LockedField>false</o:LockedField>
                </o:OLEObject>
              </w:object>
            </w:r>
            <w:r>
              <w:rPr>
                <w:rFonts w:eastAsiaTheme="minorEastAsia"/>
                <w:color w:val="auto"/>
                <w:szCs w:val="24"/>
              </w:rPr>
              <w:t>——指向性因素；通常对无指向性声源，当声源放在房间中心时，Q=1；当放在一面墙的中心时，Q=2；当放在两面墙夹角处时，Q=4；当放在三面墙夹角处时，Q=8。</w:t>
            </w:r>
          </w:p>
          <w:p w14:paraId="47CFC924">
            <w:pPr>
              <w:pStyle w:val="18"/>
              <w:ind w:firstLine="960" w:firstLineChars="400"/>
              <w:rPr>
                <w:rFonts w:eastAsiaTheme="minorEastAsia"/>
                <w:color w:val="auto"/>
                <w:szCs w:val="24"/>
              </w:rPr>
            </w:pPr>
            <w:r>
              <w:rPr>
                <w:rFonts w:eastAsiaTheme="minorEastAsia"/>
                <w:color w:val="auto"/>
                <w:position w:val="-4"/>
                <w:szCs w:val="24"/>
              </w:rPr>
              <w:object>
                <v:shape id="_x0000_i1041" o:spt="75" type="#_x0000_t75" style="height:12.55pt;width:12.55pt;" o:ole="t" filled="f" coordsize="21600,21600">
                  <v:path/>
                  <v:fill on="f" focussize="0,0"/>
                  <v:stroke/>
                  <v:imagedata r:id="rId51" embosscolor="#FFFFFF" o:title=""/>
                  <o:lock v:ext="edit" aspectratio="t"/>
                  <w10:wrap type="none"/>
                  <w10:anchorlock/>
                </v:shape>
                <o:OLEObject Type="Embed" ProgID="Equation.DSMT4" ShapeID="_x0000_i1041" DrawAspect="Content" ObjectID="_1468075741" r:id="rId50">
                  <o:LockedField>false</o:LockedField>
                </o:OLEObject>
              </w:object>
            </w:r>
            <w:r>
              <w:rPr>
                <w:rFonts w:eastAsiaTheme="minorEastAsia"/>
                <w:color w:val="auto"/>
                <w:szCs w:val="24"/>
              </w:rPr>
              <w:t>——房间常数；</w:t>
            </w:r>
            <w:r>
              <w:rPr>
                <w:rFonts w:eastAsiaTheme="minorEastAsia"/>
                <w:color w:val="auto"/>
                <w:position w:val="-10"/>
                <w:szCs w:val="24"/>
              </w:rPr>
              <w:object>
                <v:shape id="_x0000_i1042" o:spt="75" type="#_x0000_t75" style="height:15.9pt;width:77.85pt;" o:ole="t" filled="f" coordsize="21600,21600">
                  <v:path/>
                  <v:fill on="f" focussize="0,0"/>
                  <v:stroke/>
                  <v:imagedata r:id="rId53" embosscolor="#FFFFFF" o:title=""/>
                  <o:lock v:ext="edit" aspectratio="t"/>
                  <w10:wrap type="none"/>
                  <w10:anchorlock/>
                </v:shape>
                <o:OLEObject Type="Embed" ProgID="Equation.DSMT4" ShapeID="_x0000_i1042" DrawAspect="Content" ObjectID="_1468075742" r:id="rId52">
                  <o:LockedField>false</o:LockedField>
                </o:OLEObject>
              </w:object>
            </w:r>
            <w:r>
              <w:rPr>
                <w:rFonts w:eastAsiaTheme="minorEastAsia"/>
                <w:color w:val="auto"/>
                <w:szCs w:val="24"/>
              </w:rPr>
              <w:t>，</w:t>
            </w:r>
            <w:r>
              <w:rPr>
                <w:rFonts w:eastAsiaTheme="minorEastAsia"/>
                <w:color w:val="auto"/>
                <w:position w:val="-6"/>
                <w:szCs w:val="24"/>
              </w:rPr>
              <w:object>
                <v:shape id="_x0000_i1043" o:spt="75" type="#_x0000_t75" style="height:12.55pt;width:12.55pt;" o:ole="t" filled="f" coordsize="21600,21600">
                  <v:path/>
                  <v:fill on="f" focussize="0,0"/>
                  <v:stroke/>
                  <v:imagedata r:id="rId55" embosscolor="#FFFFFF" o:title=""/>
                  <o:lock v:ext="edit" aspectratio="t"/>
                  <w10:wrap type="none"/>
                  <w10:anchorlock/>
                </v:shape>
                <o:OLEObject Type="Embed" ProgID="Equation.DSMT4" ShapeID="_x0000_i1043" DrawAspect="Content" ObjectID="_1468075743" r:id="rId54">
                  <o:LockedField>false</o:LockedField>
                </o:OLEObject>
              </w:object>
            </w:r>
            <w:r>
              <w:rPr>
                <w:rFonts w:eastAsiaTheme="minorEastAsia"/>
                <w:color w:val="auto"/>
                <w:szCs w:val="24"/>
              </w:rPr>
              <w:t>为房间内表面面积，m</w:t>
            </w:r>
            <w:r>
              <w:rPr>
                <w:rFonts w:eastAsiaTheme="minorEastAsia"/>
                <w:color w:val="auto"/>
                <w:szCs w:val="24"/>
                <w:vertAlign w:val="superscript"/>
              </w:rPr>
              <w:t>2</w:t>
            </w:r>
            <w:r>
              <w:rPr>
                <w:rFonts w:eastAsiaTheme="minorEastAsia"/>
                <w:color w:val="auto"/>
                <w:szCs w:val="24"/>
              </w:rPr>
              <w:t>；</w:t>
            </w:r>
            <w:r>
              <w:rPr>
                <w:rFonts w:eastAsiaTheme="minorEastAsia"/>
                <w:color w:val="auto"/>
                <w:position w:val="-6"/>
                <w:szCs w:val="24"/>
              </w:rPr>
              <w:object>
                <v:shape id="_x0000_i1044" o:spt="75" type="#_x0000_t75" style="height:12.55pt;width:12.55pt;" o:ole="t" filled="f" coordsize="21600,21600">
                  <v:path/>
                  <v:fill on="f" focussize="0,0"/>
                  <v:stroke/>
                  <v:imagedata r:id="rId57" embosscolor="#FFFFFF" o:title=""/>
                  <o:lock v:ext="edit" aspectratio="t"/>
                  <w10:wrap type="none"/>
                  <w10:anchorlock/>
                </v:shape>
                <o:OLEObject Type="Embed" ProgID="Equation.DSMT4" ShapeID="_x0000_i1044" DrawAspect="Content" ObjectID="_1468075744" r:id="rId56">
                  <o:LockedField>false</o:LockedField>
                </o:OLEObject>
              </w:object>
            </w:r>
            <w:r>
              <w:rPr>
                <w:rFonts w:eastAsiaTheme="minorEastAsia"/>
                <w:color w:val="auto"/>
                <w:szCs w:val="24"/>
              </w:rPr>
              <w:t>为平均吸声系数。</w:t>
            </w:r>
          </w:p>
          <w:p w14:paraId="5C935C2D">
            <w:pPr>
              <w:pStyle w:val="18"/>
              <w:ind w:firstLineChars="200"/>
              <w:rPr>
                <w:rFonts w:eastAsiaTheme="minorEastAsia"/>
                <w:color w:val="auto"/>
                <w:szCs w:val="24"/>
              </w:rPr>
            </w:pPr>
            <w:r>
              <w:rPr>
                <w:rFonts w:eastAsiaTheme="minorEastAsia"/>
                <w:color w:val="auto"/>
                <w:position w:val="-4"/>
                <w:szCs w:val="24"/>
              </w:rPr>
              <w:object>
                <v:shape id="_x0000_i1045" o:spt="75" type="#_x0000_t75" style="height:9.2pt;width:9.2pt;" o:ole="t" filled="f" coordsize="21600,21600">
                  <v:path/>
                  <v:fill on="f" focussize="0,0"/>
                  <v:stroke/>
                  <v:imagedata r:id="rId59" embosscolor="#FFFFFF" o:title=""/>
                  <o:lock v:ext="edit" aspectratio="t"/>
                  <w10:wrap type="none"/>
                  <w10:anchorlock/>
                </v:shape>
                <o:OLEObject Type="Embed" ProgID="Equation.DSMT4" ShapeID="_x0000_i1045" DrawAspect="Content" ObjectID="_1468075745" r:id="rId58">
                  <o:LockedField>false</o:LockedField>
                </o:OLEObject>
              </w:object>
            </w:r>
            <w:r>
              <w:rPr>
                <w:rFonts w:eastAsiaTheme="minorEastAsia"/>
                <w:color w:val="auto"/>
                <w:szCs w:val="24"/>
              </w:rPr>
              <w:t>——声源到</w:t>
            </w:r>
            <w:r>
              <w:rPr>
                <w:rFonts w:hint="eastAsia" w:eastAsiaTheme="minorEastAsia"/>
                <w:color w:val="auto"/>
                <w:szCs w:val="24"/>
                <w:lang w:eastAsia="zh-CN"/>
              </w:rPr>
              <w:t>靠近围护</w:t>
            </w:r>
            <w:r>
              <w:rPr>
                <w:rFonts w:eastAsiaTheme="minorEastAsia"/>
                <w:color w:val="auto"/>
                <w:szCs w:val="24"/>
              </w:rPr>
              <w:t>结构某点处距离，m。</w:t>
            </w:r>
          </w:p>
          <w:p w14:paraId="3161CEC2">
            <w:pPr>
              <w:pStyle w:val="18"/>
              <w:rPr>
                <w:rFonts w:eastAsiaTheme="minorEastAsia"/>
                <w:color w:val="auto"/>
                <w:szCs w:val="24"/>
              </w:rPr>
            </w:pPr>
            <w:r>
              <w:rPr>
                <w:rFonts w:eastAsiaTheme="minorEastAsia"/>
                <w:color w:val="auto"/>
                <w:szCs w:val="24"/>
              </w:rPr>
              <w:t>然后按下式计算出所有室内声源在围护结构处产生的i倍频带叠加声压级：</w:t>
            </w:r>
          </w:p>
          <w:p w14:paraId="48ED9910">
            <w:pPr>
              <w:pStyle w:val="18"/>
              <w:jc w:val="center"/>
              <w:rPr>
                <w:rFonts w:eastAsiaTheme="minorEastAsia"/>
                <w:color w:val="auto"/>
                <w:szCs w:val="24"/>
              </w:rPr>
            </w:pPr>
            <w:r>
              <w:rPr>
                <w:rFonts w:eastAsiaTheme="minorEastAsia"/>
                <w:color w:val="auto"/>
                <w:szCs w:val="24"/>
              </w:rPr>
              <w:drawing>
                <wp:inline distT="0" distB="0" distL="0" distR="0">
                  <wp:extent cx="1724025" cy="485775"/>
                  <wp:effectExtent l="0" t="0" r="9525" b="889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1724025" cy="485775"/>
                          </a:xfrm>
                          <a:prstGeom prst="rect">
                            <a:avLst/>
                          </a:prstGeom>
                          <a:noFill/>
                          <a:ln>
                            <a:noFill/>
                          </a:ln>
                        </pic:spPr>
                      </pic:pic>
                    </a:graphicData>
                  </a:graphic>
                </wp:inline>
              </w:drawing>
            </w:r>
          </w:p>
          <w:p w14:paraId="0B2871D7">
            <w:pPr>
              <w:pStyle w:val="18"/>
              <w:ind w:firstLineChars="200"/>
              <w:rPr>
                <w:rFonts w:eastAsiaTheme="minorEastAsia"/>
                <w:color w:val="auto"/>
                <w:szCs w:val="24"/>
              </w:rPr>
            </w:pPr>
            <w:r>
              <w:rPr>
                <w:rFonts w:eastAsiaTheme="minorEastAsia"/>
                <w:color w:val="auto"/>
                <w:szCs w:val="24"/>
              </w:rPr>
              <w:t>式中：</w:t>
            </w:r>
          </w:p>
          <w:p w14:paraId="05A826D5">
            <w:pPr>
              <w:pStyle w:val="18"/>
              <w:ind w:firstLine="960" w:firstLineChars="400"/>
              <w:rPr>
                <w:rFonts w:eastAsiaTheme="minorEastAsia"/>
                <w:color w:val="auto"/>
                <w:szCs w:val="24"/>
              </w:rPr>
            </w:pPr>
            <w:r>
              <w:rPr>
                <w:rFonts w:eastAsiaTheme="minorEastAsia"/>
                <w:color w:val="auto"/>
                <w:position w:val="-14"/>
                <w:szCs w:val="24"/>
              </w:rPr>
              <w:object>
                <v:shape id="_x0000_i1046" o:spt="75" type="#_x0000_t75" style="height:19.25pt;width:36.85pt;" o:ole="t" filled="f" coordsize="21600,21600">
                  <v:path/>
                  <v:fill on="f" focussize="0,0"/>
                  <v:stroke/>
                  <v:imagedata r:id="rId62" embosscolor="#FFFFFF" o:title=""/>
                  <o:lock v:ext="edit" aspectratio="t"/>
                  <w10:wrap type="none"/>
                  <w10:anchorlock/>
                </v:shape>
                <o:OLEObject Type="Embed" ProgID="Equation.DSMT4" ShapeID="_x0000_i1046" DrawAspect="Content" ObjectID="_1468075746" r:id="rId61">
                  <o:LockedField>false</o:LockedField>
                </o:OLEObject>
              </w:object>
            </w:r>
            <w:r>
              <w:rPr>
                <w:rFonts w:eastAsiaTheme="minorEastAsia"/>
                <w:color w:val="auto"/>
                <w:szCs w:val="24"/>
              </w:rPr>
              <w:t>——靠近围护结构处室内N个声源i倍频带的叠加声压级，dB；</w:t>
            </w:r>
          </w:p>
          <w:p w14:paraId="4D06CEC0">
            <w:pPr>
              <w:pStyle w:val="18"/>
              <w:ind w:firstLine="960" w:firstLineChars="400"/>
              <w:rPr>
                <w:rFonts w:eastAsiaTheme="minorEastAsia"/>
                <w:color w:val="auto"/>
                <w:szCs w:val="24"/>
              </w:rPr>
            </w:pPr>
            <w:r>
              <w:rPr>
                <w:rFonts w:eastAsiaTheme="minorEastAsia"/>
                <w:color w:val="auto"/>
                <w:position w:val="-14"/>
                <w:szCs w:val="24"/>
              </w:rPr>
              <w:object>
                <v:shape id="_x0000_i1047" o:spt="75" type="#_x0000_t75" style="height:19.25pt;width:23.45pt;" o:ole="t" filled="f" coordsize="21600,21600">
                  <v:path/>
                  <v:fill on="f" focussize="0,0"/>
                  <v:stroke/>
                  <v:imagedata r:id="rId64" embosscolor="#FFFFFF" o:title=""/>
                  <o:lock v:ext="edit" aspectratio="t"/>
                  <w10:wrap type="none"/>
                  <w10:anchorlock/>
                </v:shape>
                <o:OLEObject Type="Embed" ProgID="Equation.DSMT4" ShapeID="_x0000_i1047" DrawAspect="Content" ObjectID="_1468075747" r:id="rId63">
                  <o:LockedField>false</o:LockedField>
                </o:OLEObject>
              </w:object>
            </w:r>
            <w:r>
              <w:rPr>
                <w:rFonts w:eastAsiaTheme="minorEastAsia"/>
                <w:color w:val="auto"/>
                <w:szCs w:val="24"/>
              </w:rPr>
              <w:t>——室内j声源i倍频带的声压级，dB；</w:t>
            </w:r>
          </w:p>
          <w:p w14:paraId="5A8EAF81">
            <w:pPr>
              <w:pStyle w:val="18"/>
              <w:ind w:firstLine="1080" w:firstLineChars="450"/>
              <w:rPr>
                <w:rFonts w:eastAsiaTheme="minorEastAsia"/>
                <w:color w:val="auto"/>
                <w:szCs w:val="24"/>
              </w:rPr>
            </w:pPr>
            <w:r>
              <w:rPr>
                <w:rFonts w:eastAsiaTheme="minorEastAsia"/>
                <w:color w:val="auto"/>
                <w:position w:val="-6"/>
                <w:szCs w:val="24"/>
              </w:rPr>
              <w:object>
                <v:shape id="_x0000_i1048" o:spt="75" type="#_x0000_t75" style="height:14.25pt;width:14.25pt;" o:ole="t" filled="f" coordsize="21600,21600">
                  <v:path/>
                  <v:fill on="f" focussize="0,0"/>
                  <v:stroke/>
                  <v:imagedata r:id="rId66" embosscolor="#FFFFFF" o:title=""/>
                  <o:lock v:ext="edit" aspectratio="t"/>
                  <w10:wrap type="none"/>
                  <w10:anchorlock/>
                </v:shape>
                <o:OLEObject Type="Embed" ProgID="Equation.DSMT4" ShapeID="_x0000_i1048" DrawAspect="Content" ObjectID="_1468075748" r:id="rId65">
                  <o:LockedField>false</o:LockedField>
                </o:OLEObject>
              </w:object>
            </w:r>
            <w:r>
              <w:rPr>
                <w:rFonts w:eastAsiaTheme="minorEastAsia"/>
                <w:color w:val="auto"/>
                <w:szCs w:val="24"/>
              </w:rPr>
              <w:t>——室内声源总数。</w:t>
            </w:r>
          </w:p>
          <w:p w14:paraId="6EDE6349">
            <w:pPr>
              <w:pStyle w:val="18"/>
              <w:rPr>
                <w:rFonts w:eastAsiaTheme="minorEastAsia"/>
                <w:color w:val="auto"/>
                <w:szCs w:val="24"/>
              </w:rPr>
            </w:pPr>
            <w:r>
              <w:rPr>
                <w:rFonts w:eastAsiaTheme="minorEastAsia"/>
                <w:color w:val="auto"/>
                <w:szCs w:val="24"/>
              </w:rPr>
              <w:t>在室内近似为扩散声场时，按下式计算出靠近室外围护结构处的声压级：</w:t>
            </w:r>
          </w:p>
          <w:p w14:paraId="5A20E813">
            <w:pPr>
              <w:pStyle w:val="18"/>
              <w:jc w:val="center"/>
              <w:rPr>
                <w:rFonts w:eastAsiaTheme="minorEastAsia"/>
                <w:color w:val="auto"/>
                <w:szCs w:val="24"/>
              </w:rPr>
            </w:pPr>
            <w:r>
              <w:rPr>
                <w:rFonts w:eastAsiaTheme="minorEastAsia"/>
                <w:color w:val="auto"/>
                <w:szCs w:val="24"/>
              </w:rPr>
              <w:drawing>
                <wp:inline distT="0" distB="0" distL="0" distR="0">
                  <wp:extent cx="1771650" cy="257175"/>
                  <wp:effectExtent l="0" t="0" r="0" b="825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771650" cy="257175"/>
                          </a:xfrm>
                          <a:prstGeom prst="rect">
                            <a:avLst/>
                          </a:prstGeom>
                          <a:noFill/>
                          <a:ln>
                            <a:noFill/>
                          </a:ln>
                        </pic:spPr>
                      </pic:pic>
                    </a:graphicData>
                  </a:graphic>
                </wp:inline>
              </w:drawing>
            </w:r>
          </w:p>
          <w:p w14:paraId="6ED9DC0D">
            <w:pPr>
              <w:pStyle w:val="18"/>
              <w:ind w:firstLineChars="200"/>
              <w:rPr>
                <w:rFonts w:eastAsiaTheme="minorEastAsia"/>
                <w:color w:val="auto"/>
                <w:szCs w:val="24"/>
              </w:rPr>
            </w:pPr>
            <w:r>
              <w:rPr>
                <w:rFonts w:eastAsiaTheme="minorEastAsia"/>
                <w:color w:val="auto"/>
                <w:szCs w:val="24"/>
              </w:rPr>
              <w:t>式中：</w:t>
            </w:r>
          </w:p>
          <w:p w14:paraId="65D29E54">
            <w:pPr>
              <w:pStyle w:val="18"/>
              <w:ind w:firstLine="960" w:firstLineChars="400"/>
              <w:rPr>
                <w:rFonts w:eastAsiaTheme="minorEastAsia"/>
                <w:color w:val="auto"/>
                <w:szCs w:val="24"/>
              </w:rPr>
            </w:pPr>
            <w:r>
              <w:rPr>
                <w:rFonts w:eastAsiaTheme="minorEastAsia"/>
                <w:color w:val="auto"/>
                <w:position w:val="-14"/>
                <w:szCs w:val="24"/>
              </w:rPr>
              <w:object>
                <v:shape id="_x0000_i1049" o:spt="75" type="#_x0000_t75" style="height:19.25pt;width:38.5pt;" o:ole="t" filled="f" coordsize="21600,21600">
                  <v:path/>
                  <v:fill on="f" focussize="0,0"/>
                  <v:stroke/>
                  <v:imagedata r:id="rId69" embosscolor="#FFFFFF" o:title=""/>
                  <o:lock v:ext="edit" aspectratio="t"/>
                  <w10:wrap type="none"/>
                  <w10:anchorlock/>
                </v:shape>
                <o:OLEObject Type="Embed" ProgID="Equation.DSMT4" ShapeID="_x0000_i1049" DrawAspect="Content" ObjectID="_1468075749" r:id="rId68">
                  <o:LockedField>false</o:LockedField>
                </o:OLEObject>
              </w:object>
            </w:r>
            <w:r>
              <w:rPr>
                <w:rFonts w:eastAsiaTheme="minorEastAsia"/>
                <w:color w:val="auto"/>
                <w:szCs w:val="24"/>
              </w:rPr>
              <w:t>——靠近围护结构处室外N个声源i倍频带的叠加声压级，dB；</w:t>
            </w:r>
          </w:p>
          <w:p w14:paraId="775458BB">
            <w:pPr>
              <w:pStyle w:val="18"/>
              <w:ind w:firstLine="960" w:firstLineChars="400"/>
              <w:rPr>
                <w:rFonts w:eastAsiaTheme="minorEastAsia"/>
                <w:color w:val="auto"/>
                <w:szCs w:val="24"/>
              </w:rPr>
            </w:pPr>
            <w:r>
              <w:rPr>
                <w:rFonts w:eastAsiaTheme="minorEastAsia"/>
                <w:color w:val="auto"/>
                <w:position w:val="-12"/>
                <w:szCs w:val="24"/>
              </w:rPr>
              <w:object>
                <v:shape id="_x0000_i1050" o:spt="75" type="#_x0000_t75" style="height:19.25pt;width:19.25pt;" o:ole="t" filled="f" coordsize="21600,21600">
                  <v:path/>
                  <v:fill on="f" focussize="0,0"/>
                  <v:stroke/>
                  <v:imagedata r:id="rId71" embosscolor="#FFFFFF" o:title=""/>
                  <o:lock v:ext="edit" aspectratio="t"/>
                  <w10:wrap type="none"/>
                  <w10:anchorlock/>
                </v:shape>
                <o:OLEObject Type="Embed" ProgID="Equation.DSMT4" ShapeID="_x0000_i1050" DrawAspect="Content" ObjectID="_1468075750" r:id="rId70">
                  <o:LockedField>false</o:LockedField>
                </o:OLEObject>
              </w:object>
            </w:r>
            <w:r>
              <w:rPr>
                <w:rFonts w:eastAsiaTheme="minorEastAsia"/>
                <w:color w:val="auto"/>
                <w:szCs w:val="24"/>
              </w:rPr>
              <w:t>——围护结构i倍频带的隔声量，dB。</w:t>
            </w:r>
          </w:p>
          <w:p w14:paraId="7AA982A4">
            <w:pPr>
              <w:pStyle w:val="18"/>
              <w:rPr>
                <w:rFonts w:eastAsiaTheme="minorEastAsia"/>
                <w:color w:val="auto"/>
                <w:szCs w:val="24"/>
              </w:rPr>
            </w:pPr>
            <w:r>
              <w:rPr>
                <w:rFonts w:eastAsiaTheme="minorEastAsia"/>
                <w:color w:val="auto"/>
                <w:szCs w:val="24"/>
              </w:rPr>
              <w:t>然后按下式将室外声源的声压级和透过面积换算成等效的室外声源，计算出中心位置位于透声面积（S）处的等效声源的倍频带声功率级</w:t>
            </w:r>
            <w:r>
              <w:rPr>
                <w:rFonts w:eastAsiaTheme="minorEastAsia"/>
                <w:color w:val="auto"/>
                <w:szCs w:val="24"/>
              </w:rPr>
              <w:softHyphen/>
            </w:r>
            <w:r>
              <w:rPr>
                <w:rFonts w:eastAsiaTheme="minorEastAsia"/>
                <w:color w:val="auto"/>
                <w:szCs w:val="24"/>
              </w:rPr>
              <w:softHyphen/>
            </w:r>
            <w:r>
              <w:rPr>
                <w:rFonts w:eastAsiaTheme="minorEastAsia"/>
                <w:color w:val="auto"/>
                <w:szCs w:val="24"/>
              </w:rPr>
              <w:t>：</w:t>
            </w:r>
          </w:p>
          <w:p w14:paraId="1B27AD4E">
            <w:pPr>
              <w:pStyle w:val="18"/>
              <w:jc w:val="center"/>
              <w:rPr>
                <w:rFonts w:eastAsiaTheme="minorEastAsia"/>
                <w:color w:val="auto"/>
                <w:szCs w:val="24"/>
              </w:rPr>
            </w:pPr>
            <w:r>
              <w:rPr>
                <w:rFonts w:eastAsiaTheme="minorEastAsia"/>
                <w:color w:val="auto"/>
                <w:szCs w:val="24"/>
              </w:rPr>
              <w:drawing>
                <wp:inline distT="0" distB="0" distL="0" distR="0">
                  <wp:extent cx="1314450" cy="257175"/>
                  <wp:effectExtent l="0" t="0" r="0" b="825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1314450" cy="257175"/>
                          </a:xfrm>
                          <a:prstGeom prst="rect">
                            <a:avLst/>
                          </a:prstGeom>
                          <a:noFill/>
                          <a:ln>
                            <a:noFill/>
                          </a:ln>
                        </pic:spPr>
                      </pic:pic>
                    </a:graphicData>
                  </a:graphic>
                </wp:inline>
              </w:drawing>
            </w:r>
          </w:p>
          <w:p w14:paraId="4B9EA9B9">
            <w:pPr>
              <w:pStyle w:val="18"/>
              <w:rPr>
                <w:rFonts w:eastAsiaTheme="minorEastAsia"/>
                <w:color w:val="auto"/>
                <w:szCs w:val="24"/>
              </w:rPr>
            </w:pPr>
            <w:r>
              <w:rPr>
                <w:rFonts w:eastAsiaTheme="minorEastAsia"/>
                <w:color w:val="auto"/>
                <w:szCs w:val="24"/>
              </w:rPr>
              <w:t>然后按室外声源预测方法计算预测点处的A声级。</w:t>
            </w:r>
          </w:p>
          <w:p w14:paraId="6128F0A8">
            <w:pPr>
              <w:pStyle w:val="18"/>
              <w:ind w:firstLineChars="200"/>
              <w:rPr>
                <w:rFonts w:eastAsiaTheme="minorEastAsia"/>
                <w:color w:val="auto"/>
                <w:szCs w:val="24"/>
              </w:rPr>
            </w:pPr>
            <w:r>
              <w:rPr>
                <w:rFonts w:eastAsiaTheme="minorEastAsia"/>
                <w:color w:val="auto"/>
                <w:szCs w:val="24"/>
              </w:rPr>
              <w:t>（2）预测结果</w:t>
            </w:r>
          </w:p>
          <w:p w14:paraId="67B37FB6">
            <w:pPr>
              <w:pStyle w:val="18"/>
              <w:ind w:firstLineChars="200"/>
              <w:rPr>
                <w:rFonts w:eastAsiaTheme="minorEastAsia"/>
                <w:b/>
                <w:color w:val="auto"/>
                <w:szCs w:val="24"/>
              </w:rPr>
            </w:pPr>
            <w:r>
              <w:rPr>
                <w:rFonts w:eastAsiaTheme="minorEastAsia"/>
                <w:color w:val="auto"/>
                <w:szCs w:val="24"/>
              </w:rPr>
              <w:t>选择项目东、南、西、北厂界作为预测点，进行噪声影响预测，具体预测结果见表</w:t>
            </w:r>
            <w:r>
              <w:rPr>
                <w:rFonts w:hint="eastAsia" w:eastAsiaTheme="minorEastAsia"/>
                <w:color w:val="auto"/>
                <w:szCs w:val="24"/>
              </w:rPr>
              <w:t>4</w:t>
            </w:r>
            <w:r>
              <w:rPr>
                <w:rFonts w:hint="eastAsia" w:eastAsiaTheme="minorEastAsia"/>
                <w:color w:val="auto"/>
                <w:szCs w:val="24"/>
                <w:lang w:val="en-US" w:eastAsia="zh-CN"/>
              </w:rPr>
              <w:t>-17</w:t>
            </w:r>
            <w:r>
              <w:rPr>
                <w:rFonts w:eastAsiaTheme="minorEastAsia"/>
                <w:color w:val="auto"/>
                <w:szCs w:val="24"/>
              </w:rPr>
              <w:t>。</w:t>
            </w:r>
          </w:p>
          <w:p w14:paraId="60046768">
            <w:pPr>
              <w:tabs>
                <w:tab w:val="left" w:pos="1144"/>
              </w:tabs>
              <w:spacing w:line="360" w:lineRule="auto"/>
              <w:ind w:right="6"/>
              <w:jc w:val="center"/>
              <w:rPr>
                <w:rFonts w:hint="eastAsia"/>
                <w:b/>
                <w:bCs/>
                <w:color w:val="auto"/>
                <w:sz w:val="24"/>
                <w:szCs w:val="24"/>
              </w:rPr>
            </w:pPr>
            <w:r>
              <w:rPr>
                <w:rFonts w:hint="eastAsia"/>
                <w:b/>
                <w:bCs/>
                <w:color w:val="auto"/>
                <w:sz w:val="24"/>
                <w:szCs w:val="24"/>
              </w:rPr>
              <w:t>表4</w:t>
            </w:r>
            <w:r>
              <w:rPr>
                <w:rFonts w:hint="eastAsia"/>
                <w:b/>
                <w:bCs/>
                <w:color w:val="auto"/>
                <w:sz w:val="24"/>
                <w:szCs w:val="24"/>
                <w:lang w:val="en-US" w:eastAsia="zh-CN"/>
              </w:rPr>
              <w:t>-17</w:t>
            </w:r>
            <w:r>
              <w:rPr>
                <w:rFonts w:hint="eastAsia"/>
                <w:b/>
                <w:bCs/>
                <w:color w:val="auto"/>
                <w:sz w:val="24"/>
                <w:szCs w:val="24"/>
              </w:rPr>
              <w:t>噪声影响预测结果表</w:t>
            </w:r>
            <w:r>
              <w:rPr>
                <w:rFonts w:hint="eastAsia"/>
                <w:b/>
                <w:bCs/>
                <w:color w:val="auto"/>
                <w:sz w:val="24"/>
                <w:szCs w:val="24"/>
                <w:lang w:val="en-US" w:eastAsia="zh-CN"/>
              </w:rPr>
              <w:t xml:space="preserve">  </w:t>
            </w:r>
            <w:r>
              <w:rPr>
                <w:rFonts w:hint="eastAsia"/>
                <w:b/>
                <w:bCs/>
                <w:color w:val="auto"/>
                <w:sz w:val="24"/>
                <w:szCs w:val="24"/>
              </w:rPr>
              <w:t>单位：dB（A）</w:t>
            </w:r>
          </w:p>
          <w:tbl>
            <w:tblPr>
              <w:tblStyle w:val="35"/>
              <w:tblW w:w="797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901"/>
              <w:gridCol w:w="1177"/>
              <w:gridCol w:w="657"/>
              <w:gridCol w:w="1008"/>
              <w:gridCol w:w="941"/>
              <w:gridCol w:w="1031"/>
              <w:gridCol w:w="1252"/>
              <w:gridCol w:w="1009"/>
            </w:tblGrid>
            <w:tr w14:paraId="166C7C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11" w:hRule="atLeast"/>
                <w:jc w:val="center"/>
              </w:trPr>
              <w:tc>
                <w:tcPr>
                  <w:tcW w:w="901" w:type="dxa"/>
                  <w:vMerge w:val="restart"/>
                  <w:vAlign w:val="center"/>
                </w:tcPr>
                <w:p w14:paraId="71DFFCBE">
                  <w:pPr>
                    <w:spacing w:line="280" w:lineRule="exact"/>
                    <w:jc w:val="center"/>
                    <w:rPr>
                      <w:rFonts w:eastAsiaTheme="minorEastAsia"/>
                      <w:b/>
                      <w:color w:val="auto"/>
                      <w:szCs w:val="21"/>
                    </w:rPr>
                  </w:pPr>
                  <w:r>
                    <w:rPr>
                      <w:rFonts w:eastAsiaTheme="minorEastAsia"/>
                      <w:b/>
                      <w:color w:val="auto"/>
                      <w:szCs w:val="21"/>
                    </w:rPr>
                    <w:t>预测点</w:t>
                  </w:r>
                </w:p>
              </w:tc>
              <w:tc>
                <w:tcPr>
                  <w:tcW w:w="1177" w:type="dxa"/>
                  <w:vMerge w:val="restart"/>
                  <w:vAlign w:val="center"/>
                </w:tcPr>
                <w:p w14:paraId="090AFFBA">
                  <w:pPr>
                    <w:spacing w:line="280" w:lineRule="exact"/>
                    <w:jc w:val="center"/>
                    <w:rPr>
                      <w:rFonts w:eastAsiaTheme="minorEastAsia"/>
                      <w:b/>
                      <w:color w:val="auto"/>
                      <w:szCs w:val="21"/>
                    </w:rPr>
                  </w:pPr>
                  <w:r>
                    <w:rPr>
                      <w:rFonts w:eastAsiaTheme="minorEastAsia"/>
                      <w:b/>
                      <w:color w:val="auto"/>
                      <w:szCs w:val="21"/>
                    </w:rPr>
                    <w:t>噪声源</w:t>
                  </w:r>
                </w:p>
              </w:tc>
              <w:tc>
                <w:tcPr>
                  <w:tcW w:w="657" w:type="dxa"/>
                  <w:vMerge w:val="restart"/>
                  <w:vAlign w:val="center"/>
                </w:tcPr>
                <w:p w14:paraId="0A44AB3F">
                  <w:pPr>
                    <w:spacing w:line="280" w:lineRule="exact"/>
                    <w:jc w:val="center"/>
                    <w:rPr>
                      <w:rFonts w:eastAsiaTheme="minorEastAsia"/>
                      <w:b/>
                      <w:color w:val="auto"/>
                      <w:szCs w:val="21"/>
                    </w:rPr>
                  </w:pPr>
                  <w:r>
                    <w:rPr>
                      <w:rFonts w:eastAsiaTheme="minorEastAsia"/>
                      <w:b/>
                      <w:color w:val="auto"/>
                      <w:szCs w:val="21"/>
                    </w:rPr>
                    <w:t>源强</w:t>
                  </w:r>
                </w:p>
              </w:tc>
              <w:tc>
                <w:tcPr>
                  <w:tcW w:w="1008" w:type="dxa"/>
                  <w:vMerge w:val="restart"/>
                  <w:vAlign w:val="center"/>
                </w:tcPr>
                <w:p w14:paraId="2ED5ADB1">
                  <w:pPr>
                    <w:spacing w:line="280" w:lineRule="exact"/>
                    <w:jc w:val="center"/>
                    <w:rPr>
                      <w:rFonts w:eastAsiaTheme="minorEastAsia"/>
                      <w:b/>
                      <w:color w:val="auto"/>
                      <w:szCs w:val="21"/>
                    </w:rPr>
                  </w:pPr>
                  <w:r>
                    <w:rPr>
                      <w:rFonts w:eastAsiaTheme="minorEastAsia"/>
                      <w:b/>
                      <w:color w:val="auto"/>
                      <w:szCs w:val="21"/>
                    </w:rPr>
                    <w:t>厂房距厂界距离（m）</w:t>
                  </w:r>
                </w:p>
              </w:tc>
              <w:tc>
                <w:tcPr>
                  <w:tcW w:w="941" w:type="dxa"/>
                  <w:vMerge w:val="restart"/>
                  <w:vAlign w:val="center"/>
                </w:tcPr>
                <w:p w14:paraId="2E9AF620">
                  <w:pPr>
                    <w:spacing w:line="280" w:lineRule="exact"/>
                    <w:jc w:val="center"/>
                    <w:rPr>
                      <w:rFonts w:eastAsiaTheme="minorEastAsia"/>
                      <w:b/>
                      <w:color w:val="auto"/>
                      <w:szCs w:val="21"/>
                    </w:rPr>
                  </w:pPr>
                  <w:r>
                    <w:rPr>
                      <w:rFonts w:eastAsiaTheme="minorEastAsia"/>
                      <w:b/>
                      <w:color w:val="auto"/>
                      <w:szCs w:val="21"/>
                    </w:rPr>
                    <w:t>几何发散衰减</w:t>
                  </w:r>
                </w:p>
              </w:tc>
              <w:tc>
                <w:tcPr>
                  <w:tcW w:w="1031" w:type="dxa"/>
                  <w:vMerge w:val="restart"/>
                  <w:vAlign w:val="center"/>
                </w:tcPr>
                <w:p w14:paraId="12704AC8">
                  <w:pPr>
                    <w:spacing w:line="280" w:lineRule="exact"/>
                    <w:jc w:val="center"/>
                    <w:rPr>
                      <w:rFonts w:eastAsiaTheme="minorEastAsia"/>
                      <w:b/>
                      <w:color w:val="auto"/>
                      <w:szCs w:val="21"/>
                    </w:rPr>
                  </w:pPr>
                  <w:r>
                    <w:rPr>
                      <w:rFonts w:eastAsiaTheme="minorEastAsia"/>
                      <w:b/>
                      <w:color w:val="auto"/>
                      <w:szCs w:val="21"/>
                    </w:rPr>
                    <w:t>大气吸收衰减</w:t>
                  </w:r>
                </w:p>
              </w:tc>
              <w:tc>
                <w:tcPr>
                  <w:tcW w:w="1252" w:type="dxa"/>
                  <w:vMerge w:val="restart"/>
                  <w:vAlign w:val="center"/>
                </w:tcPr>
                <w:p w14:paraId="182BCF61">
                  <w:pPr>
                    <w:spacing w:line="280" w:lineRule="exact"/>
                    <w:jc w:val="center"/>
                    <w:rPr>
                      <w:rFonts w:eastAsiaTheme="minorEastAsia"/>
                      <w:b/>
                      <w:color w:val="auto"/>
                      <w:szCs w:val="21"/>
                    </w:rPr>
                  </w:pPr>
                  <w:r>
                    <w:rPr>
                      <w:rFonts w:eastAsiaTheme="minorEastAsia"/>
                      <w:b/>
                      <w:color w:val="auto"/>
                      <w:szCs w:val="21"/>
                    </w:rPr>
                    <w:t>在预测点的等效A声级贡献值</w:t>
                  </w:r>
                </w:p>
              </w:tc>
              <w:tc>
                <w:tcPr>
                  <w:tcW w:w="1009" w:type="dxa"/>
                  <w:vMerge w:val="restart"/>
                  <w:vAlign w:val="center"/>
                </w:tcPr>
                <w:p w14:paraId="6F95D59A">
                  <w:pPr>
                    <w:spacing w:line="280" w:lineRule="exact"/>
                    <w:jc w:val="center"/>
                    <w:rPr>
                      <w:rFonts w:eastAsiaTheme="minorEastAsia"/>
                      <w:b/>
                      <w:color w:val="auto"/>
                      <w:szCs w:val="21"/>
                    </w:rPr>
                  </w:pPr>
                  <w:r>
                    <w:rPr>
                      <w:rFonts w:eastAsiaTheme="minorEastAsia"/>
                      <w:b/>
                      <w:bCs/>
                      <w:color w:val="auto"/>
                      <w:kern w:val="0"/>
                      <w:szCs w:val="21"/>
                    </w:rPr>
                    <w:t>最终叠加贡献值</w:t>
                  </w:r>
                </w:p>
              </w:tc>
            </w:tr>
            <w:tr w14:paraId="7EF6C8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12" w:hRule="atLeast"/>
                <w:jc w:val="center"/>
              </w:trPr>
              <w:tc>
                <w:tcPr>
                  <w:tcW w:w="901" w:type="dxa"/>
                  <w:vMerge w:val="continue"/>
                  <w:vAlign w:val="center"/>
                </w:tcPr>
                <w:p w14:paraId="22334E0D">
                  <w:pPr>
                    <w:spacing w:line="280" w:lineRule="exact"/>
                    <w:jc w:val="center"/>
                    <w:rPr>
                      <w:color w:val="auto"/>
                    </w:rPr>
                  </w:pPr>
                </w:p>
              </w:tc>
              <w:tc>
                <w:tcPr>
                  <w:tcW w:w="1177" w:type="dxa"/>
                  <w:vMerge w:val="continue"/>
                  <w:vAlign w:val="center"/>
                </w:tcPr>
                <w:p w14:paraId="5BBED89A">
                  <w:pPr>
                    <w:spacing w:line="280" w:lineRule="exact"/>
                    <w:jc w:val="center"/>
                    <w:rPr>
                      <w:color w:val="auto"/>
                    </w:rPr>
                  </w:pPr>
                </w:p>
              </w:tc>
              <w:tc>
                <w:tcPr>
                  <w:tcW w:w="657" w:type="dxa"/>
                  <w:vMerge w:val="continue"/>
                  <w:vAlign w:val="center"/>
                </w:tcPr>
                <w:p w14:paraId="1C154C41">
                  <w:pPr>
                    <w:spacing w:line="280" w:lineRule="exact"/>
                    <w:jc w:val="center"/>
                    <w:rPr>
                      <w:color w:val="auto"/>
                    </w:rPr>
                  </w:pPr>
                </w:p>
              </w:tc>
              <w:tc>
                <w:tcPr>
                  <w:tcW w:w="1008" w:type="dxa"/>
                  <w:vMerge w:val="continue"/>
                  <w:vAlign w:val="center"/>
                </w:tcPr>
                <w:p w14:paraId="1F04AB1B">
                  <w:pPr>
                    <w:spacing w:line="280" w:lineRule="exact"/>
                    <w:jc w:val="center"/>
                    <w:rPr>
                      <w:color w:val="auto"/>
                    </w:rPr>
                  </w:pPr>
                </w:p>
              </w:tc>
              <w:tc>
                <w:tcPr>
                  <w:tcW w:w="941" w:type="dxa"/>
                  <w:vMerge w:val="continue"/>
                  <w:vAlign w:val="center"/>
                </w:tcPr>
                <w:p w14:paraId="6102FB3E">
                  <w:pPr>
                    <w:spacing w:line="280" w:lineRule="exact"/>
                    <w:jc w:val="center"/>
                    <w:rPr>
                      <w:color w:val="auto"/>
                    </w:rPr>
                  </w:pPr>
                </w:p>
              </w:tc>
              <w:tc>
                <w:tcPr>
                  <w:tcW w:w="1031" w:type="dxa"/>
                  <w:vMerge w:val="continue"/>
                  <w:vAlign w:val="center"/>
                </w:tcPr>
                <w:p w14:paraId="5F9CC256">
                  <w:pPr>
                    <w:spacing w:line="280" w:lineRule="exact"/>
                    <w:jc w:val="center"/>
                    <w:rPr>
                      <w:color w:val="auto"/>
                    </w:rPr>
                  </w:pPr>
                </w:p>
              </w:tc>
              <w:tc>
                <w:tcPr>
                  <w:tcW w:w="1252" w:type="dxa"/>
                  <w:vMerge w:val="continue"/>
                  <w:vAlign w:val="center"/>
                </w:tcPr>
                <w:p w14:paraId="64F2B1A2">
                  <w:pPr>
                    <w:spacing w:line="280" w:lineRule="exact"/>
                    <w:jc w:val="center"/>
                    <w:rPr>
                      <w:color w:val="auto"/>
                    </w:rPr>
                  </w:pPr>
                </w:p>
              </w:tc>
              <w:tc>
                <w:tcPr>
                  <w:tcW w:w="1009" w:type="dxa"/>
                  <w:vMerge w:val="continue"/>
                  <w:vAlign w:val="center"/>
                </w:tcPr>
                <w:p w14:paraId="0EF3F55E">
                  <w:pPr>
                    <w:spacing w:line="280" w:lineRule="exact"/>
                    <w:jc w:val="center"/>
                    <w:rPr>
                      <w:color w:val="auto"/>
                    </w:rPr>
                  </w:pPr>
                </w:p>
              </w:tc>
            </w:tr>
            <w:tr w14:paraId="7AF531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901" w:type="dxa"/>
                  <w:vMerge w:val="restart"/>
                  <w:vAlign w:val="center"/>
                </w:tcPr>
                <w:p w14:paraId="055C4DB7">
                  <w:pPr>
                    <w:spacing w:line="280" w:lineRule="exact"/>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东厂界</w:t>
                  </w:r>
                </w:p>
              </w:tc>
              <w:tc>
                <w:tcPr>
                  <w:tcW w:w="1177" w:type="dxa"/>
                  <w:vAlign w:val="center"/>
                </w:tcPr>
                <w:p w14:paraId="5728EB20">
                  <w:pPr>
                    <w:spacing w:line="280" w:lineRule="exact"/>
                    <w:jc w:val="center"/>
                    <w:rPr>
                      <w:rFonts w:hint="default" w:ascii="Times New Roman" w:hAnsi="Times New Roman" w:cs="Times New Roman" w:eastAsiaTheme="minorEastAsia"/>
                      <w:color w:val="auto"/>
                      <w:szCs w:val="21"/>
                      <w:lang w:val="en-US" w:eastAsia="zh-CN"/>
                    </w:rPr>
                  </w:pPr>
                  <w:r>
                    <w:rPr>
                      <w:rFonts w:hint="eastAsia" w:cs="Times New Roman" w:eastAsiaTheme="minorEastAsia"/>
                      <w:color w:val="auto"/>
                      <w:szCs w:val="21"/>
                      <w:lang w:val="en-US" w:eastAsia="zh-CN"/>
                    </w:rPr>
                    <w:t>生产车间</w:t>
                  </w:r>
                </w:p>
              </w:tc>
              <w:tc>
                <w:tcPr>
                  <w:tcW w:w="657" w:type="dxa"/>
                  <w:vAlign w:val="center"/>
                </w:tcPr>
                <w:p w14:paraId="7F714E5F">
                  <w:pPr>
                    <w:spacing w:line="280" w:lineRule="exact"/>
                    <w:jc w:val="center"/>
                    <w:rPr>
                      <w:rFonts w:hint="default" w:ascii="Times New Roman" w:hAnsi="Times New Roman" w:cs="Times New Roman" w:eastAsiaTheme="minorEastAsia"/>
                      <w:color w:val="auto"/>
                      <w:szCs w:val="21"/>
                      <w:lang w:val="en-US" w:eastAsia="zh-CN"/>
                    </w:rPr>
                  </w:pPr>
                  <w:r>
                    <w:rPr>
                      <w:rFonts w:hint="eastAsia" w:cs="Times New Roman" w:eastAsiaTheme="minorEastAsia"/>
                      <w:color w:val="auto"/>
                      <w:szCs w:val="21"/>
                      <w:lang w:val="en-US" w:eastAsia="zh-CN"/>
                    </w:rPr>
                    <w:t>61</w:t>
                  </w:r>
                </w:p>
              </w:tc>
              <w:tc>
                <w:tcPr>
                  <w:tcW w:w="1008" w:type="dxa"/>
                  <w:vAlign w:val="center"/>
                </w:tcPr>
                <w:p w14:paraId="0661F907">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30</w:t>
                  </w:r>
                </w:p>
              </w:tc>
              <w:tc>
                <w:tcPr>
                  <w:tcW w:w="941" w:type="dxa"/>
                  <w:vAlign w:val="center"/>
                </w:tcPr>
                <w:p w14:paraId="78D4D2E9">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29.54</w:t>
                  </w:r>
                </w:p>
              </w:tc>
              <w:tc>
                <w:tcPr>
                  <w:tcW w:w="1031" w:type="dxa"/>
                  <w:vAlign w:val="center"/>
                </w:tcPr>
                <w:p w14:paraId="3ABD6076">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0.05</w:t>
                  </w:r>
                </w:p>
              </w:tc>
              <w:tc>
                <w:tcPr>
                  <w:tcW w:w="1252" w:type="dxa"/>
                  <w:vAlign w:val="center"/>
                </w:tcPr>
                <w:p w14:paraId="7762309F">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31.4</w:t>
                  </w:r>
                </w:p>
              </w:tc>
              <w:tc>
                <w:tcPr>
                  <w:tcW w:w="1009" w:type="dxa"/>
                  <w:vMerge w:val="restart"/>
                  <w:shd w:val="clear" w:color="auto" w:fill="auto"/>
                  <w:vAlign w:val="center"/>
                </w:tcPr>
                <w:p w14:paraId="07AEF9E4">
                  <w:pPr>
                    <w:spacing w:line="28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40.4</w:t>
                  </w:r>
                </w:p>
              </w:tc>
            </w:tr>
            <w:tr w14:paraId="5D2BA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901" w:type="dxa"/>
                  <w:vMerge w:val="continue"/>
                  <w:vAlign w:val="center"/>
                </w:tcPr>
                <w:p w14:paraId="16D0111D">
                  <w:pPr>
                    <w:spacing w:line="280" w:lineRule="exact"/>
                    <w:jc w:val="center"/>
                    <w:rPr>
                      <w:rFonts w:hint="eastAsia" w:ascii="Times New Roman" w:hAnsi="Times New Roman" w:cs="Times New Roman" w:eastAsiaTheme="minorEastAsia"/>
                      <w:color w:val="auto"/>
                      <w:szCs w:val="21"/>
                      <w:lang w:val="en-US" w:eastAsia="zh-CN"/>
                    </w:rPr>
                  </w:pPr>
                </w:p>
              </w:tc>
              <w:tc>
                <w:tcPr>
                  <w:tcW w:w="1177" w:type="dxa"/>
                  <w:shd w:val="clear" w:color="auto" w:fill="auto"/>
                  <w:vAlign w:val="center"/>
                </w:tcPr>
                <w:p w14:paraId="1AF999F2">
                  <w:pPr>
                    <w:jc w:val="center"/>
                    <w:rPr>
                      <w:rFonts w:hint="eastAsia" w:ascii="Times New Roman" w:hAnsi="Times New Roman" w:cs="Times New Roman" w:eastAsiaTheme="minorEastAsia"/>
                      <w:color w:val="auto"/>
                      <w:kern w:val="2"/>
                      <w:sz w:val="21"/>
                      <w:lang w:val="en-US" w:eastAsia="zh-CN" w:bidi="ar-SA"/>
                    </w:rPr>
                  </w:pPr>
                  <w:r>
                    <w:rPr>
                      <w:rFonts w:hint="eastAsia" w:eastAsiaTheme="minorEastAsia"/>
                      <w:color w:val="auto"/>
                      <w:lang w:val="en-US" w:eastAsia="zh-CN"/>
                    </w:rPr>
                    <w:t>1#风机</w:t>
                  </w:r>
                </w:p>
              </w:tc>
              <w:tc>
                <w:tcPr>
                  <w:tcW w:w="657" w:type="dxa"/>
                  <w:shd w:val="clear" w:color="auto" w:fill="auto"/>
                  <w:vAlign w:val="center"/>
                </w:tcPr>
                <w:p w14:paraId="15EDEA8A">
                  <w:pPr>
                    <w:jc w:val="center"/>
                    <w:rPr>
                      <w:rFonts w:hint="eastAsia" w:ascii="Times New Roman" w:hAnsi="Times New Roman" w:cs="Times New Roman" w:eastAsiaTheme="minorEastAsia"/>
                      <w:color w:val="auto"/>
                      <w:kern w:val="0"/>
                      <w:sz w:val="21"/>
                      <w:szCs w:val="21"/>
                      <w:lang w:val="en-US" w:eastAsia="zh-CN" w:bidi="ar-SA"/>
                    </w:rPr>
                  </w:pPr>
                  <w:r>
                    <w:rPr>
                      <w:rFonts w:hint="eastAsia" w:eastAsiaTheme="minorEastAsia"/>
                      <w:color w:val="auto"/>
                      <w:kern w:val="0"/>
                      <w:szCs w:val="21"/>
                      <w:lang w:val="en-US" w:eastAsia="zh-CN"/>
                    </w:rPr>
                    <w:t>80</w:t>
                  </w:r>
                </w:p>
              </w:tc>
              <w:tc>
                <w:tcPr>
                  <w:tcW w:w="1008" w:type="dxa"/>
                  <w:vAlign w:val="center"/>
                </w:tcPr>
                <w:p w14:paraId="145FBD40">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100</w:t>
                  </w:r>
                </w:p>
              </w:tc>
              <w:tc>
                <w:tcPr>
                  <w:tcW w:w="941" w:type="dxa"/>
                  <w:vAlign w:val="center"/>
                </w:tcPr>
                <w:p w14:paraId="0F89CB13">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40.00</w:t>
                  </w:r>
                </w:p>
              </w:tc>
              <w:tc>
                <w:tcPr>
                  <w:tcW w:w="1031" w:type="dxa"/>
                  <w:vAlign w:val="center"/>
                </w:tcPr>
                <w:p w14:paraId="79BFC805">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0.15</w:t>
                  </w:r>
                </w:p>
              </w:tc>
              <w:tc>
                <w:tcPr>
                  <w:tcW w:w="1252" w:type="dxa"/>
                  <w:vAlign w:val="center"/>
                </w:tcPr>
                <w:p w14:paraId="7CE24B65">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39.9</w:t>
                  </w:r>
                </w:p>
              </w:tc>
              <w:tc>
                <w:tcPr>
                  <w:tcW w:w="1009" w:type="dxa"/>
                  <w:vMerge w:val="continue"/>
                  <w:shd w:val="clear" w:color="auto" w:fill="auto"/>
                  <w:vAlign w:val="center"/>
                </w:tcPr>
                <w:p w14:paraId="3D5AA9CC">
                  <w:pPr>
                    <w:spacing w:line="280" w:lineRule="exact"/>
                    <w:jc w:val="center"/>
                    <w:rPr>
                      <w:rFonts w:hint="eastAsia" w:eastAsiaTheme="minorEastAsia"/>
                      <w:color w:val="auto"/>
                      <w:szCs w:val="21"/>
                      <w:lang w:val="en-US" w:eastAsia="zh-CN"/>
                    </w:rPr>
                  </w:pPr>
                </w:p>
              </w:tc>
            </w:tr>
            <w:tr w14:paraId="52DC04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1" w:hRule="atLeast"/>
                <w:jc w:val="center"/>
              </w:trPr>
              <w:tc>
                <w:tcPr>
                  <w:tcW w:w="901" w:type="dxa"/>
                  <w:vMerge w:val="restart"/>
                  <w:vAlign w:val="center"/>
                </w:tcPr>
                <w:p w14:paraId="4521CC39">
                  <w:pPr>
                    <w:spacing w:line="280" w:lineRule="exact"/>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南厂界</w:t>
                  </w:r>
                </w:p>
              </w:tc>
              <w:tc>
                <w:tcPr>
                  <w:tcW w:w="1177" w:type="dxa"/>
                  <w:shd w:val="clear" w:color="auto" w:fill="auto"/>
                  <w:vAlign w:val="center"/>
                </w:tcPr>
                <w:p w14:paraId="60D22670">
                  <w:pPr>
                    <w:spacing w:line="280" w:lineRule="exact"/>
                    <w:jc w:val="center"/>
                    <w:rPr>
                      <w:rFonts w:hint="default" w:ascii="Times New Roman" w:hAnsi="Times New Roman" w:cs="Times New Roman" w:eastAsiaTheme="minorEastAsia"/>
                      <w:color w:val="auto"/>
                      <w:szCs w:val="21"/>
                      <w:lang w:val="en-US" w:eastAsia="zh-CN"/>
                    </w:rPr>
                  </w:pPr>
                  <w:r>
                    <w:rPr>
                      <w:rFonts w:hint="eastAsia" w:cs="Times New Roman" w:eastAsiaTheme="minorEastAsia"/>
                      <w:color w:val="auto"/>
                      <w:szCs w:val="21"/>
                      <w:lang w:val="en-US" w:eastAsia="zh-CN"/>
                    </w:rPr>
                    <w:t>生产车间</w:t>
                  </w:r>
                </w:p>
              </w:tc>
              <w:tc>
                <w:tcPr>
                  <w:tcW w:w="657" w:type="dxa"/>
                  <w:vAlign w:val="center"/>
                </w:tcPr>
                <w:p w14:paraId="3682D8AE">
                  <w:pPr>
                    <w:spacing w:line="280" w:lineRule="exact"/>
                    <w:jc w:val="center"/>
                    <w:rPr>
                      <w:rFonts w:hint="default" w:ascii="Times New Roman" w:hAnsi="Times New Roman" w:cs="Times New Roman" w:eastAsiaTheme="minorEastAsia"/>
                      <w:color w:val="auto"/>
                      <w:szCs w:val="21"/>
                      <w:lang w:val="en-US" w:eastAsia="zh-CN"/>
                    </w:rPr>
                  </w:pPr>
                  <w:r>
                    <w:rPr>
                      <w:rFonts w:hint="eastAsia" w:cs="Times New Roman" w:eastAsiaTheme="minorEastAsia"/>
                      <w:color w:val="auto"/>
                      <w:szCs w:val="21"/>
                      <w:lang w:val="en-US" w:eastAsia="zh-CN"/>
                    </w:rPr>
                    <w:t>61</w:t>
                  </w:r>
                </w:p>
              </w:tc>
              <w:tc>
                <w:tcPr>
                  <w:tcW w:w="1008" w:type="dxa"/>
                  <w:vAlign w:val="center"/>
                </w:tcPr>
                <w:p w14:paraId="0BD7E53F">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230</w:t>
                  </w:r>
                </w:p>
              </w:tc>
              <w:tc>
                <w:tcPr>
                  <w:tcW w:w="941" w:type="dxa"/>
                  <w:vAlign w:val="center"/>
                </w:tcPr>
                <w:p w14:paraId="17B4E38A">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47.23</w:t>
                  </w:r>
                </w:p>
              </w:tc>
              <w:tc>
                <w:tcPr>
                  <w:tcW w:w="1031" w:type="dxa"/>
                  <w:vAlign w:val="center"/>
                </w:tcPr>
                <w:p w14:paraId="14C39980">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0.3</w:t>
                  </w:r>
                </w:p>
              </w:tc>
              <w:tc>
                <w:tcPr>
                  <w:tcW w:w="1252" w:type="dxa"/>
                  <w:vAlign w:val="center"/>
                </w:tcPr>
                <w:p w14:paraId="21AC04BA">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13.5</w:t>
                  </w:r>
                </w:p>
              </w:tc>
              <w:tc>
                <w:tcPr>
                  <w:tcW w:w="1009" w:type="dxa"/>
                  <w:vMerge w:val="restart"/>
                  <w:shd w:val="clear" w:color="auto" w:fill="auto"/>
                  <w:vAlign w:val="center"/>
                </w:tcPr>
                <w:p w14:paraId="500E008A">
                  <w:pPr>
                    <w:spacing w:line="28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31.2</w:t>
                  </w:r>
                </w:p>
              </w:tc>
            </w:tr>
            <w:tr w14:paraId="4CAF87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1" w:hRule="atLeast"/>
                <w:jc w:val="center"/>
              </w:trPr>
              <w:tc>
                <w:tcPr>
                  <w:tcW w:w="901" w:type="dxa"/>
                  <w:vMerge w:val="continue"/>
                  <w:vAlign w:val="center"/>
                </w:tcPr>
                <w:p w14:paraId="01354435">
                  <w:pPr>
                    <w:spacing w:line="280" w:lineRule="exact"/>
                    <w:jc w:val="center"/>
                    <w:rPr>
                      <w:rFonts w:hint="eastAsia" w:ascii="Times New Roman" w:hAnsi="Times New Roman" w:cs="Times New Roman" w:eastAsiaTheme="minorEastAsia"/>
                      <w:color w:val="auto"/>
                      <w:szCs w:val="21"/>
                      <w:lang w:val="en-US" w:eastAsia="zh-CN"/>
                    </w:rPr>
                  </w:pPr>
                </w:p>
              </w:tc>
              <w:tc>
                <w:tcPr>
                  <w:tcW w:w="1177" w:type="dxa"/>
                  <w:shd w:val="clear" w:color="auto" w:fill="auto"/>
                  <w:vAlign w:val="center"/>
                </w:tcPr>
                <w:p w14:paraId="21ECAC82">
                  <w:pPr>
                    <w:jc w:val="center"/>
                    <w:rPr>
                      <w:rFonts w:hint="eastAsia" w:ascii="Times New Roman" w:hAnsi="Times New Roman" w:cs="Times New Roman" w:eastAsiaTheme="minorEastAsia"/>
                      <w:color w:val="auto"/>
                      <w:kern w:val="2"/>
                      <w:sz w:val="21"/>
                      <w:lang w:val="en-US" w:eastAsia="zh-CN" w:bidi="ar-SA"/>
                    </w:rPr>
                  </w:pPr>
                  <w:r>
                    <w:rPr>
                      <w:rFonts w:hint="eastAsia" w:eastAsiaTheme="minorEastAsia"/>
                      <w:color w:val="auto"/>
                      <w:lang w:val="en-US" w:eastAsia="zh-CN"/>
                    </w:rPr>
                    <w:t>1#风机</w:t>
                  </w:r>
                </w:p>
              </w:tc>
              <w:tc>
                <w:tcPr>
                  <w:tcW w:w="657" w:type="dxa"/>
                  <w:shd w:val="clear" w:color="auto" w:fill="auto"/>
                  <w:vAlign w:val="center"/>
                </w:tcPr>
                <w:p w14:paraId="6226BE9D">
                  <w:pPr>
                    <w:jc w:val="center"/>
                    <w:rPr>
                      <w:rFonts w:hint="eastAsia" w:ascii="Times New Roman" w:hAnsi="Times New Roman" w:cs="Times New Roman" w:eastAsiaTheme="minorEastAsia"/>
                      <w:color w:val="auto"/>
                      <w:kern w:val="0"/>
                      <w:sz w:val="21"/>
                      <w:szCs w:val="21"/>
                      <w:lang w:val="en-US" w:eastAsia="zh-CN" w:bidi="ar-SA"/>
                    </w:rPr>
                  </w:pPr>
                  <w:r>
                    <w:rPr>
                      <w:rFonts w:hint="eastAsia" w:eastAsiaTheme="minorEastAsia"/>
                      <w:color w:val="auto"/>
                      <w:kern w:val="0"/>
                      <w:szCs w:val="21"/>
                      <w:lang w:val="en-US" w:eastAsia="zh-CN"/>
                    </w:rPr>
                    <w:t>80</w:t>
                  </w:r>
                </w:p>
              </w:tc>
              <w:tc>
                <w:tcPr>
                  <w:tcW w:w="1008" w:type="dxa"/>
                  <w:vAlign w:val="center"/>
                </w:tcPr>
                <w:p w14:paraId="60B99B4B">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270</w:t>
                  </w:r>
                </w:p>
              </w:tc>
              <w:tc>
                <w:tcPr>
                  <w:tcW w:w="941" w:type="dxa"/>
                  <w:vAlign w:val="center"/>
                </w:tcPr>
                <w:p w14:paraId="740A0799">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48.63</w:t>
                  </w:r>
                </w:p>
              </w:tc>
              <w:tc>
                <w:tcPr>
                  <w:tcW w:w="1031" w:type="dxa"/>
                  <w:vAlign w:val="center"/>
                </w:tcPr>
                <w:p w14:paraId="121FAF4B">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0.3</w:t>
                  </w:r>
                </w:p>
              </w:tc>
              <w:tc>
                <w:tcPr>
                  <w:tcW w:w="1252" w:type="dxa"/>
                  <w:vAlign w:val="center"/>
                </w:tcPr>
                <w:p w14:paraId="11344389">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31.1</w:t>
                  </w:r>
                </w:p>
              </w:tc>
              <w:tc>
                <w:tcPr>
                  <w:tcW w:w="1009" w:type="dxa"/>
                  <w:vMerge w:val="continue"/>
                  <w:shd w:val="clear" w:color="auto" w:fill="auto"/>
                  <w:vAlign w:val="center"/>
                </w:tcPr>
                <w:p w14:paraId="3F0A3535">
                  <w:pPr>
                    <w:spacing w:line="280" w:lineRule="exact"/>
                    <w:jc w:val="center"/>
                    <w:rPr>
                      <w:rFonts w:hint="eastAsia" w:eastAsiaTheme="minorEastAsia"/>
                      <w:color w:val="auto"/>
                      <w:szCs w:val="21"/>
                      <w:lang w:val="en-US" w:eastAsia="zh-CN"/>
                    </w:rPr>
                  </w:pPr>
                </w:p>
              </w:tc>
            </w:tr>
            <w:tr w14:paraId="6A694E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901" w:type="dxa"/>
                  <w:vMerge w:val="restart"/>
                  <w:vAlign w:val="center"/>
                </w:tcPr>
                <w:p w14:paraId="1DB72B5B">
                  <w:pPr>
                    <w:spacing w:line="280" w:lineRule="exact"/>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西厂界</w:t>
                  </w:r>
                </w:p>
              </w:tc>
              <w:tc>
                <w:tcPr>
                  <w:tcW w:w="1177" w:type="dxa"/>
                  <w:shd w:val="clear" w:color="auto" w:fill="auto"/>
                  <w:vAlign w:val="center"/>
                </w:tcPr>
                <w:p w14:paraId="2352C7DF">
                  <w:pPr>
                    <w:spacing w:line="280" w:lineRule="exact"/>
                    <w:jc w:val="center"/>
                    <w:rPr>
                      <w:rFonts w:hint="default" w:ascii="Times New Roman" w:hAnsi="Times New Roman" w:cs="Times New Roman" w:eastAsiaTheme="minorEastAsia"/>
                      <w:color w:val="auto"/>
                      <w:szCs w:val="21"/>
                      <w:lang w:val="en-US" w:eastAsia="zh-CN"/>
                    </w:rPr>
                  </w:pPr>
                  <w:r>
                    <w:rPr>
                      <w:rFonts w:hint="eastAsia" w:cs="Times New Roman" w:eastAsiaTheme="minorEastAsia"/>
                      <w:color w:val="auto"/>
                      <w:szCs w:val="21"/>
                      <w:lang w:val="en-US" w:eastAsia="zh-CN"/>
                    </w:rPr>
                    <w:t>生产车间</w:t>
                  </w:r>
                </w:p>
              </w:tc>
              <w:tc>
                <w:tcPr>
                  <w:tcW w:w="657" w:type="dxa"/>
                  <w:vAlign w:val="center"/>
                </w:tcPr>
                <w:p w14:paraId="757013CE">
                  <w:pPr>
                    <w:spacing w:line="280" w:lineRule="exact"/>
                    <w:jc w:val="center"/>
                    <w:rPr>
                      <w:rFonts w:hint="default" w:ascii="Times New Roman" w:hAnsi="Times New Roman" w:cs="Times New Roman" w:eastAsiaTheme="minorEastAsia"/>
                      <w:color w:val="auto"/>
                      <w:szCs w:val="21"/>
                      <w:lang w:val="en-US" w:eastAsia="zh-CN"/>
                    </w:rPr>
                  </w:pPr>
                  <w:r>
                    <w:rPr>
                      <w:rFonts w:hint="eastAsia" w:cs="Times New Roman" w:eastAsiaTheme="minorEastAsia"/>
                      <w:color w:val="auto"/>
                      <w:szCs w:val="21"/>
                      <w:lang w:val="en-US" w:eastAsia="zh-CN"/>
                    </w:rPr>
                    <w:t>61</w:t>
                  </w:r>
                </w:p>
              </w:tc>
              <w:tc>
                <w:tcPr>
                  <w:tcW w:w="1008" w:type="dxa"/>
                  <w:shd w:val="clear" w:color="auto" w:fill="auto"/>
                  <w:vAlign w:val="center"/>
                </w:tcPr>
                <w:p w14:paraId="1CBACBB7">
                  <w:pPr>
                    <w:spacing w:line="28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290</w:t>
                  </w:r>
                </w:p>
              </w:tc>
              <w:tc>
                <w:tcPr>
                  <w:tcW w:w="941" w:type="dxa"/>
                  <w:shd w:val="clear" w:color="auto" w:fill="auto"/>
                  <w:vAlign w:val="center"/>
                </w:tcPr>
                <w:p w14:paraId="10264F93">
                  <w:pPr>
                    <w:spacing w:line="28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49.25</w:t>
                  </w:r>
                </w:p>
              </w:tc>
              <w:tc>
                <w:tcPr>
                  <w:tcW w:w="1031" w:type="dxa"/>
                  <w:shd w:val="clear" w:color="auto" w:fill="auto"/>
                  <w:vAlign w:val="center"/>
                </w:tcPr>
                <w:p w14:paraId="099F0D77">
                  <w:pPr>
                    <w:spacing w:line="28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0.3</w:t>
                  </w:r>
                </w:p>
              </w:tc>
              <w:tc>
                <w:tcPr>
                  <w:tcW w:w="1252" w:type="dxa"/>
                  <w:shd w:val="clear" w:color="auto" w:fill="auto"/>
                  <w:vAlign w:val="center"/>
                </w:tcPr>
                <w:p w14:paraId="5FB9C58A">
                  <w:pPr>
                    <w:spacing w:line="28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11.5</w:t>
                  </w:r>
                </w:p>
              </w:tc>
              <w:tc>
                <w:tcPr>
                  <w:tcW w:w="1009" w:type="dxa"/>
                  <w:vMerge w:val="restart"/>
                  <w:shd w:val="clear" w:color="auto" w:fill="auto"/>
                  <w:vAlign w:val="center"/>
                </w:tcPr>
                <w:p w14:paraId="0B55E8B0">
                  <w:pPr>
                    <w:spacing w:line="28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32.1</w:t>
                  </w:r>
                </w:p>
              </w:tc>
            </w:tr>
            <w:tr w14:paraId="172C54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901" w:type="dxa"/>
                  <w:vMerge w:val="continue"/>
                  <w:vAlign w:val="center"/>
                </w:tcPr>
                <w:p w14:paraId="3CE22233">
                  <w:pPr>
                    <w:spacing w:line="280" w:lineRule="exact"/>
                    <w:jc w:val="center"/>
                    <w:rPr>
                      <w:rFonts w:hint="eastAsia" w:ascii="Times New Roman" w:hAnsi="Times New Roman" w:cs="Times New Roman" w:eastAsiaTheme="minorEastAsia"/>
                      <w:color w:val="auto"/>
                      <w:szCs w:val="21"/>
                      <w:lang w:val="en-US" w:eastAsia="zh-CN"/>
                    </w:rPr>
                  </w:pPr>
                </w:p>
              </w:tc>
              <w:tc>
                <w:tcPr>
                  <w:tcW w:w="1177" w:type="dxa"/>
                  <w:shd w:val="clear" w:color="auto" w:fill="auto"/>
                  <w:vAlign w:val="center"/>
                </w:tcPr>
                <w:p w14:paraId="5E64A7AF">
                  <w:pPr>
                    <w:jc w:val="center"/>
                    <w:rPr>
                      <w:rFonts w:hint="eastAsia" w:ascii="Times New Roman" w:hAnsi="Times New Roman" w:cs="Times New Roman" w:eastAsiaTheme="minorEastAsia"/>
                      <w:color w:val="auto"/>
                      <w:kern w:val="2"/>
                      <w:sz w:val="21"/>
                      <w:lang w:val="en-US" w:eastAsia="zh-CN" w:bidi="ar-SA"/>
                    </w:rPr>
                  </w:pPr>
                  <w:r>
                    <w:rPr>
                      <w:rFonts w:hint="eastAsia" w:eastAsiaTheme="minorEastAsia"/>
                      <w:color w:val="auto"/>
                      <w:lang w:val="en-US" w:eastAsia="zh-CN"/>
                    </w:rPr>
                    <w:t>1#风机</w:t>
                  </w:r>
                </w:p>
              </w:tc>
              <w:tc>
                <w:tcPr>
                  <w:tcW w:w="657" w:type="dxa"/>
                  <w:shd w:val="clear" w:color="auto" w:fill="auto"/>
                  <w:vAlign w:val="center"/>
                </w:tcPr>
                <w:p w14:paraId="440A1FED">
                  <w:pPr>
                    <w:jc w:val="center"/>
                    <w:rPr>
                      <w:rFonts w:hint="eastAsia" w:ascii="Times New Roman" w:hAnsi="Times New Roman" w:cs="Times New Roman" w:eastAsiaTheme="minorEastAsia"/>
                      <w:color w:val="auto"/>
                      <w:kern w:val="0"/>
                      <w:sz w:val="21"/>
                      <w:szCs w:val="21"/>
                      <w:lang w:val="en-US" w:eastAsia="zh-CN" w:bidi="ar-SA"/>
                    </w:rPr>
                  </w:pPr>
                  <w:r>
                    <w:rPr>
                      <w:rFonts w:hint="eastAsia" w:eastAsiaTheme="minorEastAsia"/>
                      <w:color w:val="auto"/>
                      <w:kern w:val="0"/>
                      <w:szCs w:val="21"/>
                      <w:lang w:val="en-US" w:eastAsia="zh-CN"/>
                    </w:rPr>
                    <w:t>80</w:t>
                  </w:r>
                </w:p>
              </w:tc>
              <w:tc>
                <w:tcPr>
                  <w:tcW w:w="1008" w:type="dxa"/>
                  <w:shd w:val="clear" w:color="auto" w:fill="auto"/>
                  <w:vAlign w:val="center"/>
                </w:tcPr>
                <w:p w14:paraId="001CD898">
                  <w:pPr>
                    <w:spacing w:line="28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240</w:t>
                  </w:r>
                </w:p>
              </w:tc>
              <w:tc>
                <w:tcPr>
                  <w:tcW w:w="941" w:type="dxa"/>
                  <w:shd w:val="clear" w:color="auto" w:fill="auto"/>
                  <w:vAlign w:val="center"/>
                </w:tcPr>
                <w:p w14:paraId="6333687A">
                  <w:pPr>
                    <w:spacing w:line="28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47.60</w:t>
                  </w:r>
                </w:p>
              </w:tc>
              <w:tc>
                <w:tcPr>
                  <w:tcW w:w="1031" w:type="dxa"/>
                  <w:shd w:val="clear" w:color="auto" w:fill="auto"/>
                  <w:vAlign w:val="center"/>
                </w:tcPr>
                <w:p w14:paraId="6460A121">
                  <w:pPr>
                    <w:spacing w:line="28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0.3</w:t>
                  </w:r>
                </w:p>
              </w:tc>
              <w:tc>
                <w:tcPr>
                  <w:tcW w:w="1252" w:type="dxa"/>
                  <w:shd w:val="clear" w:color="auto" w:fill="auto"/>
                  <w:vAlign w:val="center"/>
                </w:tcPr>
                <w:p w14:paraId="5A133D30">
                  <w:pPr>
                    <w:spacing w:line="28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32.1</w:t>
                  </w:r>
                </w:p>
              </w:tc>
              <w:tc>
                <w:tcPr>
                  <w:tcW w:w="1009" w:type="dxa"/>
                  <w:vMerge w:val="continue"/>
                  <w:shd w:val="clear" w:color="auto" w:fill="auto"/>
                  <w:vAlign w:val="center"/>
                </w:tcPr>
                <w:p w14:paraId="1E9E12C6">
                  <w:pPr>
                    <w:spacing w:line="280" w:lineRule="exact"/>
                    <w:jc w:val="center"/>
                    <w:rPr>
                      <w:rFonts w:hint="eastAsia" w:eastAsiaTheme="minorEastAsia"/>
                      <w:color w:val="auto"/>
                      <w:szCs w:val="21"/>
                      <w:lang w:val="en-US" w:eastAsia="zh-CN"/>
                    </w:rPr>
                  </w:pPr>
                </w:p>
              </w:tc>
            </w:tr>
            <w:tr w14:paraId="60401A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901" w:type="dxa"/>
                  <w:vMerge w:val="restart"/>
                  <w:vAlign w:val="center"/>
                </w:tcPr>
                <w:p w14:paraId="263C8C98">
                  <w:pPr>
                    <w:spacing w:line="280" w:lineRule="exact"/>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北厂界</w:t>
                  </w:r>
                </w:p>
              </w:tc>
              <w:tc>
                <w:tcPr>
                  <w:tcW w:w="1177" w:type="dxa"/>
                  <w:shd w:val="clear" w:color="auto" w:fill="auto"/>
                  <w:vAlign w:val="center"/>
                </w:tcPr>
                <w:p w14:paraId="692B4D91">
                  <w:pPr>
                    <w:spacing w:line="280" w:lineRule="exact"/>
                    <w:jc w:val="center"/>
                    <w:rPr>
                      <w:rFonts w:hint="eastAsia" w:ascii="Times New Roman" w:hAnsi="Times New Roman" w:cs="Times New Roman" w:eastAsiaTheme="minorEastAsia"/>
                      <w:color w:val="auto"/>
                      <w:szCs w:val="21"/>
                      <w:lang w:val="en-US" w:eastAsia="zh-CN"/>
                    </w:rPr>
                  </w:pPr>
                  <w:r>
                    <w:rPr>
                      <w:rFonts w:hint="eastAsia" w:cs="Times New Roman" w:eastAsiaTheme="minorEastAsia"/>
                      <w:color w:val="auto"/>
                      <w:szCs w:val="21"/>
                      <w:lang w:val="en-US" w:eastAsia="zh-CN"/>
                    </w:rPr>
                    <w:t>生产车间</w:t>
                  </w:r>
                </w:p>
              </w:tc>
              <w:tc>
                <w:tcPr>
                  <w:tcW w:w="657" w:type="dxa"/>
                  <w:vAlign w:val="center"/>
                </w:tcPr>
                <w:p w14:paraId="40796DB5">
                  <w:pPr>
                    <w:spacing w:line="280" w:lineRule="exact"/>
                    <w:jc w:val="center"/>
                    <w:rPr>
                      <w:rFonts w:hint="default" w:ascii="Times New Roman" w:hAnsi="Times New Roman" w:cs="Times New Roman" w:eastAsiaTheme="minorEastAsia"/>
                      <w:color w:val="auto"/>
                      <w:szCs w:val="21"/>
                      <w:lang w:val="en-US" w:eastAsia="zh-CN"/>
                    </w:rPr>
                  </w:pPr>
                  <w:r>
                    <w:rPr>
                      <w:rFonts w:hint="eastAsia" w:cs="Times New Roman" w:eastAsiaTheme="minorEastAsia"/>
                      <w:color w:val="auto"/>
                      <w:szCs w:val="21"/>
                      <w:lang w:val="en-US" w:eastAsia="zh-CN"/>
                    </w:rPr>
                    <w:t>61</w:t>
                  </w:r>
                </w:p>
              </w:tc>
              <w:tc>
                <w:tcPr>
                  <w:tcW w:w="1008" w:type="dxa"/>
                  <w:vAlign w:val="center"/>
                </w:tcPr>
                <w:p w14:paraId="1CD1C0A9">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130</w:t>
                  </w:r>
                </w:p>
              </w:tc>
              <w:tc>
                <w:tcPr>
                  <w:tcW w:w="941" w:type="dxa"/>
                  <w:vAlign w:val="center"/>
                </w:tcPr>
                <w:p w14:paraId="6B7E0171">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42.28</w:t>
                  </w:r>
                </w:p>
              </w:tc>
              <w:tc>
                <w:tcPr>
                  <w:tcW w:w="1031" w:type="dxa"/>
                  <w:vAlign w:val="center"/>
                </w:tcPr>
                <w:p w14:paraId="2E415C26">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0.2</w:t>
                  </w:r>
                </w:p>
              </w:tc>
              <w:tc>
                <w:tcPr>
                  <w:tcW w:w="1252" w:type="dxa"/>
                  <w:vAlign w:val="center"/>
                </w:tcPr>
                <w:p w14:paraId="0FD9181B">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18.5</w:t>
                  </w:r>
                </w:p>
              </w:tc>
              <w:tc>
                <w:tcPr>
                  <w:tcW w:w="1009" w:type="dxa"/>
                  <w:vMerge w:val="restart"/>
                  <w:shd w:val="clear" w:color="auto" w:fill="auto"/>
                  <w:vAlign w:val="center"/>
                </w:tcPr>
                <w:p w14:paraId="50593D8C">
                  <w:pPr>
                    <w:spacing w:line="280" w:lineRule="exact"/>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41.8</w:t>
                  </w:r>
                </w:p>
              </w:tc>
            </w:tr>
            <w:tr w14:paraId="797C97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901" w:type="dxa"/>
                  <w:vMerge w:val="continue"/>
                  <w:vAlign w:val="center"/>
                </w:tcPr>
                <w:p w14:paraId="41A2EADD">
                  <w:pPr>
                    <w:spacing w:line="280" w:lineRule="exact"/>
                    <w:jc w:val="center"/>
                    <w:rPr>
                      <w:rFonts w:hint="eastAsia" w:ascii="Times New Roman" w:hAnsi="Times New Roman" w:cs="Times New Roman" w:eastAsiaTheme="minorEastAsia"/>
                      <w:color w:val="auto"/>
                      <w:szCs w:val="21"/>
                      <w:lang w:val="en-US" w:eastAsia="zh-CN"/>
                    </w:rPr>
                  </w:pPr>
                </w:p>
              </w:tc>
              <w:tc>
                <w:tcPr>
                  <w:tcW w:w="1177" w:type="dxa"/>
                  <w:shd w:val="clear" w:color="auto" w:fill="auto"/>
                  <w:vAlign w:val="center"/>
                </w:tcPr>
                <w:p w14:paraId="2A45B772">
                  <w:pPr>
                    <w:jc w:val="center"/>
                    <w:rPr>
                      <w:rFonts w:hint="eastAsia" w:ascii="Times New Roman" w:hAnsi="Times New Roman" w:cs="Times New Roman" w:eastAsiaTheme="minorEastAsia"/>
                      <w:color w:val="auto"/>
                      <w:kern w:val="2"/>
                      <w:sz w:val="21"/>
                      <w:lang w:val="en-US" w:eastAsia="zh-CN" w:bidi="ar-SA"/>
                    </w:rPr>
                  </w:pPr>
                  <w:r>
                    <w:rPr>
                      <w:rFonts w:hint="eastAsia" w:eastAsiaTheme="minorEastAsia"/>
                      <w:color w:val="auto"/>
                      <w:lang w:val="en-US" w:eastAsia="zh-CN"/>
                    </w:rPr>
                    <w:t>1#风机</w:t>
                  </w:r>
                </w:p>
              </w:tc>
              <w:tc>
                <w:tcPr>
                  <w:tcW w:w="657" w:type="dxa"/>
                  <w:shd w:val="clear" w:color="auto" w:fill="auto"/>
                  <w:vAlign w:val="center"/>
                </w:tcPr>
                <w:p w14:paraId="5263246A">
                  <w:pPr>
                    <w:jc w:val="center"/>
                    <w:rPr>
                      <w:rFonts w:hint="eastAsia" w:ascii="Times New Roman" w:hAnsi="Times New Roman" w:cs="Times New Roman" w:eastAsiaTheme="minorEastAsia"/>
                      <w:color w:val="auto"/>
                      <w:kern w:val="0"/>
                      <w:sz w:val="21"/>
                      <w:szCs w:val="21"/>
                      <w:lang w:val="en-US" w:eastAsia="zh-CN" w:bidi="ar-SA"/>
                    </w:rPr>
                  </w:pPr>
                  <w:r>
                    <w:rPr>
                      <w:rFonts w:hint="eastAsia" w:eastAsiaTheme="minorEastAsia"/>
                      <w:color w:val="auto"/>
                      <w:kern w:val="0"/>
                      <w:szCs w:val="21"/>
                      <w:lang w:val="en-US" w:eastAsia="zh-CN"/>
                    </w:rPr>
                    <w:t>80</w:t>
                  </w:r>
                </w:p>
              </w:tc>
              <w:tc>
                <w:tcPr>
                  <w:tcW w:w="1008" w:type="dxa"/>
                  <w:vAlign w:val="center"/>
                </w:tcPr>
                <w:p w14:paraId="562F9A0A">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80</w:t>
                  </w:r>
                </w:p>
              </w:tc>
              <w:tc>
                <w:tcPr>
                  <w:tcW w:w="941" w:type="dxa"/>
                  <w:vAlign w:val="center"/>
                </w:tcPr>
                <w:p w14:paraId="2E754DBF">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38.06</w:t>
                  </w:r>
                </w:p>
              </w:tc>
              <w:tc>
                <w:tcPr>
                  <w:tcW w:w="1031" w:type="dxa"/>
                  <w:vAlign w:val="center"/>
                </w:tcPr>
                <w:p w14:paraId="70F7B9DF">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0.12</w:t>
                  </w:r>
                </w:p>
              </w:tc>
              <w:tc>
                <w:tcPr>
                  <w:tcW w:w="1252" w:type="dxa"/>
                  <w:vAlign w:val="center"/>
                </w:tcPr>
                <w:p w14:paraId="32411109">
                  <w:pPr>
                    <w:spacing w:line="280" w:lineRule="exact"/>
                    <w:jc w:val="center"/>
                    <w:rPr>
                      <w:rFonts w:hint="default" w:eastAsiaTheme="minorEastAsia"/>
                      <w:color w:val="auto"/>
                      <w:szCs w:val="21"/>
                      <w:lang w:val="en-US" w:eastAsia="zh-CN"/>
                    </w:rPr>
                  </w:pPr>
                  <w:r>
                    <w:rPr>
                      <w:rFonts w:hint="eastAsia" w:eastAsiaTheme="minorEastAsia"/>
                      <w:color w:val="auto"/>
                      <w:szCs w:val="21"/>
                      <w:lang w:val="en-US" w:eastAsia="zh-CN"/>
                    </w:rPr>
                    <w:t>41.8</w:t>
                  </w:r>
                </w:p>
              </w:tc>
              <w:tc>
                <w:tcPr>
                  <w:tcW w:w="1009" w:type="dxa"/>
                  <w:vMerge w:val="continue"/>
                  <w:shd w:val="clear" w:color="auto" w:fill="auto"/>
                  <w:vAlign w:val="center"/>
                </w:tcPr>
                <w:p w14:paraId="6734C5D3">
                  <w:pPr>
                    <w:spacing w:line="280" w:lineRule="exact"/>
                    <w:jc w:val="center"/>
                    <w:rPr>
                      <w:rFonts w:hint="eastAsia" w:eastAsiaTheme="minorEastAsia"/>
                      <w:color w:val="auto"/>
                      <w:szCs w:val="21"/>
                      <w:lang w:val="en-US" w:eastAsia="zh-CN"/>
                    </w:rPr>
                  </w:pPr>
                </w:p>
              </w:tc>
            </w:tr>
          </w:tbl>
          <w:p w14:paraId="52FACB9E">
            <w:pPr>
              <w:pStyle w:val="2"/>
              <w:spacing w:after="0"/>
              <w:ind w:firstLine="0" w:firstLineChars="0"/>
              <w:rPr>
                <w:color w:val="FF0000"/>
                <w:sz w:val="10"/>
                <w:szCs w:val="10"/>
              </w:rPr>
            </w:pPr>
          </w:p>
          <w:p w14:paraId="0FD58846">
            <w:pPr>
              <w:snapToGrid w:val="0"/>
              <w:spacing w:line="360" w:lineRule="auto"/>
              <w:ind w:firstLine="480" w:firstLineChars="200"/>
              <w:rPr>
                <w:rFonts w:eastAsiaTheme="minorEastAsia"/>
                <w:color w:val="auto"/>
                <w:sz w:val="24"/>
                <w:szCs w:val="24"/>
              </w:rPr>
            </w:pPr>
            <w:r>
              <w:rPr>
                <w:rFonts w:eastAsiaTheme="minorEastAsia"/>
                <w:color w:val="auto"/>
                <w:sz w:val="24"/>
                <w:szCs w:val="24"/>
              </w:rPr>
              <w:t>由上表可知，</w:t>
            </w:r>
            <w:r>
              <w:rPr>
                <w:rFonts w:hint="default" w:ascii="Times New Roman" w:hAnsi="Times New Roman" w:eastAsia="宋体" w:cs="Times New Roman"/>
                <w:color w:val="auto"/>
                <w:sz w:val="24"/>
                <w:szCs w:val="24"/>
              </w:rPr>
              <w:t>建设项目</w:t>
            </w:r>
            <w:r>
              <w:rPr>
                <w:rFonts w:hint="default" w:ascii="Times New Roman" w:hAnsi="Times New Roman" w:eastAsia="宋体" w:cs="Times New Roman"/>
                <w:color w:val="auto"/>
                <w:sz w:val="24"/>
                <w:szCs w:val="24"/>
                <w:lang w:eastAsia="zh-CN"/>
              </w:rPr>
              <w:t>高噪声设备经合理布局、消声、减振、厂房隔声及距离衰减后，</w:t>
            </w:r>
            <w:r>
              <w:rPr>
                <w:rFonts w:eastAsiaTheme="minorEastAsia"/>
                <w:color w:val="auto"/>
                <w:sz w:val="24"/>
                <w:szCs w:val="24"/>
              </w:rPr>
              <w:t>东、</w:t>
            </w:r>
            <w:r>
              <w:rPr>
                <w:rFonts w:hint="eastAsia" w:eastAsiaTheme="minorEastAsia"/>
                <w:color w:val="auto"/>
                <w:sz w:val="24"/>
                <w:szCs w:val="24"/>
              </w:rPr>
              <w:t>南、</w:t>
            </w:r>
            <w:r>
              <w:rPr>
                <w:rFonts w:eastAsiaTheme="minorEastAsia"/>
                <w:color w:val="auto"/>
                <w:sz w:val="24"/>
                <w:szCs w:val="24"/>
              </w:rPr>
              <w:t>西、北厂界噪声排放均满足《工业企业厂界环境噪声排放标准》（GB12348-2008）表1中</w:t>
            </w:r>
            <w:r>
              <w:rPr>
                <w:rFonts w:hint="eastAsia" w:eastAsiaTheme="minorEastAsia"/>
                <w:color w:val="auto"/>
                <w:sz w:val="24"/>
                <w:szCs w:val="24"/>
                <w:lang w:val="en-US" w:eastAsia="zh-CN"/>
              </w:rPr>
              <w:t>3</w:t>
            </w:r>
            <w:r>
              <w:rPr>
                <w:rFonts w:eastAsiaTheme="minorEastAsia"/>
                <w:color w:val="auto"/>
                <w:sz w:val="24"/>
                <w:szCs w:val="24"/>
              </w:rPr>
              <w:t>类功能区对应标准限值，即：昼间噪声值≤6</w:t>
            </w:r>
            <w:r>
              <w:rPr>
                <w:rFonts w:hint="eastAsia" w:eastAsiaTheme="minorEastAsia"/>
                <w:color w:val="auto"/>
                <w:sz w:val="24"/>
                <w:szCs w:val="24"/>
                <w:lang w:val="en-US" w:eastAsia="zh-CN"/>
              </w:rPr>
              <w:t>5</w:t>
            </w:r>
            <w:r>
              <w:rPr>
                <w:rFonts w:eastAsiaTheme="minorEastAsia"/>
                <w:color w:val="auto"/>
                <w:sz w:val="24"/>
                <w:szCs w:val="24"/>
              </w:rPr>
              <w:t>dB（A）。</w:t>
            </w:r>
          </w:p>
          <w:p w14:paraId="0E3FDD04">
            <w:pPr>
              <w:adjustRightInd w:val="0"/>
              <w:snapToGrid w:val="0"/>
              <w:spacing w:line="360" w:lineRule="auto"/>
              <w:ind w:firstLine="480" w:firstLineChars="200"/>
              <w:rPr>
                <w:rFonts w:eastAsiaTheme="minorEastAsia"/>
                <w:color w:val="auto"/>
                <w:sz w:val="24"/>
                <w:szCs w:val="24"/>
              </w:rPr>
            </w:pPr>
            <w:r>
              <w:rPr>
                <w:rFonts w:eastAsiaTheme="minorEastAsia"/>
                <w:color w:val="auto"/>
                <w:sz w:val="24"/>
                <w:szCs w:val="24"/>
              </w:rPr>
              <w:t>因此，建设项目噪声排放对周围环境影响较小，噪声防治措施可行。建设项目必须重视设备噪声治理，确保边界噪声达标，不得影响周围居民正常生活。</w:t>
            </w:r>
          </w:p>
          <w:p w14:paraId="2EE370C7">
            <w:pPr>
              <w:spacing w:line="360" w:lineRule="auto"/>
              <w:ind w:left="420" w:leftChars="200"/>
              <w:rPr>
                <w:b/>
                <w:bCs/>
                <w:color w:val="auto"/>
                <w:sz w:val="24"/>
                <w:szCs w:val="24"/>
              </w:rPr>
            </w:pPr>
            <w:r>
              <w:rPr>
                <w:b/>
                <w:bCs/>
                <w:color w:val="auto"/>
                <w:sz w:val="24"/>
                <w:szCs w:val="24"/>
              </w:rPr>
              <w:t>3.4</w:t>
            </w:r>
            <w:r>
              <w:rPr>
                <w:rFonts w:hint="eastAsia"/>
                <w:b/>
                <w:bCs/>
                <w:color w:val="auto"/>
                <w:sz w:val="24"/>
                <w:szCs w:val="24"/>
              </w:rPr>
              <w:t>噪声监测要求</w:t>
            </w:r>
          </w:p>
          <w:p w14:paraId="082A1E1F">
            <w:pPr>
              <w:spacing w:line="360" w:lineRule="auto"/>
              <w:ind w:firstLine="480" w:firstLineChars="200"/>
              <w:rPr>
                <w:color w:val="auto"/>
                <w:sz w:val="24"/>
                <w:szCs w:val="24"/>
              </w:rPr>
            </w:pPr>
            <w:r>
              <w:rPr>
                <w:rFonts w:hint="eastAsia"/>
                <w:color w:val="auto"/>
                <w:sz w:val="24"/>
                <w:szCs w:val="24"/>
              </w:rPr>
              <w:t>本项目根据《</w:t>
            </w:r>
            <w:r>
              <w:rPr>
                <w:color w:val="auto"/>
              </w:rPr>
              <w:fldChar w:fldCharType="begin"/>
            </w:r>
            <w:r>
              <w:rPr>
                <w:color w:val="auto"/>
              </w:rPr>
              <w:instrText xml:space="preserve"> HYPERLINK "http://www.mee.gov.cn/ywgz/fgbz/bz/bzwb/pwxk/201907/t20190726_712441.shtml" </w:instrText>
            </w:r>
            <w:r>
              <w:rPr>
                <w:color w:val="auto"/>
              </w:rPr>
              <w:fldChar w:fldCharType="separate"/>
            </w:r>
            <w:r>
              <w:rPr>
                <w:rFonts w:hint="eastAsia"/>
                <w:color w:val="auto"/>
                <w:sz w:val="24"/>
                <w:szCs w:val="24"/>
              </w:rPr>
              <w:t>排污单位自行监测技术指南总则》（HJ</w:t>
            </w:r>
            <w:r>
              <w:rPr>
                <w:color w:val="auto"/>
                <w:sz w:val="24"/>
                <w:szCs w:val="24"/>
              </w:rPr>
              <w:t>819</w:t>
            </w:r>
            <w:r>
              <w:rPr>
                <w:rFonts w:hint="eastAsia"/>
                <w:color w:val="auto"/>
                <w:sz w:val="24"/>
                <w:szCs w:val="24"/>
              </w:rPr>
              <w:t>-201</w:t>
            </w:r>
            <w:r>
              <w:rPr>
                <w:color w:val="auto"/>
                <w:sz w:val="24"/>
                <w:szCs w:val="24"/>
              </w:rPr>
              <w:t>7</w:t>
            </w:r>
            <w:r>
              <w:rPr>
                <w:rFonts w:hint="eastAsia"/>
                <w:color w:val="auto"/>
                <w:sz w:val="24"/>
                <w:szCs w:val="24"/>
              </w:rPr>
              <w:t>）</w:t>
            </w:r>
            <w:r>
              <w:rPr>
                <w:rFonts w:hint="eastAsia"/>
                <w:color w:val="auto"/>
                <w:sz w:val="24"/>
                <w:szCs w:val="24"/>
              </w:rPr>
              <w:fldChar w:fldCharType="end"/>
            </w:r>
            <w:r>
              <w:rPr>
                <w:rFonts w:hint="eastAsia"/>
                <w:color w:val="auto"/>
                <w:sz w:val="24"/>
                <w:szCs w:val="24"/>
              </w:rPr>
              <w:t>中</w:t>
            </w:r>
            <w:r>
              <w:rPr>
                <w:rFonts w:hint="eastAsia"/>
                <w:color w:val="auto"/>
                <w:sz w:val="24"/>
                <w:szCs w:val="24"/>
                <w:lang w:eastAsia="zh-CN"/>
              </w:rPr>
              <w:t>“</w:t>
            </w:r>
            <w:r>
              <w:rPr>
                <w:rFonts w:hint="eastAsia"/>
                <w:color w:val="auto"/>
                <w:sz w:val="24"/>
                <w:szCs w:val="24"/>
              </w:rPr>
              <w:t>5</w:t>
            </w:r>
            <w:r>
              <w:rPr>
                <w:color w:val="auto"/>
                <w:sz w:val="24"/>
                <w:szCs w:val="24"/>
              </w:rPr>
              <w:t>.4.2</w:t>
            </w:r>
            <w:r>
              <w:rPr>
                <w:rFonts w:hint="eastAsia" w:ascii="宋体" w:cs="宋体"/>
                <w:color w:val="auto"/>
                <w:kern w:val="0"/>
                <w:sz w:val="24"/>
                <w:szCs w:val="24"/>
              </w:rPr>
              <w:t>厂界环境噪声每季度至少开展一次监测，夜间生产的要监测夜间噪声</w:t>
            </w:r>
            <w:r>
              <w:rPr>
                <w:rFonts w:hint="eastAsia"/>
                <w:color w:val="auto"/>
                <w:sz w:val="24"/>
                <w:szCs w:val="24"/>
                <w:lang w:eastAsia="zh-CN"/>
              </w:rPr>
              <w:t>”</w:t>
            </w:r>
            <w:r>
              <w:rPr>
                <w:rFonts w:hint="eastAsia"/>
                <w:color w:val="auto"/>
                <w:sz w:val="24"/>
                <w:szCs w:val="24"/>
              </w:rPr>
              <w:t>要求，安排监测计划。</w:t>
            </w:r>
            <w:r>
              <w:rPr>
                <w:rFonts w:hint="eastAsia"/>
                <w:color w:val="auto"/>
                <w:sz w:val="24"/>
                <w:szCs w:val="24"/>
                <w:lang w:val="en-US" w:eastAsia="zh-CN"/>
              </w:rPr>
              <w:t>本项目仅昼间生产，</w:t>
            </w:r>
            <w:r>
              <w:rPr>
                <w:rFonts w:hint="eastAsia"/>
                <w:color w:val="auto"/>
                <w:sz w:val="24"/>
                <w:szCs w:val="24"/>
              </w:rPr>
              <w:t>具体监测要求见表4</w:t>
            </w:r>
            <w:r>
              <w:rPr>
                <w:rFonts w:hint="eastAsia"/>
                <w:color w:val="auto"/>
                <w:sz w:val="24"/>
                <w:szCs w:val="24"/>
                <w:lang w:val="en-US" w:eastAsia="zh-CN"/>
              </w:rPr>
              <w:t>-18</w:t>
            </w:r>
            <w:r>
              <w:rPr>
                <w:rFonts w:hint="eastAsia"/>
                <w:color w:val="auto"/>
                <w:sz w:val="24"/>
                <w:szCs w:val="24"/>
              </w:rPr>
              <w:t>。</w:t>
            </w:r>
          </w:p>
          <w:p w14:paraId="53A4CEAE">
            <w:pPr>
              <w:tabs>
                <w:tab w:val="left" w:pos="1144"/>
              </w:tabs>
              <w:spacing w:line="360" w:lineRule="auto"/>
              <w:ind w:right="6"/>
              <w:jc w:val="center"/>
              <w:rPr>
                <w:b/>
                <w:bCs/>
                <w:color w:val="auto"/>
                <w:sz w:val="24"/>
                <w:szCs w:val="24"/>
              </w:rPr>
            </w:pPr>
            <w:r>
              <w:rPr>
                <w:b/>
                <w:bCs/>
                <w:color w:val="auto"/>
                <w:sz w:val="24"/>
                <w:szCs w:val="24"/>
              </w:rPr>
              <w:t>表4</w:t>
            </w:r>
            <w:r>
              <w:rPr>
                <w:rFonts w:hint="eastAsia"/>
                <w:b/>
                <w:bCs/>
                <w:color w:val="auto"/>
                <w:sz w:val="24"/>
                <w:szCs w:val="24"/>
                <w:lang w:val="en-US" w:eastAsia="zh-CN"/>
              </w:rPr>
              <w:t>-18</w:t>
            </w:r>
            <w:r>
              <w:rPr>
                <w:rFonts w:hint="eastAsia"/>
                <w:b/>
                <w:bCs/>
                <w:color w:val="auto"/>
                <w:sz w:val="24"/>
                <w:szCs w:val="24"/>
              </w:rPr>
              <w:t>噪声</w:t>
            </w:r>
            <w:r>
              <w:rPr>
                <w:b/>
                <w:bCs/>
                <w:color w:val="auto"/>
                <w:sz w:val="24"/>
                <w:szCs w:val="24"/>
              </w:rPr>
              <w:t>污染源监测点位、监测指标及最低监测频次一览表</w:t>
            </w:r>
          </w:p>
          <w:tbl>
            <w:tblPr>
              <w:tblStyle w:val="35"/>
              <w:tblW w:w="80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141"/>
              <w:gridCol w:w="1123"/>
              <w:gridCol w:w="1191"/>
              <w:gridCol w:w="2773"/>
              <w:gridCol w:w="1126"/>
            </w:tblGrid>
            <w:tr w14:paraId="467B2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424" w:type="pct"/>
                  <w:vAlign w:val="center"/>
                </w:tcPr>
                <w:p w14:paraId="7922D286">
                  <w:pPr>
                    <w:tabs>
                      <w:tab w:val="left" w:pos="2115"/>
                    </w:tabs>
                    <w:jc w:val="center"/>
                    <w:rPr>
                      <w:rFonts w:eastAsiaTheme="minorEastAsia"/>
                      <w:b/>
                      <w:color w:val="auto"/>
                      <w:szCs w:val="21"/>
                    </w:rPr>
                  </w:pPr>
                  <w:r>
                    <w:rPr>
                      <w:rFonts w:eastAsiaTheme="minorEastAsia"/>
                      <w:b/>
                      <w:color w:val="auto"/>
                      <w:szCs w:val="21"/>
                    </w:rPr>
                    <w:t>类别</w:t>
                  </w:r>
                </w:p>
              </w:tc>
              <w:tc>
                <w:tcPr>
                  <w:tcW w:w="709" w:type="pct"/>
                  <w:vAlign w:val="center"/>
                </w:tcPr>
                <w:p w14:paraId="6543BB77">
                  <w:pPr>
                    <w:tabs>
                      <w:tab w:val="left" w:pos="2115"/>
                    </w:tabs>
                    <w:jc w:val="center"/>
                    <w:rPr>
                      <w:rFonts w:eastAsiaTheme="minorEastAsia"/>
                      <w:b/>
                      <w:color w:val="auto"/>
                      <w:szCs w:val="21"/>
                    </w:rPr>
                  </w:pPr>
                  <w:r>
                    <w:rPr>
                      <w:rFonts w:eastAsiaTheme="minorEastAsia"/>
                      <w:b/>
                      <w:color w:val="auto"/>
                      <w:szCs w:val="21"/>
                    </w:rPr>
                    <w:t>监测点位</w:t>
                  </w:r>
                </w:p>
              </w:tc>
              <w:tc>
                <w:tcPr>
                  <w:tcW w:w="698" w:type="pct"/>
                  <w:vAlign w:val="center"/>
                </w:tcPr>
                <w:p w14:paraId="38FDD3E1">
                  <w:pPr>
                    <w:tabs>
                      <w:tab w:val="left" w:pos="2115"/>
                    </w:tabs>
                    <w:jc w:val="center"/>
                    <w:rPr>
                      <w:rFonts w:eastAsiaTheme="minorEastAsia"/>
                      <w:b/>
                      <w:color w:val="auto"/>
                      <w:szCs w:val="21"/>
                    </w:rPr>
                  </w:pPr>
                  <w:r>
                    <w:rPr>
                      <w:rFonts w:eastAsiaTheme="minorEastAsia"/>
                      <w:b/>
                      <w:color w:val="auto"/>
                      <w:szCs w:val="21"/>
                    </w:rPr>
                    <w:t>监测指标</w:t>
                  </w:r>
                </w:p>
              </w:tc>
              <w:tc>
                <w:tcPr>
                  <w:tcW w:w="740" w:type="pct"/>
                  <w:vAlign w:val="center"/>
                </w:tcPr>
                <w:p w14:paraId="1C5A3274">
                  <w:pPr>
                    <w:tabs>
                      <w:tab w:val="left" w:pos="2115"/>
                    </w:tabs>
                    <w:jc w:val="center"/>
                    <w:rPr>
                      <w:rFonts w:eastAsiaTheme="minorEastAsia"/>
                      <w:b/>
                      <w:color w:val="auto"/>
                      <w:szCs w:val="21"/>
                    </w:rPr>
                  </w:pPr>
                  <w:r>
                    <w:rPr>
                      <w:rFonts w:eastAsiaTheme="minorEastAsia"/>
                      <w:b/>
                      <w:color w:val="auto"/>
                      <w:szCs w:val="21"/>
                    </w:rPr>
                    <w:t>监测频次</w:t>
                  </w:r>
                </w:p>
              </w:tc>
              <w:tc>
                <w:tcPr>
                  <w:tcW w:w="1725" w:type="pct"/>
                  <w:vAlign w:val="center"/>
                </w:tcPr>
                <w:p w14:paraId="5D251D1A">
                  <w:pPr>
                    <w:tabs>
                      <w:tab w:val="left" w:pos="2115"/>
                    </w:tabs>
                    <w:jc w:val="center"/>
                    <w:rPr>
                      <w:rFonts w:eastAsiaTheme="minorEastAsia"/>
                      <w:b/>
                      <w:color w:val="auto"/>
                      <w:szCs w:val="21"/>
                    </w:rPr>
                  </w:pPr>
                  <w:r>
                    <w:rPr>
                      <w:rFonts w:eastAsiaTheme="minorEastAsia"/>
                      <w:b/>
                      <w:color w:val="auto"/>
                      <w:szCs w:val="21"/>
                    </w:rPr>
                    <w:t>执行排放标准</w:t>
                  </w:r>
                </w:p>
              </w:tc>
              <w:tc>
                <w:tcPr>
                  <w:tcW w:w="700" w:type="pct"/>
                  <w:vAlign w:val="center"/>
                </w:tcPr>
                <w:p w14:paraId="70BEA9F6">
                  <w:pPr>
                    <w:tabs>
                      <w:tab w:val="left" w:pos="2115"/>
                    </w:tabs>
                    <w:jc w:val="center"/>
                    <w:rPr>
                      <w:rFonts w:eastAsiaTheme="minorEastAsia"/>
                      <w:b/>
                      <w:color w:val="auto"/>
                      <w:szCs w:val="21"/>
                    </w:rPr>
                  </w:pPr>
                  <w:r>
                    <w:rPr>
                      <w:rFonts w:eastAsiaTheme="minorEastAsia"/>
                      <w:b/>
                      <w:color w:val="auto"/>
                      <w:szCs w:val="21"/>
                    </w:rPr>
                    <w:t>监测单位</w:t>
                  </w:r>
                </w:p>
              </w:tc>
            </w:tr>
            <w:tr w14:paraId="38EDB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24" w:type="pct"/>
                  <w:vAlign w:val="center"/>
                </w:tcPr>
                <w:p w14:paraId="7C5ACD4B">
                  <w:pPr>
                    <w:jc w:val="center"/>
                    <w:rPr>
                      <w:color w:val="auto"/>
                      <w:szCs w:val="21"/>
                    </w:rPr>
                  </w:pPr>
                  <w:r>
                    <w:rPr>
                      <w:color w:val="auto"/>
                      <w:szCs w:val="21"/>
                    </w:rPr>
                    <w:t>噪声</w:t>
                  </w:r>
                </w:p>
              </w:tc>
              <w:tc>
                <w:tcPr>
                  <w:tcW w:w="709" w:type="pct"/>
                  <w:vAlign w:val="center"/>
                </w:tcPr>
                <w:p w14:paraId="209B8284">
                  <w:pPr>
                    <w:jc w:val="center"/>
                    <w:rPr>
                      <w:color w:val="auto"/>
                      <w:szCs w:val="21"/>
                    </w:rPr>
                  </w:pPr>
                  <w:r>
                    <w:rPr>
                      <w:color w:val="auto"/>
                      <w:szCs w:val="21"/>
                    </w:rPr>
                    <w:t>厂界外1米</w:t>
                  </w:r>
                </w:p>
              </w:tc>
              <w:tc>
                <w:tcPr>
                  <w:tcW w:w="698" w:type="pct"/>
                  <w:vAlign w:val="center"/>
                </w:tcPr>
                <w:p w14:paraId="20B8908D">
                  <w:pPr>
                    <w:jc w:val="center"/>
                    <w:rPr>
                      <w:color w:val="auto"/>
                      <w:szCs w:val="21"/>
                    </w:rPr>
                  </w:pPr>
                  <w:r>
                    <w:rPr>
                      <w:color w:val="auto"/>
                      <w:szCs w:val="21"/>
                    </w:rPr>
                    <w:t>连续等效A声级</w:t>
                  </w:r>
                </w:p>
              </w:tc>
              <w:tc>
                <w:tcPr>
                  <w:tcW w:w="740" w:type="pct"/>
                  <w:vAlign w:val="center"/>
                </w:tcPr>
                <w:p w14:paraId="642BF96E">
                  <w:pPr>
                    <w:jc w:val="center"/>
                    <w:rPr>
                      <w:color w:val="auto"/>
                      <w:szCs w:val="21"/>
                    </w:rPr>
                  </w:pPr>
                  <w:r>
                    <w:rPr>
                      <w:color w:val="auto"/>
                      <w:szCs w:val="21"/>
                    </w:rPr>
                    <w:t>1次/季度</w:t>
                  </w:r>
                </w:p>
                <w:p w14:paraId="1A4BC711">
                  <w:pPr>
                    <w:jc w:val="center"/>
                    <w:rPr>
                      <w:color w:val="auto"/>
                      <w:szCs w:val="21"/>
                    </w:rPr>
                  </w:pPr>
                  <w:r>
                    <w:rPr>
                      <w:color w:val="auto"/>
                      <w:szCs w:val="21"/>
                    </w:rPr>
                    <w:t>（</w:t>
                  </w:r>
                  <w:r>
                    <w:rPr>
                      <w:rFonts w:hint="eastAsia"/>
                      <w:color w:val="auto"/>
                      <w:szCs w:val="21"/>
                      <w:lang w:val="en-US" w:eastAsia="zh-CN"/>
                    </w:rPr>
                    <w:t>昼间</w:t>
                  </w:r>
                  <w:r>
                    <w:rPr>
                      <w:color w:val="auto"/>
                      <w:szCs w:val="21"/>
                    </w:rPr>
                    <w:t>1次）</w:t>
                  </w:r>
                </w:p>
              </w:tc>
              <w:tc>
                <w:tcPr>
                  <w:tcW w:w="1725" w:type="pct"/>
                  <w:vAlign w:val="center"/>
                </w:tcPr>
                <w:p w14:paraId="0FE8D15F">
                  <w:pPr>
                    <w:jc w:val="center"/>
                    <w:rPr>
                      <w:color w:val="auto"/>
                      <w:szCs w:val="21"/>
                    </w:rPr>
                  </w:pPr>
                  <w:r>
                    <w:rPr>
                      <w:color w:val="auto"/>
                      <w:szCs w:val="21"/>
                    </w:rPr>
                    <w:t>《工业企业厂界环境噪声排放标准》（GB12348-2008）表1中</w:t>
                  </w:r>
                  <w:r>
                    <w:rPr>
                      <w:rFonts w:hint="eastAsia"/>
                      <w:color w:val="auto"/>
                      <w:szCs w:val="21"/>
                      <w:lang w:val="en-US" w:eastAsia="zh-CN"/>
                    </w:rPr>
                    <w:t>3</w:t>
                  </w:r>
                  <w:r>
                    <w:rPr>
                      <w:color w:val="auto"/>
                      <w:szCs w:val="21"/>
                    </w:rPr>
                    <w:t>类</w:t>
                  </w:r>
                </w:p>
              </w:tc>
              <w:tc>
                <w:tcPr>
                  <w:tcW w:w="700" w:type="pct"/>
                  <w:vAlign w:val="center"/>
                </w:tcPr>
                <w:p w14:paraId="78D0AC29">
                  <w:pPr>
                    <w:jc w:val="center"/>
                    <w:rPr>
                      <w:rFonts w:eastAsiaTheme="minorEastAsia"/>
                      <w:color w:val="auto"/>
                      <w:szCs w:val="21"/>
                    </w:rPr>
                  </w:pPr>
                  <w:r>
                    <w:rPr>
                      <w:color w:val="auto"/>
                      <w:szCs w:val="21"/>
                    </w:rPr>
                    <w:t>有资质的环境监测单位</w:t>
                  </w:r>
                </w:p>
              </w:tc>
            </w:tr>
          </w:tbl>
          <w:p w14:paraId="177B55D1">
            <w:pPr>
              <w:adjustRightInd w:val="0"/>
              <w:snapToGrid w:val="0"/>
              <w:ind w:firstLine="200" w:firstLineChars="200"/>
              <w:rPr>
                <w:rFonts w:eastAsiaTheme="minorEastAsia"/>
                <w:color w:val="auto"/>
                <w:sz w:val="10"/>
                <w:szCs w:val="10"/>
              </w:rPr>
            </w:pPr>
          </w:p>
          <w:p w14:paraId="02B2D55F">
            <w:pPr>
              <w:adjustRightInd w:val="0"/>
              <w:snapToGrid w:val="0"/>
              <w:spacing w:line="360" w:lineRule="auto"/>
              <w:ind w:firstLine="482" w:firstLineChars="200"/>
              <w:rPr>
                <w:b/>
                <w:bCs/>
                <w:color w:val="auto"/>
                <w:sz w:val="24"/>
                <w:szCs w:val="24"/>
              </w:rPr>
            </w:pPr>
            <w:r>
              <w:rPr>
                <w:rFonts w:hint="eastAsia"/>
                <w:b/>
                <w:bCs/>
                <w:color w:val="auto"/>
                <w:sz w:val="24"/>
                <w:szCs w:val="24"/>
              </w:rPr>
              <w:t>4、固体废物</w:t>
            </w:r>
          </w:p>
          <w:p w14:paraId="3AE63F35">
            <w:pPr>
              <w:adjustRightInd w:val="0"/>
              <w:snapToGrid w:val="0"/>
              <w:spacing w:line="360" w:lineRule="auto"/>
              <w:ind w:firstLine="482" w:firstLineChars="200"/>
              <w:rPr>
                <w:b/>
                <w:bCs/>
                <w:color w:val="auto"/>
                <w:sz w:val="24"/>
                <w:szCs w:val="24"/>
              </w:rPr>
            </w:pPr>
            <w:r>
              <w:rPr>
                <w:rFonts w:hint="eastAsia"/>
                <w:b/>
                <w:bCs/>
                <w:color w:val="auto"/>
                <w:sz w:val="24"/>
                <w:szCs w:val="24"/>
              </w:rPr>
              <w:t>4.1项目固废产生情况</w:t>
            </w:r>
          </w:p>
          <w:p w14:paraId="55B9088C">
            <w:pPr>
              <w:spacing w:line="360" w:lineRule="auto"/>
              <w:ind w:firstLine="480" w:firstLineChars="200"/>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（1）项目固废产生源强核算</w:t>
            </w:r>
          </w:p>
          <w:p w14:paraId="060DAE58">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both"/>
              <w:textAlignment w:val="auto"/>
              <w:rPr>
                <w:rFonts w:hint="eastAsia"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①</w:t>
            </w:r>
            <w:r>
              <w:rPr>
                <w:rFonts w:hint="eastAsia" w:cs="Times New Roman"/>
                <w:color w:val="auto"/>
                <w:kern w:val="0"/>
                <w:sz w:val="24"/>
                <w:szCs w:val="24"/>
                <w:lang w:val="en-US" w:eastAsia="zh-CN" w:bidi="ar-SA"/>
              </w:rPr>
              <w:t>焊渣（S1）：</w:t>
            </w:r>
            <w:r>
              <w:rPr>
                <w:rFonts w:hint="eastAsia" w:ascii="Times New Roman" w:hAnsi="Times New Roman" w:cs="Times New Roman" w:eastAsiaTheme="minorEastAsia"/>
                <w:bCs/>
                <w:color w:val="auto"/>
                <w:sz w:val="24"/>
                <w:szCs w:val="24"/>
                <w:lang w:val="en-US" w:eastAsia="zh-CN"/>
              </w:rPr>
              <w:t>本项目焊接工序有少量焊渣产生，根据企业提供的资料，焊渣产生量为原料使用量的10%，本项目无铅</w:t>
            </w:r>
            <w:r>
              <w:rPr>
                <w:rFonts w:hint="eastAsia" w:cs="Times New Roman" w:eastAsiaTheme="minorEastAsia"/>
                <w:bCs/>
                <w:color w:val="auto"/>
                <w:sz w:val="24"/>
                <w:szCs w:val="24"/>
                <w:lang w:val="en-US" w:eastAsia="zh-CN"/>
              </w:rPr>
              <w:t>焊丝</w:t>
            </w:r>
            <w:r>
              <w:rPr>
                <w:rFonts w:hint="eastAsia" w:ascii="Times New Roman" w:hAnsi="Times New Roman" w:cs="Times New Roman" w:eastAsiaTheme="minorEastAsia"/>
                <w:bCs/>
                <w:color w:val="auto"/>
                <w:sz w:val="24"/>
                <w:szCs w:val="24"/>
                <w:lang w:val="en-US" w:eastAsia="zh-CN"/>
              </w:rPr>
              <w:t>用量为50kg/a，则焊渣产生量为0.005t/a。</w:t>
            </w:r>
          </w:p>
          <w:p w14:paraId="765A66A1">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both"/>
              <w:textAlignment w:val="auto"/>
              <w:rPr>
                <w:rFonts w:hint="default"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②</w:t>
            </w:r>
            <w:r>
              <w:rPr>
                <w:rFonts w:hint="eastAsia" w:cs="Times New Roman"/>
                <w:color w:val="auto"/>
                <w:kern w:val="0"/>
                <w:sz w:val="24"/>
                <w:szCs w:val="24"/>
                <w:lang w:val="en-US" w:eastAsia="zh-CN" w:bidi="ar-SA"/>
              </w:rPr>
              <w:t>废抹布、手套（含酒精）（S2）：本项目擦拭工序会产生废抹布、手套（含酒精），本项目抹布、手套用量为50kg/a，则废抹布、手套（含酒精）产生量约为0.05t/a。</w:t>
            </w:r>
          </w:p>
          <w:p w14:paraId="0BD3E938">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both"/>
              <w:textAlignment w:val="auto"/>
              <w:rPr>
                <w:rFonts w:hint="eastAsia"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③</w:t>
            </w:r>
            <w:r>
              <w:rPr>
                <w:rFonts w:hint="eastAsia" w:cs="Times New Roman"/>
                <w:color w:val="auto"/>
                <w:kern w:val="0"/>
                <w:sz w:val="24"/>
                <w:szCs w:val="24"/>
                <w:lang w:val="en-US" w:eastAsia="zh-CN" w:bidi="ar-SA"/>
              </w:rPr>
              <w:t>废活性炭（S3）：本项目两级活性炭吸附装置定期更换活性炭，产生废活性炭。</w:t>
            </w:r>
            <w:r>
              <w:rPr>
                <w:rFonts w:hint="eastAsia" w:cs="Times New Roman"/>
                <w:color w:val="auto"/>
                <w:sz w:val="24"/>
                <w:szCs w:val="24"/>
                <w:lang w:val="en-US" w:eastAsia="zh-CN"/>
              </w:rPr>
              <w:t>本项目年工作300天，为保证去除效率，活性炭每三个月更换一次，</w:t>
            </w:r>
            <w:r>
              <w:rPr>
                <w:rFonts w:hint="eastAsia" w:ascii="Times New Roman" w:hAnsi="Times New Roman" w:cs="Times New Roman"/>
                <w:color w:val="auto"/>
                <w:sz w:val="24"/>
                <w:szCs w:val="24"/>
                <w:lang w:val="en-US" w:eastAsia="zh-CN"/>
              </w:rPr>
              <w:t>一年更换</w:t>
            </w:r>
            <w:r>
              <w:rPr>
                <w:rFonts w:hint="eastAsia" w:cs="Times New Roman"/>
                <w:color w:val="auto"/>
                <w:sz w:val="24"/>
                <w:szCs w:val="24"/>
                <w:lang w:val="en-US" w:eastAsia="zh-CN"/>
              </w:rPr>
              <w:t>四</w:t>
            </w:r>
            <w:r>
              <w:rPr>
                <w:rFonts w:hint="eastAsia" w:ascii="Times New Roman" w:hAnsi="Times New Roman" w:cs="Times New Roman"/>
                <w:color w:val="auto"/>
                <w:sz w:val="24"/>
                <w:szCs w:val="24"/>
                <w:lang w:val="en-US" w:eastAsia="zh-CN"/>
              </w:rPr>
              <w:t>次</w:t>
            </w:r>
            <w:r>
              <w:rPr>
                <w:rFonts w:hint="eastAsia" w:cs="Times New Roman"/>
                <w:color w:val="auto"/>
                <w:sz w:val="24"/>
                <w:szCs w:val="24"/>
                <w:lang w:val="en-US" w:eastAsia="zh-CN"/>
              </w:rPr>
              <w:t>，单台活性炭吸附装置装填量为0.1t，则废活性炭产生量为</w:t>
            </w:r>
            <w:r>
              <w:rPr>
                <w:rFonts w:hint="eastAsia" w:cs="Times New Roman"/>
                <w:color w:val="auto"/>
                <w:kern w:val="0"/>
                <w:sz w:val="24"/>
                <w:szCs w:val="24"/>
                <w:lang w:val="en-US" w:eastAsia="zh-CN" w:bidi="ar-SA"/>
              </w:rPr>
              <w:t>0.8t/a。</w:t>
            </w:r>
          </w:p>
          <w:p w14:paraId="128E2633">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both"/>
              <w:textAlignment w:val="auto"/>
              <w:rPr>
                <w:rFonts w:hint="default"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rPr>
              <w:t>④</w:t>
            </w:r>
            <w:r>
              <w:rPr>
                <w:rFonts w:hint="eastAsia" w:cs="Times New Roman"/>
                <w:color w:val="auto"/>
                <w:kern w:val="0"/>
                <w:sz w:val="24"/>
                <w:szCs w:val="24"/>
                <w:lang w:val="en-US" w:eastAsia="zh-CN" w:bidi="ar-SA"/>
              </w:rPr>
              <w:t>废滤芯（S4）：本项目移动式焊烟净化器每三个月更换一次滤芯，产生废滤芯，单个滤芯重约3kg，则废滤芯产生量为0.012t/a。</w:t>
            </w:r>
          </w:p>
          <w:p w14:paraId="2A8A4A79">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rPr>
                <w:rFonts w:hint="default" w:cs="Times New Roman"/>
                <w:color w:val="auto"/>
                <w:sz w:val="24"/>
                <w:lang w:val="en-US" w:eastAsia="zh-CN"/>
              </w:rPr>
            </w:pPr>
            <w:r>
              <w:rPr>
                <w:rFonts w:hint="eastAsia" w:ascii="宋体" w:hAnsi="宋体" w:eastAsia="宋体" w:cs="宋体"/>
                <w:color w:val="auto"/>
                <w:kern w:val="0"/>
                <w:sz w:val="24"/>
                <w:szCs w:val="24"/>
                <w:lang w:val="en-US" w:eastAsia="zh-CN"/>
              </w:rPr>
              <w:t>⑤</w:t>
            </w:r>
            <w:r>
              <w:rPr>
                <w:rFonts w:hint="eastAsia" w:cs="Times New Roman"/>
                <w:color w:val="auto"/>
                <w:kern w:val="0"/>
                <w:sz w:val="24"/>
                <w:szCs w:val="24"/>
                <w:lang w:val="en-US" w:eastAsia="zh-CN" w:bidi="ar-SA"/>
              </w:rPr>
              <w:t>废包装容器（S5）：</w:t>
            </w:r>
            <w:r>
              <w:rPr>
                <w:rFonts w:hint="eastAsia" w:cs="Times New Roman" w:eastAsiaTheme="minorEastAsia"/>
                <w:color w:val="auto"/>
                <w:sz w:val="24"/>
                <w:szCs w:val="24"/>
                <w:lang w:val="en-US" w:eastAsia="zh-CN"/>
              </w:rPr>
              <w:t>发泡主剂、发泡固化剂等</w:t>
            </w:r>
            <w:r>
              <w:rPr>
                <w:rFonts w:hint="default" w:ascii="Times New Roman" w:hAnsi="Times New Roman" w:eastAsia="宋体" w:cs="Times New Roman"/>
                <w:color w:val="auto"/>
                <w:sz w:val="24"/>
                <w:szCs w:val="24"/>
                <w:lang w:val="en-US" w:eastAsia="zh-CN"/>
              </w:rPr>
              <w:t>使用完后</w:t>
            </w:r>
            <w:r>
              <w:rPr>
                <w:rFonts w:hint="eastAsia" w:ascii="Times New Roman" w:hAnsi="Times New Roman" w:eastAsia="宋体" w:cs="Times New Roman"/>
                <w:color w:val="auto"/>
                <w:sz w:val="24"/>
                <w:szCs w:val="24"/>
                <w:lang w:val="en-US" w:eastAsia="zh-CN"/>
              </w:rPr>
              <w:t>产生</w:t>
            </w:r>
            <w:r>
              <w:rPr>
                <w:rFonts w:hint="default" w:ascii="Times New Roman" w:hAnsi="Times New Roman" w:eastAsia="宋体" w:cs="Times New Roman"/>
                <w:color w:val="auto"/>
                <w:sz w:val="24"/>
                <w:szCs w:val="24"/>
                <w:lang w:val="en-US" w:eastAsia="zh-CN"/>
              </w:rPr>
              <w:t>废包装</w:t>
            </w:r>
            <w:r>
              <w:rPr>
                <w:rFonts w:hint="eastAsia" w:cs="Times New Roman"/>
                <w:color w:val="auto"/>
                <w:sz w:val="24"/>
                <w:szCs w:val="24"/>
                <w:lang w:val="en-US" w:eastAsia="zh-CN"/>
              </w:rPr>
              <w:t>容器</w:t>
            </w:r>
            <w:r>
              <w:rPr>
                <w:rFonts w:hint="eastAsia" w:cs="Times New Roman"/>
                <w:color w:val="auto"/>
                <w:kern w:val="0"/>
                <w:sz w:val="24"/>
                <w:lang w:val="en-US" w:eastAsia="zh-CN"/>
              </w:rPr>
              <w:t>，</w:t>
            </w:r>
            <w:r>
              <w:rPr>
                <w:rFonts w:hint="eastAsia" w:ascii="Times New Roman" w:hAnsi="Times New Roman" w:eastAsia="宋体" w:cs="Times New Roman"/>
                <w:color w:val="auto"/>
                <w:kern w:val="0"/>
                <w:sz w:val="24"/>
                <w:lang w:val="en-US" w:eastAsia="zh-CN"/>
              </w:rPr>
              <w:t>各类废包装</w:t>
            </w:r>
            <w:r>
              <w:rPr>
                <w:rFonts w:hint="eastAsia" w:cs="Times New Roman"/>
                <w:color w:val="auto"/>
                <w:kern w:val="0"/>
                <w:sz w:val="24"/>
                <w:lang w:val="en-US" w:eastAsia="zh-CN"/>
              </w:rPr>
              <w:t>容器</w:t>
            </w:r>
            <w:r>
              <w:rPr>
                <w:rFonts w:hint="eastAsia" w:ascii="Times New Roman" w:hAnsi="Times New Roman" w:eastAsia="宋体" w:cs="Times New Roman"/>
                <w:color w:val="auto"/>
                <w:kern w:val="0"/>
                <w:sz w:val="24"/>
                <w:lang w:val="en-US" w:eastAsia="zh-CN"/>
              </w:rPr>
              <w:t>产生情况见表4-2</w:t>
            </w:r>
            <w:r>
              <w:rPr>
                <w:rFonts w:hint="eastAsia" w:cs="Times New Roman"/>
                <w:color w:val="auto"/>
                <w:kern w:val="0"/>
                <w:sz w:val="24"/>
                <w:lang w:val="en-US" w:eastAsia="zh-CN"/>
              </w:rPr>
              <w:t>0</w:t>
            </w:r>
            <w:r>
              <w:rPr>
                <w:rFonts w:hint="eastAsia" w:ascii="Times New Roman" w:hAnsi="Times New Roman" w:eastAsia="宋体" w:cs="Times New Roman"/>
                <w:color w:val="auto"/>
                <w:kern w:val="0"/>
                <w:sz w:val="24"/>
                <w:lang w:val="en-US" w:eastAsia="zh-CN"/>
              </w:rPr>
              <w:t>。</w:t>
            </w:r>
          </w:p>
          <w:p w14:paraId="0BCAD110">
            <w:pPr>
              <w:keepNext w:val="0"/>
              <w:keepLines w:val="0"/>
              <w:pageBreakBefore w:val="0"/>
              <w:widowControl w:val="0"/>
              <w:tabs>
                <w:tab w:val="left" w:pos="1144"/>
              </w:tabs>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表4-2</w:t>
            </w:r>
            <w:r>
              <w:rPr>
                <w:rFonts w:hint="eastAsia" w:cs="Times New Roman"/>
                <w:b/>
                <w:bCs/>
                <w:color w:val="auto"/>
                <w:sz w:val="24"/>
                <w:lang w:val="en-US" w:eastAsia="zh-CN"/>
              </w:rPr>
              <w:t>0</w:t>
            </w:r>
            <w:r>
              <w:rPr>
                <w:rFonts w:hint="eastAsia" w:ascii="Times New Roman" w:hAnsi="Times New Roman" w:eastAsia="宋体" w:cs="Times New Roman"/>
                <w:b/>
                <w:bCs/>
                <w:color w:val="auto"/>
                <w:sz w:val="24"/>
                <w:lang w:val="en-US" w:eastAsia="zh-CN"/>
              </w:rPr>
              <w:t>各类废包装</w:t>
            </w:r>
            <w:r>
              <w:rPr>
                <w:rFonts w:hint="eastAsia" w:cs="Times New Roman"/>
                <w:b/>
                <w:bCs/>
                <w:color w:val="auto"/>
                <w:sz w:val="24"/>
                <w:lang w:val="en-US" w:eastAsia="zh-CN"/>
              </w:rPr>
              <w:t>容器</w:t>
            </w:r>
            <w:r>
              <w:rPr>
                <w:rFonts w:hint="eastAsia" w:ascii="Times New Roman" w:hAnsi="Times New Roman" w:eastAsia="宋体" w:cs="Times New Roman"/>
                <w:b/>
                <w:bCs/>
                <w:color w:val="auto"/>
                <w:sz w:val="24"/>
                <w:lang w:val="en-US" w:eastAsia="zh-CN"/>
              </w:rPr>
              <w:t>产生情况</w:t>
            </w:r>
          </w:p>
          <w:tbl>
            <w:tblPr>
              <w:tblStyle w:val="36"/>
              <w:tblW w:w="7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979"/>
              <w:gridCol w:w="1405"/>
              <w:gridCol w:w="1363"/>
              <w:gridCol w:w="1575"/>
              <w:gridCol w:w="1330"/>
            </w:tblGrid>
            <w:tr w14:paraId="727DF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40" w:hRule="atLeast"/>
                <w:jc w:val="center"/>
              </w:trPr>
              <w:tc>
                <w:tcPr>
                  <w:tcW w:w="1327" w:type="dxa"/>
                  <w:tcBorders>
                    <w:tl2br w:val="nil"/>
                    <w:tr2bl w:val="nil"/>
                  </w:tcBorders>
                  <w:vAlign w:val="center"/>
                </w:tcPr>
                <w:p w14:paraId="420448AF">
                  <w:pPr>
                    <w:jc w:val="center"/>
                    <w:rPr>
                      <w:rFonts w:hint="default"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原料种类</w:t>
                  </w:r>
                </w:p>
              </w:tc>
              <w:tc>
                <w:tcPr>
                  <w:tcW w:w="979" w:type="dxa"/>
                  <w:tcBorders>
                    <w:tl2br w:val="nil"/>
                    <w:tr2bl w:val="nil"/>
                  </w:tcBorders>
                  <w:vAlign w:val="center"/>
                </w:tcPr>
                <w:p w14:paraId="4EF1F762">
                  <w:pPr>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用量（t/a）</w:t>
                  </w:r>
                </w:p>
              </w:tc>
              <w:tc>
                <w:tcPr>
                  <w:tcW w:w="1405" w:type="dxa"/>
                  <w:tcBorders>
                    <w:tl2br w:val="nil"/>
                    <w:tr2bl w:val="nil"/>
                  </w:tcBorders>
                  <w:vAlign w:val="center"/>
                </w:tcPr>
                <w:p w14:paraId="2D51B269">
                  <w:pPr>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包装规格</w:t>
                  </w:r>
                </w:p>
              </w:tc>
              <w:tc>
                <w:tcPr>
                  <w:tcW w:w="1363" w:type="dxa"/>
                  <w:tcBorders>
                    <w:tl2br w:val="nil"/>
                    <w:tr2bl w:val="nil"/>
                  </w:tcBorders>
                  <w:vAlign w:val="center"/>
                </w:tcPr>
                <w:p w14:paraId="25644682">
                  <w:pPr>
                    <w:jc w:val="center"/>
                    <w:rPr>
                      <w:rFonts w:hint="default"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废包装</w:t>
                  </w:r>
                  <w:r>
                    <w:rPr>
                      <w:rFonts w:hint="eastAsia" w:cs="Times New Roman"/>
                      <w:b/>
                      <w:bCs/>
                      <w:color w:val="auto"/>
                      <w:szCs w:val="21"/>
                      <w:lang w:val="en-US" w:eastAsia="zh-CN"/>
                    </w:rPr>
                    <w:t>容器</w:t>
                  </w:r>
                  <w:r>
                    <w:rPr>
                      <w:rFonts w:hint="eastAsia" w:ascii="Times New Roman" w:hAnsi="Times New Roman" w:eastAsia="宋体" w:cs="Times New Roman"/>
                      <w:b/>
                      <w:bCs/>
                      <w:color w:val="auto"/>
                      <w:szCs w:val="21"/>
                      <w:lang w:val="en-US" w:eastAsia="zh-CN"/>
                    </w:rPr>
                    <w:t>数量（个）</w:t>
                  </w:r>
                </w:p>
              </w:tc>
              <w:tc>
                <w:tcPr>
                  <w:tcW w:w="1575" w:type="dxa"/>
                  <w:tcBorders>
                    <w:tl2br w:val="nil"/>
                    <w:tr2bl w:val="nil"/>
                  </w:tcBorders>
                  <w:vAlign w:val="center"/>
                </w:tcPr>
                <w:p w14:paraId="7DC1387A">
                  <w:pPr>
                    <w:jc w:val="center"/>
                    <w:rPr>
                      <w:rFonts w:hint="default"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单个</w:t>
                  </w:r>
                  <w:r>
                    <w:rPr>
                      <w:rFonts w:hint="eastAsia" w:cs="Times New Roman"/>
                      <w:b/>
                      <w:bCs/>
                      <w:color w:val="auto"/>
                      <w:szCs w:val="21"/>
                      <w:lang w:val="en-US" w:eastAsia="zh-CN"/>
                    </w:rPr>
                    <w:t>废包装容器</w:t>
                  </w:r>
                  <w:r>
                    <w:rPr>
                      <w:rFonts w:hint="eastAsia" w:ascii="Times New Roman" w:hAnsi="Times New Roman" w:eastAsia="宋体" w:cs="Times New Roman"/>
                      <w:b/>
                      <w:bCs/>
                      <w:color w:val="auto"/>
                      <w:szCs w:val="21"/>
                      <w:lang w:val="en-US" w:eastAsia="zh-CN"/>
                    </w:rPr>
                    <w:t>重</w:t>
                  </w:r>
                  <w:r>
                    <w:rPr>
                      <w:rFonts w:hint="eastAsia" w:cs="Times New Roman"/>
                      <w:b/>
                      <w:bCs/>
                      <w:color w:val="auto"/>
                      <w:szCs w:val="21"/>
                      <w:lang w:val="en-US" w:eastAsia="zh-CN"/>
                    </w:rPr>
                    <w:t>量</w:t>
                  </w:r>
                  <w:r>
                    <w:rPr>
                      <w:rFonts w:hint="eastAsia" w:ascii="Times New Roman" w:hAnsi="Times New Roman" w:eastAsia="宋体" w:cs="Times New Roman"/>
                      <w:b/>
                      <w:bCs/>
                      <w:color w:val="auto"/>
                      <w:szCs w:val="21"/>
                      <w:lang w:val="en-US" w:eastAsia="zh-CN"/>
                    </w:rPr>
                    <w:t>（kg）</w:t>
                  </w:r>
                </w:p>
              </w:tc>
              <w:tc>
                <w:tcPr>
                  <w:tcW w:w="1330" w:type="dxa"/>
                  <w:tcBorders>
                    <w:tl2br w:val="nil"/>
                    <w:tr2bl w:val="nil"/>
                  </w:tcBorders>
                  <w:vAlign w:val="center"/>
                </w:tcPr>
                <w:p w14:paraId="348D363C">
                  <w:pPr>
                    <w:jc w:val="center"/>
                    <w:rPr>
                      <w:rFonts w:hint="default"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废包装</w:t>
                  </w:r>
                  <w:r>
                    <w:rPr>
                      <w:rFonts w:hint="eastAsia" w:cs="Times New Roman"/>
                      <w:b/>
                      <w:bCs/>
                      <w:color w:val="auto"/>
                      <w:szCs w:val="21"/>
                      <w:lang w:val="en-US" w:eastAsia="zh-CN"/>
                    </w:rPr>
                    <w:t>容器</w:t>
                  </w:r>
                  <w:r>
                    <w:rPr>
                      <w:rFonts w:hint="eastAsia" w:ascii="Times New Roman" w:hAnsi="Times New Roman" w:eastAsia="宋体" w:cs="Times New Roman"/>
                      <w:b/>
                      <w:bCs/>
                      <w:color w:val="auto"/>
                      <w:szCs w:val="21"/>
                      <w:lang w:val="en-US" w:eastAsia="zh-CN"/>
                    </w:rPr>
                    <w:t>重量（</w:t>
                  </w:r>
                  <w:r>
                    <w:rPr>
                      <w:rFonts w:hint="eastAsia" w:cs="Times New Roman"/>
                      <w:b/>
                      <w:bCs/>
                      <w:color w:val="auto"/>
                      <w:szCs w:val="21"/>
                      <w:lang w:val="en-US" w:eastAsia="zh-CN"/>
                    </w:rPr>
                    <w:t>kg</w:t>
                  </w:r>
                  <w:r>
                    <w:rPr>
                      <w:rFonts w:hint="eastAsia" w:ascii="Times New Roman" w:hAnsi="Times New Roman" w:eastAsia="宋体" w:cs="Times New Roman"/>
                      <w:b/>
                      <w:bCs/>
                      <w:color w:val="auto"/>
                      <w:szCs w:val="21"/>
                      <w:lang w:val="en-US" w:eastAsia="zh-CN"/>
                    </w:rPr>
                    <w:t>）</w:t>
                  </w:r>
                </w:p>
              </w:tc>
            </w:tr>
            <w:tr w14:paraId="45793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327" w:type="dxa"/>
                  <w:tcBorders>
                    <w:tl2br w:val="nil"/>
                    <w:tr2bl w:val="nil"/>
                  </w:tcBorders>
                  <w:shd w:val="clear" w:color="auto" w:fill="auto"/>
                  <w:vAlign w:val="center"/>
                </w:tcPr>
                <w:p w14:paraId="6207D41A">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发泡主剂</w:t>
                  </w:r>
                </w:p>
              </w:tc>
              <w:tc>
                <w:tcPr>
                  <w:tcW w:w="979" w:type="dxa"/>
                  <w:tcBorders>
                    <w:tl2br w:val="nil"/>
                    <w:tr2bl w:val="nil"/>
                  </w:tcBorders>
                  <w:shd w:val="clear" w:color="auto" w:fill="auto"/>
                  <w:vAlign w:val="center"/>
                </w:tcPr>
                <w:p w14:paraId="6034ECC3">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20kg</w:t>
                  </w:r>
                </w:p>
              </w:tc>
              <w:tc>
                <w:tcPr>
                  <w:tcW w:w="1405" w:type="dxa"/>
                  <w:tcBorders>
                    <w:tl2br w:val="nil"/>
                    <w:tr2bl w:val="nil"/>
                  </w:tcBorders>
                  <w:shd w:val="clear" w:color="auto" w:fill="auto"/>
                  <w:vAlign w:val="center"/>
                </w:tcPr>
                <w:p w14:paraId="22988790">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20kg/桶</w:t>
                  </w:r>
                </w:p>
              </w:tc>
              <w:tc>
                <w:tcPr>
                  <w:tcW w:w="1363" w:type="dxa"/>
                  <w:tcBorders>
                    <w:tl2br w:val="nil"/>
                    <w:tr2bl w:val="nil"/>
                  </w:tcBorders>
                  <w:shd w:val="clear" w:color="auto" w:fill="auto"/>
                  <w:vAlign w:val="center"/>
                </w:tcPr>
                <w:p w14:paraId="60B5D114">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1</w:t>
                  </w:r>
                </w:p>
              </w:tc>
              <w:tc>
                <w:tcPr>
                  <w:tcW w:w="1575" w:type="dxa"/>
                  <w:tcBorders>
                    <w:tl2br w:val="nil"/>
                    <w:tr2bl w:val="nil"/>
                  </w:tcBorders>
                  <w:vAlign w:val="center"/>
                </w:tcPr>
                <w:p w14:paraId="3DE300A6">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1.5</w:t>
                  </w:r>
                </w:p>
              </w:tc>
              <w:tc>
                <w:tcPr>
                  <w:tcW w:w="1330" w:type="dxa"/>
                  <w:tcBorders>
                    <w:tl2br w:val="nil"/>
                    <w:tr2bl w:val="nil"/>
                  </w:tcBorders>
                  <w:vAlign w:val="center"/>
                </w:tcPr>
                <w:p w14:paraId="3149B950">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1.5</w:t>
                  </w:r>
                </w:p>
              </w:tc>
            </w:tr>
            <w:tr w14:paraId="29FD1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327" w:type="dxa"/>
                  <w:tcBorders>
                    <w:tl2br w:val="nil"/>
                    <w:tr2bl w:val="nil"/>
                  </w:tcBorders>
                  <w:shd w:val="clear" w:color="auto" w:fill="auto"/>
                  <w:vAlign w:val="center"/>
                </w:tcPr>
                <w:p w14:paraId="571A455B">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发泡固化剂</w:t>
                  </w:r>
                </w:p>
              </w:tc>
              <w:tc>
                <w:tcPr>
                  <w:tcW w:w="979" w:type="dxa"/>
                  <w:tcBorders>
                    <w:tl2br w:val="nil"/>
                    <w:tr2bl w:val="nil"/>
                  </w:tcBorders>
                  <w:shd w:val="clear" w:color="auto" w:fill="auto"/>
                  <w:vAlign w:val="center"/>
                </w:tcPr>
                <w:p w14:paraId="10C93A4D">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22kg</w:t>
                  </w:r>
                </w:p>
              </w:tc>
              <w:tc>
                <w:tcPr>
                  <w:tcW w:w="1405" w:type="dxa"/>
                  <w:tcBorders>
                    <w:tl2br w:val="nil"/>
                    <w:tr2bl w:val="nil"/>
                  </w:tcBorders>
                  <w:shd w:val="clear" w:color="auto" w:fill="auto"/>
                  <w:vAlign w:val="center"/>
                </w:tcPr>
                <w:p w14:paraId="004B4984">
                  <w:pPr>
                    <w:pStyle w:val="43"/>
                    <w:spacing w:line="24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20kg/桶</w:t>
                  </w:r>
                </w:p>
              </w:tc>
              <w:tc>
                <w:tcPr>
                  <w:tcW w:w="1363" w:type="dxa"/>
                  <w:tcBorders>
                    <w:tl2br w:val="nil"/>
                    <w:tr2bl w:val="nil"/>
                  </w:tcBorders>
                  <w:shd w:val="clear" w:color="auto" w:fill="auto"/>
                  <w:vAlign w:val="center"/>
                </w:tcPr>
                <w:p w14:paraId="23A46AAC">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2</w:t>
                  </w:r>
                </w:p>
              </w:tc>
              <w:tc>
                <w:tcPr>
                  <w:tcW w:w="1575" w:type="dxa"/>
                  <w:tcBorders>
                    <w:tl2br w:val="nil"/>
                    <w:tr2bl w:val="nil"/>
                  </w:tcBorders>
                  <w:vAlign w:val="center"/>
                </w:tcPr>
                <w:p w14:paraId="077B13E7">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1.5</w:t>
                  </w:r>
                </w:p>
              </w:tc>
              <w:tc>
                <w:tcPr>
                  <w:tcW w:w="1330" w:type="dxa"/>
                  <w:tcBorders>
                    <w:tl2br w:val="nil"/>
                    <w:tr2bl w:val="nil"/>
                  </w:tcBorders>
                  <w:vAlign w:val="center"/>
                </w:tcPr>
                <w:p w14:paraId="1C204164">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w:t>
                  </w:r>
                </w:p>
              </w:tc>
            </w:tr>
            <w:tr w14:paraId="4AC38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327" w:type="dxa"/>
                  <w:tcBorders>
                    <w:tl2br w:val="nil"/>
                    <w:tr2bl w:val="nil"/>
                  </w:tcBorders>
                  <w:shd w:val="clear" w:color="auto" w:fill="auto"/>
                  <w:vAlign w:val="center"/>
                </w:tcPr>
                <w:p w14:paraId="27169C98">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水性脱模剂</w:t>
                  </w:r>
                </w:p>
              </w:tc>
              <w:tc>
                <w:tcPr>
                  <w:tcW w:w="979" w:type="dxa"/>
                  <w:tcBorders>
                    <w:tl2br w:val="nil"/>
                    <w:tr2bl w:val="nil"/>
                  </w:tcBorders>
                  <w:shd w:val="clear" w:color="auto" w:fill="auto"/>
                  <w:vAlign w:val="center"/>
                </w:tcPr>
                <w:p w14:paraId="13A6A9BF">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1kg</w:t>
                  </w:r>
                </w:p>
              </w:tc>
              <w:tc>
                <w:tcPr>
                  <w:tcW w:w="1405" w:type="dxa"/>
                  <w:tcBorders>
                    <w:tl2br w:val="nil"/>
                    <w:tr2bl w:val="nil"/>
                  </w:tcBorders>
                  <w:shd w:val="clear" w:color="auto" w:fill="auto"/>
                  <w:vAlign w:val="center"/>
                </w:tcPr>
                <w:p w14:paraId="36B55268">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1kg/桶</w:t>
                  </w:r>
                </w:p>
              </w:tc>
              <w:tc>
                <w:tcPr>
                  <w:tcW w:w="1363" w:type="dxa"/>
                  <w:tcBorders>
                    <w:tl2br w:val="nil"/>
                    <w:tr2bl w:val="nil"/>
                  </w:tcBorders>
                  <w:shd w:val="clear" w:color="auto" w:fill="auto"/>
                  <w:vAlign w:val="center"/>
                </w:tcPr>
                <w:p w14:paraId="7ADB95A8">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1</w:t>
                  </w:r>
                </w:p>
              </w:tc>
              <w:tc>
                <w:tcPr>
                  <w:tcW w:w="1575" w:type="dxa"/>
                  <w:tcBorders>
                    <w:tl2br w:val="nil"/>
                    <w:tr2bl w:val="nil"/>
                  </w:tcBorders>
                  <w:vAlign w:val="center"/>
                </w:tcPr>
                <w:p w14:paraId="574C9B5B">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p>
              </w:tc>
              <w:tc>
                <w:tcPr>
                  <w:tcW w:w="1330" w:type="dxa"/>
                  <w:tcBorders>
                    <w:tl2br w:val="nil"/>
                    <w:tr2bl w:val="nil"/>
                  </w:tcBorders>
                  <w:vAlign w:val="center"/>
                </w:tcPr>
                <w:p w14:paraId="2A46F016">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p>
              </w:tc>
            </w:tr>
            <w:tr w14:paraId="756DC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327" w:type="dxa"/>
                  <w:tcBorders>
                    <w:tl2br w:val="nil"/>
                    <w:tr2bl w:val="nil"/>
                  </w:tcBorders>
                  <w:shd w:val="clear" w:color="auto" w:fill="auto"/>
                  <w:vAlign w:val="center"/>
                </w:tcPr>
                <w:p w14:paraId="0DE75A6A">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制冷剂</w:t>
                  </w:r>
                </w:p>
              </w:tc>
              <w:tc>
                <w:tcPr>
                  <w:tcW w:w="979" w:type="dxa"/>
                  <w:tcBorders>
                    <w:tl2br w:val="nil"/>
                    <w:tr2bl w:val="nil"/>
                  </w:tcBorders>
                  <w:shd w:val="clear" w:color="auto" w:fill="auto"/>
                  <w:vAlign w:val="center"/>
                </w:tcPr>
                <w:p w14:paraId="7F8CB19E">
                  <w:pPr>
                    <w:pStyle w:val="43"/>
                    <w:spacing w:line="24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300kg</w:t>
                  </w:r>
                </w:p>
              </w:tc>
              <w:tc>
                <w:tcPr>
                  <w:tcW w:w="1405" w:type="dxa"/>
                  <w:tcBorders>
                    <w:tl2br w:val="nil"/>
                    <w:tr2bl w:val="nil"/>
                  </w:tcBorders>
                  <w:shd w:val="clear" w:color="auto" w:fill="auto"/>
                  <w:vAlign w:val="center"/>
                </w:tcPr>
                <w:p w14:paraId="24B754BA">
                  <w:pPr>
                    <w:pStyle w:val="43"/>
                    <w:spacing w:line="24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 w:val="21"/>
                      <w:szCs w:val="21"/>
                      <w:lang w:val="en-US" w:eastAsia="zh-CN"/>
                    </w:rPr>
                    <w:t>12.5kg/桶</w:t>
                  </w:r>
                </w:p>
              </w:tc>
              <w:tc>
                <w:tcPr>
                  <w:tcW w:w="1363" w:type="dxa"/>
                  <w:tcBorders>
                    <w:tl2br w:val="nil"/>
                    <w:tr2bl w:val="nil"/>
                  </w:tcBorders>
                  <w:shd w:val="clear" w:color="auto" w:fill="auto"/>
                  <w:vAlign w:val="center"/>
                </w:tcPr>
                <w:p w14:paraId="10B13E0C">
                  <w:pPr>
                    <w:pStyle w:val="43"/>
                    <w:spacing w:line="240" w:lineRule="auto"/>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24</w:t>
                  </w:r>
                </w:p>
              </w:tc>
              <w:tc>
                <w:tcPr>
                  <w:tcW w:w="1575" w:type="dxa"/>
                  <w:tcBorders>
                    <w:tl2br w:val="nil"/>
                    <w:tr2bl w:val="nil"/>
                  </w:tcBorders>
                  <w:vAlign w:val="center"/>
                </w:tcPr>
                <w:p w14:paraId="2368995B">
                  <w:pPr>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1</w:t>
                  </w:r>
                </w:p>
              </w:tc>
              <w:tc>
                <w:tcPr>
                  <w:tcW w:w="1330" w:type="dxa"/>
                  <w:tcBorders>
                    <w:tl2br w:val="nil"/>
                    <w:tr2bl w:val="nil"/>
                  </w:tcBorders>
                  <w:vAlign w:val="center"/>
                </w:tcPr>
                <w:p w14:paraId="71974781">
                  <w:pPr>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24</w:t>
                  </w:r>
                </w:p>
              </w:tc>
            </w:tr>
            <w:tr w14:paraId="11D4E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327" w:type="dxa"/>
                  <w:tcBorders>
                    <w:tl2br w:val="nil"/>
                    <w:tr2bl w:val="nil"/>
                  </w:tcBorders>
                  <w:shd w:val="clear" w:color="auto" w:fill="auto"/>
                  <w:vAlign w:val="center"/>
                </w:tcPr>
                <w:p w14:paraId="2CB8DFFF">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酒精</w:t>
                  </w:r>
                </w:p>
              </w:tc>
              <w:tc>
                <w:tcPr>
                  <w:tcW w:w="979" w:type="dxa"/>
                  <w:tcBorders>
                    <w:tl2br w:val="nil"/>
                    <w:tr2bl w:val="nil"/>
                  </w:tcBorders>
                  <w:shd w:val="clear" w:color="auto" w:fill="auto"/>
                  <w:vAlign w:val="center"/>
                </w:tcPr>
                <w:p w14:paraId="3F60AC92">
                  <w:pPr>
                    <w:pStyle w:val="43"/>
                    <w:spacing w:line="24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2L</w:t>
                  </w:r>
                </w:p>
              </w:tc>
              <w:tc>
                <w:tcPr>
                  <w:tcW w:w="1405" w:type="dxa"/>
                  <w:tcBorders>
                    <w:tl2br w:val="nil"/>
                    <w:tr2bl w:val="nil"/>
                  </w:tcBorders>
                  <w:shd w:val="clear" w:color="auto" w:fill="auto"/>
                  <w:vAlign w:val="center"/>
                </w:tcPr>
                <w:p w14:paraId="0A1E7CD9">
                  <w:pPr>
                    <w:jc w:val="center"/>
                    <w:rPr>
                      <w:rFonts w:hint="default" w:eastAsiaTheme="minorEastAsia"/>
                      <w:color w:val="auto"/>
                      <w:szCs w:val="21"/>
                      <w:lang w:val="en-US" w:eastAsia="zh-CN"/>
                    </w:rPr>
                  </w:pPr>
                  <w:r>
                    <w:rPr>
                      <w:rFonts w:hint="eastAsia" w:eastAsiaTheme="minorEastAsia"/>
                      <w:color w:val="auto"/>
                      <w:szCs w:val="21"/>
                      <w:lang w:val="en-US" w:eastAsia="zh-CN"/>
                    </w:rPr>
                    <w:t>500mL/瓶</w:t>
                  </w:r>
                </w:p>
              </w:tc>
              <w:tc>
                <w:tcPr>
                  <w:tcW w:w="1363" w:type="dxa"/>
                  <w:tcBorders>
                    <w:tl2br w:val="nil"/>
                    <w:tr2bl w:val="nil"/>
                  </w:tcBorders>
                  <w:vAlign w:val="center"/>
                </w:tcPr>
                <w:p w14:paraId="2515E6A8">
                  <w:pPr>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4</w:t>
                  </w:r>
                </w:p>
              </w:tc>
              <w:tc>
                <w:tcPr>
                  <w:tcW w:w="1575" w:type="dxa"/>
                  <w:tcBorders>
                    <w:tl2br w:val="nil"/>
                    <w:tr2bl w:val="nil"/>
                  </w:tcBorders>
                  <w:vAlign w:val="center"/>
                </w:tcPr>
                <w:p w14:paraId="35213955">
                  <w:pPr>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0.3</w:t>
                  </w:r>
                </w:p>
              </w:tc>
              <w:tc>
                <w:tcPr>
                  <w:tcW w:w="1330" w:type="dxa"/>
                  <w:tcBorders>
                    <w:tl2br w:val="nil"/>
                    <w:tr2bl w:val="nil"/>
                  </w:tcBorders>
                  <w:vAlign w:val="center"/>
                </w:tcPr>
                <w:p w14:paraId="4B61B9F1">
                  <w:pPr>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1.2</w:t>
                  </w:r>
                </w:p>
              </w:tc>
            </w:tr>
            <w:tr w14:paraId="699BF9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649" w:type="dxa"/>
                  <w:gridSpan w:val="5"/>
                  <w:tcBorders>
                    <w:tl2br w:val="nil"/>
                    <w:tr2bl w:val="nil"/>
                  </w:tcBorders>
                  <w:shd w:val="clear" w:color="auto" w:fill="auto"/>
                  <w:vAlign w:val="center"/>
                </w:tcPr>
                <w:p w14:paraId="3E5F2BEE">
                  <w:pPr>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合计</w:t>
                  </w:r>
                </w:p>
              </w:tc>
              <w:tc>
                <w:tcPr>
                  <w:tcW w:w="1330" w:type="dxa"/>
                  <w:tcBorders>
                    <w:tl2br w:val="nil"/>
                    <w:tr2bl w:val="nil"/>
                  </w:tcBorders>
                  <w:vAlign w:val="center"/>
                </w:tcPr>
                <w:p w14:paraId="5B0D1D81">
                  <w:pPr>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29.8</w:t>
                  </w:r>
                </w:p>
              </w:tc>
            </w:tr>
          </w:tbl>
          <w:p w14:paraId="3DED00A3">
            <w:pPr>
              <w:keepNext w:val="0"/>
              <w:keepLines w:val="0"/>
              <w:pageBreakBefore w:val="0"/>
              <w:widowControl w:val="0"/>
              <w:kinsoku/>
              <w:wordWrap/>
              <w:overflowPunct/>
              <w:topLinePunct w:val="0"/>
              <w:autoSpaceDE/>
              <w:autoSpaceDN/>
              <w:bidi w:val="0"/>
              <w:adjustRightInd w:val="0"/>
              <w:snapToGrid w:val="0"/>
              <w:spacing w:line="240" w:lineRule="auto"/>
              <w:textAlignment w:val="auto"/>
              <w:rPr>
                <w:b/>
                <w:bCs/>
                <w:color w:val="FF0000"/>
                <w:sz w:val="10"/>
                <w:szCs w:val="10"/>
              </w:rPr>
            </w:pPr>
          </w:p>
          <w:p w14:paraId="1D81D97C">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eastAsia" w:ascii="Times New Roman" w:hAnsi="Times New Roman" w:cs="Times New Roman" w:eastAsiaTheme="minorEastAsia"/>
                <w:bCs/>
                <w:color w:val="auto"/>
                <w:sz w:val="24"/>
                <w:szCs w:val="24"/>
                <w:lang w:val="en-US" w:eastAsia="zh-CN"/>
              </w:rPr>
              <w:t>综上，本项目</w:t>
            </w:r>
            <w:r>
              <w:rPr>
                <w:rFonts w:hint="eastAsia" w:cs="Times New Roman" w:eastAsiaTheme="minorEastAsia"/>
                <w:bCs/>
                <w:color w:val="auto"/>
                <w:sz w:val="24"/>
                <w:szCs w:val="24"/>
                <w:lang w:val="en-US" w:eastAsia="zh-CN"/>
              </w:rPr>
              <w:t>废包装容器产生量约为0.03t/a</w:t>
            </w:r>
            <w:r>
              <w:rPr>
                <w:rFonts w:hint="eastAsia" w:ascii="Times New Roman" w:hAnsi="Times New Roman" w:cs="Times New Roman" w:eastAsiaTheme="minorEastAsia"/>
                <w:bCs/>
                <w:color w:val="auto"/>
                <w:sz w:val="24"/>
                <w:szCs w:val="24"/>
                <w:lang w:val="en-US" w:eastAsia="zh-CN"/>
              </w:rPr>
              <w:t>。</w:t>
            </w:r>
          </w:p>
          <w:p w14:paraId="3BBC9139">
            <w:pPr>
              <w:pStyle w:val="87"/>
              <w:spacing w:line="360" w:lineRule="auto"/>
              <w:ind w:firstLine="480"/>
              <w:rPr>
                <w:rFonts w:hint="eastAsia" w:eastAsiaTheme="minorEastAsia"/>
                <w:bCs/>
                <w:color w:val="auto"/>
                <w:sz w:val="24"/>
                <w:szCs w:val="24"/>
                <w:lang w:val="en-US" w:eastAsia="zh-CN"/>
              </w:rPr>
            </w:pPr>
            <w:r>
              <w:rPr>
                <w:rFonts w:hint="eastAsia" w:ascii="Times New Roman" w:hAnsi="Times New Roman" w:eastAsia="宋体" w:cs="Times New Roman"/>
                <w:color w:val="auto"/>
                <w:kern w:val="0"/>
                <w:sz w:val="24"/>
                <w:szCs w:val="24"/>
                <w:lang w:val="en-US" w:eastAsia="zh-CN"/>
              </w:rPr>
              <w:t>⑥</w:t>
            </w:r>
            <w:r>
              <w:rPr>
                <w:rFonts w:hint="eastAsia" w:eastAsiaTheme="minorEastAsia"/>
                <w:bCs/>
                <w:color w:val="auto"/>
                <w:sz w:val="24"/>
                <w:szCs w:val="24"/>
                <w:lang w:val="en-US" w:eastAsia="zh-CN"/>
              </w:rPr>
              <w:t>生活垃圾：</w:t>
            </w:r>
            <w:r>
              <w:rPr>
                <w:rFonts w:hint="eastAsia" w:ascii="Times New Roman" w:hAnsi="Times New Roman" w:cs="Times New Roman" w:eastAsiaTheme="minorEastAsia"/>
                <w:bCs/>
                <w:color w:val="auto"/>
                <w:sz w:val="24"/>
                <w:szCs w:val="24"/>
                <w:lang w:val="en-US" w:eastAsia="zh-CN"/>
              </w:rPr>
              <w:t>员工办公生活产生的生活垃圾按每人0.5kg/人·d计，本项目职工定员</w:t>
            </w:r>
            <w:r>
              <w:rPr>
                <w:rFonts w:hint="eastAsia" w:cs="Times New Roman" w:eastAsiaTheme="minorEastAsia"/>
                <w:bCs/>
                <w:color w:val="auto"/>
                <w:sz w:val="24"/>
                <w:szCs w:val="24"/>
                <w:lang w:val="en-US" w:eastAsia="zh-CN"/>
              </w:rPr>
              <w:t>2</w:t>
            </w:r>
            <w:r>
              <w:rPr>
                <w:rFonts w:hint="eastAsia" w:ascii="Times New Roman" w:hAnsi="Times New Roman" w:cs="Times New Roman" w:eastAsiaTheme="minorEastAsia"/>
                <w:bCs/>
                <w:color w:val="auto"/>
                <w:sz w:val="24"/>
                <w:szCs w:val="24"/>
                <w:lang w:val="en-US" w:eastAsia="zh-CN"/>
              </w:rPr>
              <w:t>0人，年工作3</w:t>
            </w:r>
            <w:r>
              <w:rPr>
                <w:rFonts w:hint="eastAsia" w:eastAsiaTheme="minorEastAsia"/>
                <w:bCs/>
                <w:color w:val="auto"/>
                <w:sz w:val="24"/>
                <w:szCs w:val="24"/>
              </w:rPr>
              <w:t>0</w:t>
            </w:r>
            <w:r>
              <w:rPr>
                <w:rFonts w:eastAsiaTheme="minorEastAsia"/>
                <w:bCs/>
                <w:color w:val="auto"/>
                <w:sz w:val="24"/>
                <w:szCs w:val="24"/>
              </w:rPr>
              <w:t>0天，则生活垃圾产生量约为</w:t>
            </w:r>
            <w:r>
              <w:rPr>
                <w:rFonts w:hint="eastAsia" w:eastAsiaTheme="minorEastAsia"/>
                <w:bCs/>
                <w:color w:val="auto"/>
                <w:sz w:val="24"/>
                <w:szCs w:val="24"/>
                <w:lang w:val="en-US" w:eastAsia="zh-CN"/>
              </w:rPr>
              <w:t>3</w:t>
            </w:r>
            <w:r>
              <w:rPr>
                <w:rFonts w:eastAsiaTheme="minorEastAsia"/>
                <w:bCs/>
                <w:color w:val="auto"/>
                <w:sz w:val="24"/>
                <w:szCs w:val="24"/>
              </w:rPr>
              <w:t>t/a。</w:t>
            </w:r>
          </w:p>
          <w:p w14:paraId="20DBD3CA">
            <w:pPr>
              <w:pStyle w:val="87"/>
              <w:spacing w:line="360" w:lineRule="auto"/>
              <w:ind w:firstLine="480"/>
              <w:rPr>
                <w:rFonts w:eastAsiaTheme="minorEastAsia"/>
                <w:color w:val="auto"/>
                <w:sz w:val="24"/>
                <w:szCs w:val="24"/>
              </w:rPr>
            </w:pPr>
            <w:r>
              <w:rPr>
                <w:rFonts w:hint="eastAsia" w:eastAsiaTheme="minorEastAsia"/>
                <w:bCs/>
                <w:color w:val="auto"/>
                <w:sz w:val="24"/>
                <w:szCs w:val="24"/>
              </w:rPr>
              <w:t>（2）</w:t>
            </w:r>
            <w:r>
              <w:rPr>
                <w:rFonts w:eastAsiaTheme="minorEastAsia"/>
                <w:bCs/>
                <w:color w:val="auto"/>
                <w:sz w:val="24"/>
                <w:szCs w:val="24"/>
              </w:rPr>
              <w:t>固体</w:t>
            </w:r>
            <w:r>
              <w:rPr>
                <w:rFonts w:eastAsiaTheme="minorEastAsia"/>
                <w:color w:val="auto"/>
                <w:sz w:val="24"/>
                <w:szCs w:val="24"/>
              </w:rPr>
              <w:t>废物属性判定</w:t>
            </w:r>
          </w:p>
          <w:p w14:paraId="459E57DF">
            <w:pPr>
              <w:spacing w:line="360" w:lineRule="auto"/>
              <w:ind w:firstLine="480" w:firstLineChars="200"/>
              <w:rPr>
                <w:rFonts w:eastAsiaTheme="minorEastAsia"/>
                <w:b/>
                <w:color w:val="auto"/>
                <w:sz w:val="24"/>
                <w:szCs w:val="24"/>
              </w:rPr>
            </w:pPr>
            <w:r>
              <w:rPr>
                <w:rFonts w:eastAsiaTheme="minorEastAsia"/>
                <w:color w:val="auto"/>
                <w:sz w:val="24"/>
                <w:szCs w:val="24"/>
              </w:rPr>
              <w:t>根据《中华人民共和国固体废物污染环境防治法》、</w:t>
            </w:r>
            <w:r>
              <w:rPr>
                <w:rFonts w:hint="eastAsia" w:eastAsiaTheme="minorEastAsia"/>
                <w:color w:val="auto"/>
                <w:sz w:val="24"/>
                <w:szCs w:val="24"/>
                <w:lang w:eastAsia="zh-CN"/>
              </w:rPr>
              <w:t>《固体废物鉴别标准 通则（GB 34330-2025）》</w:t>
            </w:r>
            <w:r>
              <w:rPr>
                <w:rFonts w:eastAsiaTheme="minorEastAsia"/>
                <w:color w:val="auto"/>
                <w:sz w:val="24"/>
                <w:szCs w:val="24"/>
              </w:rPr>
              <w:t>和《建设项目危险废物环境影响评价指南》（公告2017年第43号）的规定，判断建设项目</w:t>
            </w:r>
            <w:r>
              <w:rPr>
                <w:rFonts w:hint="eastAsia" w:eastAsiaTheme="minorEastAsia"/>
                <w:color w:val="auto"/>
                <w:sz w:val="24"/>
                <w:szCs w:val="24"/>
                <w:lang w:val="en-US" w:eastAsia="zh-CN"/>
              </w:rPr>
              <w:t>工作</w:t>
            </w:r>
            <w:r>
              <w:rPr>
                <w:rFonts w:eastAsiaTheme="minorEastAsia"/>
                <w:color w:val="auto"/>
                <w:sz w:val="24"/>
                <w:szCs w:val="24"/>
              </w:rPr>
              <w:t>过程中产生的副产物是否属于固体废物，判定依据及结果见表</w:t>
            </w:r>
            <w:r>
              <w:rPr>
                <w:rFonts w:hint="eastAsia" w:eastAsiaTheme="minorEastAsia"/>
                <w:color w:val="auto"/>
                <w:sz w:val="24"/>
                <w:szCs w:val="24"/>
              </w:rPr>
              <w:t>4</w:t>
            </w:r>
            <w:r>
              <w:rPr>
                <w:rFonts w:hint="eastAsia" w:eastAsiaTheme="minorEastAsia"/>
                <w:color w:val="auto"/>
                <w:sz w:val="24"/>
                <w:szCs w:val="24"/>
                <w:lang w:val="en-US" w:eastAsia="zh-CN"/>
              </w:rPr>
              <w:t>-21</w:t>
            </w:r>
            <w:r>
              <w:rPr>
                <w:rFonts w:eastAsiaTheme="minorEastAsia"/>
                <w:color w:val="auto"/>
                <w:sz w:val="24"/>
                <w:szCs w:val="24"/>
              </w:rPr>
              <w:t>。</w:t>
            </w:r>
          </w:p>
          <w:p w14:paraId="42532D17">
            <w:pPr>
              <w:tabs>
                <w:tab w:val="left" w:pos="1144"/>
              </w:tabs>
              <w:spacing w:line="360" w:lineRule="auto"/>
              <w:ind w:right="6"/>
              <w:jc w:val="center"/>
              <w:rPr>
                <w:rFonts w:hint="eastAsia"/>
                <w:b/>
                <w:bCs/>
                <w:color w:val="auto"/>
                <w:sz w:val="24"/>
                <w:szCs w:val="24"/>
              </w:rPr>
            </w:pPr>
            <w:r>
              <w:rPr>
                <w:rFonts w:hint="eastAsia"/>
                <w:b/>
                <w:bCs/>
                <w:color w:val="auto"/>
                <w:sz w:val="24"/>
                <w:szCs w:val="24"/>
              </w:rPr>
              <w:t>表4</w:t>
            </w:r>
            <w:r>
              <w:rPr>
                <w:rFonts w:hint="eastAsia"/>
                <w:b/>
                <w:bCs/>
                <w:color w:val="auto"/>
                <w:sz w:val="24"/>
                <w:szCs w:val="24"/>
                <w:lang w:val="en-US" w:eastAsia="zh-CN"/>
              </w:rPr>
              <w:t>-21</w:t>
            </w:r>
            <w:r>
              <w:rPr>
                <w:rFonts w:hint="eastAsia"/>
                <w:b/>
                <w:bCs/>
                <w:color w:val="auto"/>
                <w:sz w:val="24"/>
                <w:szCs w:val="24"/>
              </w:rPr>
              <w:t>副产物产生情况汇总表</w:t>
            </w:r>
          </w:p>
          <w:tbl>
            <w:tblPr>
              <w:tblStyle w:val="35"/>
              <w:tblW w:w="80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303"/>
              <w:gridCol w:w="1106"/>
              <w:gridCol w:w="683"/>
              <w:gridCol w:w="1089"/>
              <w:gridCol w:w="1015"/>
              <w:gridCol w:w="644"/>
              <w:gridCol w:w="651"/>
              <w:gridCol w:w="1107"/>
            </w:tblGrid>
            <w:tr w14:paraId="54055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4" w:hRule="atLeast"/>
                <w:jc w:val="center"/>
              </w:trPr>
              <w:tc>
                <w:tcPr>
                  <w:tcW w:w="272" w:type="pct"/>
                  <w:vMerge w:val="restart"/>
                  <w:vAlign w:val="center"/>
                </w:tcPr>
                <w:p w14:paraId="07D22F3C">
                  <w:pPr>
                    <w:jc w:val="center"/>
                    <w:rPr>
                      <w:rFonts w:eastAsiaTheme="minorEastAsia"/>
                      <w:b/>
                      <w:color w:val="auto"/>
                      <w:szCs w:val="21"/>
                    </w:rPr>
                  </w:pPr>
                  <w:r>
                    <w:rPr>
                      <w:rFonts w:eastAsiaTheme="minorEastAsia"/>
                      <w:b/>
                      <w:color w:val="auto"/>
                      <w:szCs w:val="21"/>
                    </w:rPr>
                    <w:t>序号</w:t>
                  </w:r>
                </w:p>
              </w:tc>
              <w:tc>
                <w:tcPr>
                  <w:tcW w:w="810" w:type="pct"/>
                  <w:vMerge w:val="restart"/>
                  <w:vAlign w:val="center"/>
                </w:tcPr>
                <w:p w14:paraId="5AF8A52C">
                  <w:pPr>
                    <w:jc w:val="center"/>
                    <w:rPr>
                      <w:rFonts w:eastAsiaTheme="minorEastAsia"/>
                      <w:b/>
                      <w:color w:val="auto"/>
                      <w:szCs w:val="21"/>
                    </w:rPr>
                  </w:pPr>
                  <w:r>
                    <w:rPr>
                      <w:rFonts w:eastAsiaTheme="minorEastAsia"/>
                      <w:b/>
                      <w:color w:val="auto"/>
                      <w:szCs w:val="21"/>
                    </w:rPr>
                    <w:t>副产物名称</w:t>
                  </w:r>
                </w:p>
              </w:tc>
              <w:tc>
                <w:tcPr>
                  <w:tcW w:w="688" w:type="pct"/>
                  <w:vMerge w:val="restart"/>
                  <w:vAlign w:val="center"/>
                </w:tcPr>
                <w:p w14:paraId="5C72C79D">
                  <w:pPr>
                    <w:jc w:val="center"/>
                    <w:rPr>
                      <w:rFonts w:eastAsiaTheme="minorEastAsia"/>
                      <w:b/>
                      <w:color w:val="auto"/>
                      <w:szCs w:val="21"/>
                    </w:rPr>
                  </w:pPr>
                  <w:r>
                    <w:rPr>
                      <w:rFonts w:eastAsiaTheme="minorEastAsia"/>
                      <w:b/>
                      <w:color w:val="auto"/>
                      <w:szCs w:val="21"/>
                    </w:rPr>
                    <w:t>产生</w:t>
                  </w:r>
                </w:p>
                <w:p w14:paraId="13686B4C">
                  <w:pPr>
                    <w:jc w:val="center"/>
                    <w:rPr>
                      <w:rFonts w:eastAsiaTheme="minorEastAsia"/>
                      <w:b/>
                      <w:color w:val="auto"/>
                      <w:szCs w:val="21"/>
                    </w:rPr>
                  </w:pPr>
                  <w:r>
                    <w:rPr>
                      <w:rFonts w:eastAsiaTheme="minorEastAsia"/>
                      <w:b/>
                      <w:color w:val="auto"/>
                      <w:szCs w:val="21"/>
                    </w:rPr>
                    <w:t>工序</w:t>
                  </w:r>
                </w:p>
              </w:tc>
              <w:tc>
                <w:tcPr>
                  <w:tcW w:w="424" w:type="pct"/>
                  <w:vMerge w:val="restart"/>
                  <w:vAlign w:val="center"/>
                </w:tcPr>
                <w:p w14:paraId="6DA5AB94">
                  <w:pPr>
                    <w:jc w:val="center"/>
                    <w:rPr>
                      <w:rFonts w:eastAsiaTheme="minorEastAsia"/>
                      <w:b/>
                      <w:color w:val="auto"/>
                      <w:szCs w:val="21"/>
                    </w:rPr>
                  </w:pPr>
                  <w:r>
                    <w:rPr>
                      <w:rFonts w:eastAsiaTheme="minorEastAsia"/>
                      <w:b/>
                      <w:color w:val="auto"/>
                      <w:szCs w:val="21"/>
                    </w:rPr>
                    <w:t>形态</w:t>
                  </w:r>
                </w:p>
              </w:tc>
              <w:tc>
                <w:tcPr>
                  <w:tcW w:w="677" w:type="pct"/>
                  <w:vMerge w:val="restart"/>
                  <w:vAlign w:val="center"/>
                </w:tcPr>
                <w:p w14:paraId="4A6DEF0A">
                  <w:pPr>
                    <w:jc w:val="center"/>
                    <w:rPr>
                      <w:rFonts w:eastAsiaTheme="minorEastAsia"/>
                      <w:b/>
                      <w:color w:val="auto"/>
                      <w:szCs w:val="21"/>
                    </w:rPr>
                  </w:pPr>
                  <w:r>
                    <w:rPr>
                      <w:rFonts w:eastAsiaTheme="minorEastAsia"/>
                      <w:b/>
                      <w:color w:val="auto"/>
                      <w:szCs w:val="21"/>
                    </w:rPr>
                    <w:t>主要</w:t>
                  </w:r>
                </w:p>
                <w:p w14:paraId="4BFEADE7">
                  <w:pPr>
                    <w:jc w:val="center"/>
                    <w:rPr>
                      <w:rFonts w:eastAsiaTheme="minorEastAsia"/>
                      <w:b/>
                      <w:color w:val="auto"/>
                      <w:szCs w:val="21"/>
                    </w:rPr>
                  </w:pPr>
                  <w:r>
                    <w:rPr>
                      <w:rFonts w:eastAsiaTheme="minorEastAsia"/>
                      <w:b/>
                      <w:color w:val="auto"/>
                      <w:szCs w:val="21"/>
                    </w:rPr>
                    <w:t>成分</w:t>
                  </w:r>
                </w:p>
              </w:tc>
              <w:tc>
                <w:tcPr>
                  <w:tcW w:w="631" w:type="pct"/>
                  <w:vMerge w:val="restart"/>
                  <w:vAlign w:val="center"/>
                </w:tcPr>
                <w:p w14:paraId="1B78C68B">
                  <w:pPr>
                    <w:jc w:val="center"/>
                    <w:rPr>
                      <w:rFonts w:eastAsiaTheme="minorEastAsia"/>
                      <w:b/>
                      <w:color w:val="auto"/>
                      <w:szCs w:val="21"/>
                    </w:rPr>
                  </w:pPr>
                  <w:r>
                    <w:rPr>
                      <w:rFonts w:eastAsiaTheme="minorEastAsia"/>
                      <w:b/>
                      <w:color w:val="auto"/>
                      <w:szCs w:val="21"/>
                    </w:rPr>
                    <w:t>预测产生量（吨/年）</w:t>
                  </w:r>
                </w:p>
              </w:tc>
              <w:tc>
                <w:tcPr>
                  <w:tcW w:w="1494" w:type="pct"/>
                  <w:gridSpan w:val="3"/>
                  <w:vAlign w:val="center"/>
                </w:tcPr>
                <w:p w14:paraId="094C6BD4">
                  <w:pPr>
                    <w:jc w:val="center"/>
                    <w:rPr>
                      <w:rFonts w:eastAsiaTheme="minorEastAsia"/>
                      <w:b/>
                      <w:color w:val="auto"/>
                      <w:szCs w:val="21"/>
                    </w:rPr>
                  </w:pPr>
                  <w:r>
                    <w:rPr>
                      <w:rFonts w:eastAsiaTheme="minorEastAsia"/>
                      <w:b/>
                      <w:color w:val="auto"/>
                      <w:szCs w:val="21"/>
                    </w:rPr>
                    <w:t>种类判断</w:t>
                  </w:r>
                </w:p>
              </w:tc>
            </w:tr>
            <w:tr w14:paraId="5643E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72" w:type="pct"/>
                  <w:vMerge w:val="continue"/>
                  <w:vAlign w:val="center"/>
                </w:tcPr>
                <w:p w14:paraId="46F85E2C">
                  <w:pPr>
                    <w:jc w:val="center"/>
                    <w:rPr>
                      <w:rFonts w:eastAsiaTheme="minorEastAsia"/>
                      <w:b/>
                      <w:color w:val="auto"/>
                      <w:szCs w:val="21"/>
                    </w:rPr>
                  </w:pPr>
                </w:p>
              </w:tc>
              <w:tc>
                <w:tcPr>
                  <w:tcW w:w="810" w:type="pct"/>
                  <w:vMerge w:val="continue"/>
                  <w:vAlign w:val="center"/>
                </w:tcPr>
                <w:p w14:paraId="179C3876">
                  <w:pPr>
                    <w:jc w:val="center"/>
                    <w:rPr>
                      <w:rFonts w:eastAsiaTheme="minorEastAsia"/>
                      <w:b/>
                      <w:color w:val="auto"/>
                      <w:szCs w:val="21"/>
                    </w:rPr>
                  </w:pPr>
                </w:p>
              </w:tc>
              <w:tc>
                <w:tcPr>
                  <w:tcW w:w="688" w:type="pct"/>
                  <w:vMerge w:val="continue"/>
                  <w:vAlign w:val="center"/>
                </w:tcPr>
                <w:p w14:paraId="73C7F733">
                  <w:pPr>
                    <w:jc w:val="center"/>
                    <w:rPr>
                      <w:rFonts w:eastAsiaTheme="minorEastAsia"/>
                      <w:b/>
                      <w:color w:val="auto"/>
                      <w:szCs w:val="21"/>
                    </w:rPr>
                  </w:pPr>
                </w:p>
              </w:tc>
              <w:tc>
                <w:tcPr>
                  <w:tcW w:w="424" w:type="pct"/>
                  <w:vMerge w:val="continue"/>
                  <w:vAlign w:val="center"/>
                </w:tcPr>
                <w:p w14:paraId="19847725">
                  <w:pPr>
                    <w:jc w:val="center"/>
                    <w:rPr>
                      <w:rFonts w:eastAsiaTheme="minorEastAsia"/>
                      <w:b/>
                      <w:color w:val="auto"/>
                      <w:szCs w:val="21"/>
                    </w:rPr>
                  </w:pPr>
                </w:p>
              </w:tc>
              <w:tc>
                <w:tcPr>
                  <w:tcW w:w="677" w:type="pct"/>
                  <w:vMerge w:val="continue"/>
                  <w:vAlign w:val="center"/>
                </w:tcPr>
                <w:p w14:paraId="1AC0FA40">
                  <w:pPr>
                    <w:jc w:val="center"/>
                    <w:rPr>
                      <w:rFonts w:eastAsiaTheme="minorEastAsia"/>
                      <w:b/>
                      <w:color w:val="auto"/>
                      <w:szCs w:val="21"/>
                    </w:rPr>
                  </w:pPr>
                </w:p>
              </w:tc>
              <w:tc>
                <w:tcPr>
                  <w:tcW w:w="631" w:type="pct"/>
                  <w:vMerge w:val="continue"/>
                  <w:vAlign w:val="center"/>
                </w:tcPr>
                <w:p w14:paraId="51DFA515">
                  <w:pPr>
                    <w:jc w:val="center"/>
                    <w:rPr>
                      <w:rFonts w:eastAsiaTheme="minorEastAsia"/>
                      <w:b/>
                      <w:color w:val="auto"/>
                      <w:szCs w:val="21"/>
                    </w:rPr>
                  </w:pPr>
                </w:p>
              </w:tc>
              <w:tc>
                <w:tcPr>
                  <w:tcW w:w="400" w:type="pct"/>
                  <w:vAlign w:val="center"/>
                </w:tcPr>
                <w:p w14:paraId="0B1EA3F1">
                  <w:pPr>
                    <w:jc w:val="center"/>
                    <w:rPr>
                      <w:rFonts w:eastAsiaTheme="minorEastAsia"/>
                      <w:b/>
                      <w:color w:val="auto"/>
                      <w:szCs w:val="21"/>
                    </w:rPr>
                  </w:pPr>
                  <w:r>
                    <w:rPr>
                      <w:rFonts w:eastAsiaTheme="minorEastAsia"/>
                      <w:b/>
                      <w:color w:val="auto"/>
                      <w:szCs w:val="21"/>
                    </w:rPr>
                    <w:t>固体</w:t>
                  </w:r>
                </w:p>
                <w:p w14:paraId="43A6EB65">
                  <w:pPr>
                    <w:jc w:val="center"/>
                    <w:rPr>
                      <w:rFonts w:eastAsiaTheme="minorEastAsia"/>
                      <w:b/>
                      <w:color w:val="auto"/>
                      <w:szCs w:val="21"/>
                    </w:rPr>
                  </w:pPr>
                  <w:r>
                    <w:rPr>
                      <w:rFonts w:eastAsiaTheme="minorEastAsia"/>
                      <w:b/>
                      <w:color w:val="auto"/>
                      <w:szCs w:val="21"/>
                    </w:rPr>
                    <w:t>废物</w:t>
                  </w:r>
                </w:p>
              </w:tc>
              <w:tc>
                <w:tcPr>
                  <w:tcW w:w="405" w:type="pct"/>
                  <w:vAlign w:val="center"/>
                </w:tcPr>
                <w:p w14:paraId="42DD7B06">
                  <w:pPr>
                    <w:jc w:val="center"/>
                    <w:rPr>
                      <w:rFonts w:eastAsiaTheme="minorEastAsia"/>
                      <w:b/>
                      <w:color w:val="auto"/>
                      <w:szCs w:val="21"/>
                    </w:rPr>
                  </w:pPr>
                  <w:r>
                    <w:rPr>
                      <w:rFonts w:eastAsiaTheme="minorEastAsia"/>
                      <w:b/>
                      <w:color w:val="auto"/>
                      <w:szCs w:val="21"/>
                    </w:rPr>
                    <w:t>副产品</w:t>
                  </w:r>
                </w:p>
              </w:tc>
              <w:tc>
                <w:tcPr>
                  <w:tcW w:w="688" w:type="pct"/>
                  <w:vAlign w:val="center"/>
                </w:tcPr>
                <w:p w14:paraId="4C81481F">
                  <w:pPr>
                    <w:jc w:val="center"/>
                    <w:rPr>
                      <w:rFonts w:eastAsiaTheme="minorEastAsia"/>
                      <w:b/>
                      <w:color w:val="auto"/>
                      <w:szCs w:val="21"/>
                    </w:rPr>
                  </w:pPr>
                  <w:r>
                    <w:rPr>
                      <w:rFonts w:eastAsiaTheme="minorEastAsia"/>
                      <w:b/>
                      <w:color w:val="auto"/>
                      <w:szCs w:val="21"/>
                    </w:rPr>
                    <w:t>判定依据</w:t>
                  </w:r>
                </w:p>
              </w:tc>
            </w:tr>
            <w:tr w14:paraId="70FF4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72" w:type="pct"/>
                  <w:vAlign w:val="center"/>
                </w:tcPr>
                <w:p w14:paraId="52CDC504">
                  <w:pPr>
                    <w:jc w:val="center"/>
                    <w:rPr>
                      <w:rFonts w:hint="eastAsia" w:eastAsiaTheme="minorEastAsia"/>
                      <w:color w:val="auto"/>
                      <w:szCs w:val="21"/>
                      <w:lang w:eastAsia="zh-CN"/>
                    </w:rPr>
                  </w:pPr>
                  <w:r>
                    <w:rPr>
                      <w:rFonts w:hint="eastAsia" w:eastAsiaTheme="minorEastAsia"/>
                      <w:color w:val="auto"/>
                      <w:szCs w:val="21"/>
                      <w:lang w:eastAsia="zh-CN"/>
                    </w:rPr>
                    <w:t>1</w:t>
                  </w:r>
                </w:p>
              </w:tc>
              <w:tc>
                <w:tcPr>
                  <w:tcW w:w="810" w:type="pct"/>
                  <w:vAlign w:val="center"/>
                </w:tcPr>
                <w:p w14:paraId="230F51DC">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焊渣</w:t>
                  </w:r>
                </w:p>
              </w:tc>
              <w:tc>
                <w:tcPr>
                  <w:tcW w:w="688" w:type="pct"/>
                  <w:shd w:val="clear" w:color="auto" w:fill="auto"/>
                  <w:vAlign w:val="center"/>
                </w:tcPr>
                <w:p w14:paraId="10BA654F">
                  <w:pPr>
                    <w:jc w:val="center"/>
                    <w:rPr>
                      <w:rFonts w:hint="default" w:eastAsiaTheme="minorEastAsia"/>
                      <w:color w:val="auto"/>
                      <w:szCs w:val="21"/>
                      <w:lang w:val="en-US" w:eastAsia="zh-CN"/>
                    </w:rPr>
                  </w:pPr>
                  <w:r>
                    <w:rPr>
                      <w:rFonts w:hint="eastAsia" w:eastAsiaTheme="minorEastAsia"/>
                      <w:color w:val="auto"/>
                      <w:szCs w:val="21"/>
                      <w:lang w:val="en-US" w:eastAsia="zh-CN"/>
                    </w:rPr>
                    <w:t>焊接</w:t>
                  </w:r>
                </w:p>
              </w:tc>
              <w:tc>
                <w:tcPr>
                  <w:tcW w:w="424" w:type="pct"/>
                  <w:shd w:val="clear" w:color="auto" w:fill="auto"/>
                  <w:vAlign w:val="center"/>
                </w:tcPr>
                <w:p w14:paraId="3BA9FB4B">
                  <w:pPr>
                    <w:jc w:val="center"/>
                    <w:rPr>
                      <w:rFonts w:hint="default" w:eastAsiaTheme="minorEastAsia"/>
                      <w:color w:val="FF0000"/>
                      <w:szCs w:val="21"/>
                      <w:lang w:val="en-US" w:eastAsia="zh-CN"/>
                    </w:rPr>
                  </w:pPr>
                  <w:r>
                    <w:rPr>
                      <w:color w:val="auto"/>
                      <w:szCs w:val="21"/>
                    </w:rPr>
                    <w:t>固态</w:t>
                  </w:r>
                </w:p>
              </w:tc>
              <w:tc>
                <w:tcPr>
                  <w:tcW w:w="677" w:type="pct"/>
                  <w:shd w:val="clear" w:color="auto" w:fill="auto"/>
                  <w:vAlign w:val="center"/>
                </w:tcPr>
                <w:p w14:paraId="49E11918">
                  <w:pPr>
                    <w:jc w:val="center"/>
                    <w:rPr>
                      <w:rFonts w:hint="default" w:eastAsiaTheme="minorEastAsia"/>
                      <w:color w:val="FF0000"/>
                      <w:szCs w:val="21"/>
                      <w:lang w:val="en-US" w:eastAsia="zh-CN"/>
                    </w:rPr>
                  </w:pPr>
                  <w:r>
                    <w:rPr>
                      <w:rFonts w:hint="eastAsia" w:cs="Times New Roman" w:eastAsiaTheme="minorEastAsia"/>
                      <w:color w:val="auto"/>
                      <w:kern w:val="2"/>
                      <w:sz w:val="21"/>
                      <w:szCs w:val="21"/>
                      <w:lang w:val="en-US" w:eastAsia="zh-CN" w:bidi="ar-SA"/>
                    </w:rPr>
                    <w:t>金属氧化物</w:t>
                  </w:r>
                </w:p>
              </w:tc>
              <w:tc>
                <w:tcPr>
                  <w:tcW w:w="631" w:type="pct"/>
                  <w:vAlign w:val="center"/>
                </w:tcPr>
                <w:p w14:paraId="3E38471F">
                  <w:pPr>
                    <w:jc w:val="center"/>
                    <w:rPr>
                      <w:rFonts w:hint="default" w:eastAsiaTheme="minorEastAsia"/>
                      <w:color w:val="auto"/>
                      <w:szCs w:val="21"/>
                      <w:lang w:val="en-US" w:eastAsia="zh-CN"/>
                    </w:rPr>
                  </w:pPr>
                  <w:r>
                    <w:rPr>
                      <w:rFonts w:hint="eastAsia" w:eastAsiaTheme="minorEastAsia"/>
                      <w:color w:val="auto"/>
                      <w:szCs w:val="21"/>
                      <w:lang w:val="en-US" w:eastAsia="zh-CN"/>
                    </w:rPr>
                    <w:t>0.005</w:t>
                  </w:r>
                </w:p>
              </w:tc>
              <w:tc>
                <w:tcPr>
                  <w:tcW w:w="400" w:type="pct"/>
                  <w:vAlign w:val="center"/>
                </w:tcPr>
                <w:p w14:paraId="67350CAC">
                  <w:pPr>
                    <w:widowControl/>
                    <w:spacing w:line="240" w:lineRule="atLeast"/>
                    <w:jc w:val="center"/>
                    <w:rPr>
                      <w:rFonts w:ascii="Times New Roman" w:hAnsi="Times New Roman" w:eastAsia="宋体" w:cs="Times New Roman"/>
                      <w:color w:val="auto"/>
                      <w:kern w:val="2"/>
                      <w:sz w:val="21"/>
                      <w:szCs w:val="21"/>
                      <w:lang w:val="en-US" w:eastAsia="zh-CN" w:bidi="ar-SA"/>
                    </w:rPr>
                  </w:pPr>
                  <w:r>
                    <w:rPr>
                      <w:color w:val="auto"/>
                      <w:szCs w:val="21"/>
                    </w:rPr>
                    <w:t>√</w:t>
                  </w:r>
                </w:p>
              </w:tc>
              <w:tc>
                <w:tcPr>
                  <w:tcW w:w="405" w:type="pct"/>
                  <w:vAlign w:val="center"/>
                </w:tcPr>
                <w:p w14:paraId="7D146B9D">
                  <w:pPr>
                    <w:widowControl/>
                    <w:spacing w:line="240" w:lineRule="atLeast"/>
                    <w:jc w:val="center"/>
                    <w:rPr>
                      <w:rFonts w:ascii="Times New Roman" w:hAnsi="Times New Roman" w:eastAsia="宋体" w:cs="Times New Roman"/>
                      <w:color w:val="auto"/>
                      <w:kern w:val="2"/>
                      <w:sz w:val="21"/>
                      <w:szCs w:val="21"/>
                      <w:lang w:val="en-US" w:eastAsia="zh-CN" w:bidi="ar-SA"/>
                    </w:rPr>
                  </w:pPr>
                  <w:r>
                    <w:rPr>
                      <w:color w:val="auto"/>
                      <w:szCs w:val="21"/>
                    </w:rPr>
                    <w:t>/</w:t>
                  </w:r>
                </w:p>
              </w:tc>
              <w:tc>
                <w:tcPr>
                  <w:tcW w:w="688" w:type="pct"/>
                  <w:vMerge w:val="restart"/>
                  <w:vAlign w:val="center"/>
                </w:tcPr>
                <w:p w14:paraId="3609C389">
                  <w:pPr>
                    <w:jc w:val="center"/>
                    <w:rPr>
                      <w:rFonts w:hint="eastAsia" w:eastAsiaTheme="minorEastAsia"/>
                      <w:color w:val="auto"/>
                      <w:szCs w:val="21"/>
                      <w:lang w:eastAsia="zh-CN"/>
                    </w:rPr>
                  </w:pPr>
                  <w:r>
                    <w:rPr>
                      <w:rFonts w:hint="eastAsia" w:eastAsiaTheme="minorEastAsia"/>
                      <w:color w:val="auto"/>
                      <w:szCs w:val="21"/>
                      <w:lang w:eastAsia="zh-CN"/>
                    </w:rPr>
                    <w:t>固体废物鉴别标准 通则（GB 34330-2025）</w:t>
                  </w:r>
                </w:p>
              </w:tc>
            </w:tr>
            <w:tr w14:paraId="45D26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72" w:type="pct"/>
                  <w:vAlign w:val="center"/>
                </w:tcPr>
                <w:p w14:paraId="60BB7B24">
                  <w:pPr>
                    <w:jc w:val="center"/>
                    <w:rPr>
                      <w:rFonts w:hint="eastAsia" w:eastAsiaTheme="minorEastAsia"/>
                      <w:color w:val="auto"/>
                      <w:szCs w:val="21"/>
                      <w:lang w:val="en-US" w:eastAsia="zh-CN"/>
                    </w:rPr>
                  </w:pPr>
                  <w:r>
                    <w:rPr>
                      <w:rFonts w:hint="eastAsia" w:eastAsiaTheme="minorEastAsia"/>
                      <w:color w:val="auto"/>
                      <w:szCs w:val="21"/>
                      <w:lang w:val="en-US" w:eastAsia="zh-CN"/>
                    </w:rPr>
                    <w:t>2</w:t>
                  </w:r>
                </w:p>
              </w:tc>
              <w:tc>
                <w:tcPr>
                  <w:tcW w:w="810" w:type="pct"/>
                  <w:vAlign w:val="center"/>
                </w:tcPr>
                <w:p w14:paraId="3AB38811">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废抹布、手套（含酒精）</w:t>
                  </w:r>
                </w:p>
              </w:tc>
              <w:tc>
                <w:tcPr>
                  <w:tcW w:w="688" w:type="pct"/>
                  <w:shd w:val="clear" w:color="auto" w:fill="auto"/>
                  <w:vAlign w:val="center"/>
                </w:tcPr>
                <w:p w14:paraId="7958534F">
                  <w:pPr>
                    <w:jc w:val="center"/>
                    <w:rPr>
                      <w:rFonts w:hint="default" w:eastAsiaTheme="minorEastAsia"/>
                      <w:color w:val="auto"/>
                      <w:szCs w:val="21"/>
                      <w:lang w:val="en-US" w:eastAsia="zh-CN"/>
                    </w:rPr>
                  </w:pPr>
                  <w:r>
                    <w:rPr>
                      <w:rFonts w:hint="eastAsia" w:eastAsiaTheme="minorEastAsia"/>
                      <w:color w:val="auto"/>
                      <w:szCs w:val="21"/>
                      <w:lang w:val="en-US" w:eastAsia="zh-CN"/>
                    </w:rPr>
                    <w:t>擦拭</w:t>
                  </w:r>
                </w:p>
              </w:tc>
              <w:tc>
                <w:tcPr>
                  <w:tcW w:w="424" w:type="pct"/>
                  <w:shd w:val="clear" w:color="auto" w:fill="auto"/>
                  <w:vAlign w:val="center"/>
                </w:tcPr>
                <w:p w14:paraId="7000EAFC">
                  <w:pPr>
                    <w:jc w:val="center"/>
                    <w:rPr>
                      <w:rFonts w:hint="default" w:eastAsiaTheme="minorEastAsia"/>
                      <w:color w:val="auto"/>
                      <w:szCs w:val="21"/>
                      <w:lang w:val="en-US" w:eastAsia="zh-CN"/>
                    </w:rPr>
                  </w:pPr>
                  <w:r>
                    <w:rPr>
                      <w:color w:val="auto"/>
                      <w:szCs w:val="21"/>
                    </w:rPr>
                    <w:t>固态</w:t>
                  </w:r>
                </w:p>
              </w:tc>
              <w:tc>
                <w:tcPr>
                  <w:tcW w:w="677" w:type="pct"/>
                  <w:shd w:val="clear" w:color="auto" w:fill="auto"/>
                  <w:vAlign w:val="center"/>
                </w:tcPr>
                <w:p w14:paraId="7A15F09E">
                  <w:pPr>
                    <w:jc w:val="center"/>
                    <w:rPr>
                      <w:rFonts w:hint="default" w:eastAsiaTheme="minorEastAsia"/>
                      <w:color w:val="auto"/>
                      <w:szCs w:val="21"/>
                      <w:lang w:val="en-US" w:eastAsia="zh-CN"/>
                    </w:rPr>
                  </w:pPr>
                  <w:r>
                    <w:rPr>
                      <w:rFonts w:hint="eastAsia" w:eastAsiaTheme="minorEastAsia"/>
                      <w:color w:val="auto"/>
                      <w:szCs w:val="21"/>
                      <w:lang w:val="en-US" w:eastAsia="zh-CN"/>
                    </w:rPr>
                    <w:t>棉、酒精</w:t>
                  </w:r>
                </w:p>
              </w:tc>
              <w:tc>
                <w:tcPr>
                  <w:tcW w:w="631" w:type="pct"/>
                  <w:vAlign w:val="center"/>
                </w:tcPr>
                <w:p w14:paraId="3F125C2B">
                  <w:pPr>
                    <w:jc w:val="center"/>
                    <w:rPr>
                      <w:rFonts w:hint="default" w:eastAsiaTheme="minorEastAsia"/>
                      <w:color w:val="auto"/>
                      <w:szCs w:val="21"/>
                      <w:lang w:val="en-US" w:eastAsia="zh-CN"/>
                    </w:rPr>
                  </w:pPr>
                  <w:r>
                    <w:rPr>
                      <w:rFonts w:hint="eastAsia" w:eastAsiaTheme="minorEastAsia"/>
                      <w:color w:val="auto"/>
                      <w:szCs w:val="21"/>
                      <w:lang w:val="en-US" w:eastAsia="zh-CN"/>
                    </w:rPr>
                    <w:t>0.05</w:t>
                  </w:r>
                </w:p>
              </w:tc>
              <w:tc>
                <w:tcPr>
                  <w:tcW w:w="400" w:type="pct"/>
                  <w:vAlign w:val="center"/>
                </w:tcPr>
                <w:p w14:paraId="4630699E">
                  <w:pPr>
                    <w:widowControl/>
                    <w:spacing w:line="240" w:lineRule="atLeast"/>
                    <w:jc w:val="center"/>
                    <w:rPr>
                      <w:color w:val="auto"/>
                      <w:szCs w:val="21"/>
                    </w:rPr>
                  </w:pPr>
                  <w:r>
                    <w:rPr>
                      <w:color w:val="auto"/>
                      <w:szCs w:val="21"/>
                    </w:rPr>
                    <w:t>√</w:t>
                  </w:r>
                </w:p>
              </w:tc>
              <w:tc>
                <w:tcPr>
                  <w:tcW w:w="405" w:type="pct"/>
                  <w:vAlign w:val="center"/>
                </w:tcPr>
                <w:p w14:paraId="41E3D92F">
                  <w:pPr>
                    <w:widowControl/>
                    <w:spacing w:line="240" w:lineRule="atLeast"/>
                    <w:jc w:val="center"/>
                    <w:rPr>
                      <w:color w:val="auto"/>
                      <w:szCs w:val="21"/>
                    </w:rPr>
                  </w:pPr>
                  <w:r>
                    <w:rPr>
                      <w:color w:val="auto"/>
                      <w:szCs w:val="21"/>
                    </w:rPr>
                    <w:t>/</w:t>
                  </w:r>
                </w:p>
              </w:tc>
              <w:tc>
                <w:tcPr>
                  <w:tcW w:w="688" w:type="pct"/>
                  <w:vMerge w:val="continue"/>
                  <w:vAlign w:val="center"/>
                </w:tcPr>
                <w:p w14:paraId="59D30972">
                  <w:pPr>
                    <w:jc w:val="center"/>
                    <w:rPr>
                      <w:color w:val="auto"/>
                      <w:szCs w:val="21"/>
                    </w:rPr>
                  </w:pPr>
                </w:p>
              </w:tc>
            </w:tr>
            <w:tr w14:paraId="1F001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72" w:type="pct"/>
                  <w:vAlign w:val="center"/>
                </w:tcPr>
                <w:p w14:paraId="18D544EF">
                  <w:pPr>
                    <w:jc w:val="center"/>
                    <w:rPr>
                      <w:rFonts w:hint="default" w:eastAsiaTheme="minorEastAsia"/>
                      <w:color w:val="auto"/>
                      <w:szCs w:val="21"/>
                      <w:lang w:val="en-US" w:eastAsia="zh-CN"/>
                    </w:rPr>
                  </w:pPr>
                  <w:r>
                    <w:rPr>
                      <w:rFonts w:hint="eastAsia" w:eastAsiaTheme="minorEastAsia"/>
                      <w:color w:val="auto"/>
                      <w:szCs w:val="21"/>
                      <w:lang w:val="en-US" w:eastAsia="zh-CN"/>
                    </w:rPr>
                    <w:t>3</w:t>
                  </w:r>
                </w:p>
              </w:tc>
              <w:tc>
                <w:tcPr>
                  <w:tcW w:w="810" w:type="pct"/>
                  <w:vAlign w:val="center"/>
                </w:tcPr>
                <w:p w14:paraId="5261FB17">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废活性炭</w:t>
                  </w:r>
                </w:p>
              </w:tc>
              <w:tc>
                <w:tcPr>
                  <w:tcW w:w="688" w:type="pct"/>
                  <w:shd w:val="clear" w:color="auto" w:fill="auto"/>
                  <w:vAlign w:val="center"/>
                </w:tcPr>
                <w:p w14:paraId="396D7790">
                  <w:pPr>
                    <w:jc w:val="center"/>
                    <w:rPr>
                      <w:rFonts w:hint="default" w:eastAsiaTheme="minorEastAsia"/>
                      <w:color w:val="auto"/>
                      <w:szCs w:val="21"/>
                      <w:lang w:val="en-US" w:eastAsia="zh-CN"/>
                    </w:rPr>
                  </w:pPr>
                  <w:r>
                    <w:rPr>
                      <w:rFonts w:hint="eastAsia" w:eastAsiaTheme="minorEastAsia"/>
                      <w:color w:val="auto"/>
                      <w:szCs w:val="21"/>
                      <w:lang w:val="en-US" w:eastAsia="zh-CN"/>
                    </w:rPr>
                    <w:t>废气处理</w:t>
                  </w:r>
                </w:p>
              </w:tc>
              <w:tc>
                <w:tcPr>
                  <w:tcW w:w="424" w:type="pct"/>
                  <w:shd w:val="clear" w:color="auto" w:fill="auto"/>
                  <w:vAlign w:val="center"/>
                </w:tcPr>
                <w:p w14:paraId="6BB45AFD">
                  <w:pPr>
                    <w:jc w:val="center"/>
                    <w:rPr>
                      <w:rFonts w:hint="default" w:eastAsiaTheme="minorEastAsia"/>
                      <w:color w:val="FF0000"/>
                      <w:szCs w:val="21"/>
                      <w:lang w:val="en-US" w:eastAsia="zh-CN"/>
                    </w:rPr>
                  </w:pPr>
                  <w:r>
                    <w:rPr>
                      <w:color w:val="auto"/>
                      <w:szCs w:val="21"/>
                    </w:rPr>
                    <w:t>固态</w:t>
                  </w:r>
                </w:p>
              </w:tc>
              <w:tc>
                <w:tcPr>
                  <w:tcW w:w="677" w:type="pct"/>
                  <w:shd w:val="clear" w:color="auto" w:fill="auto"/>
                  <w:vAlign w:val="center"/>
                </w:tcPr>
                <w:p w14:paraId="682393FF">
                  <w:pPr>
                    <w:jc w:val="center"/>
                    <w:rPr>
                      <w:rFonts w:hint="default" w:eastAsiaTheme="minorEastAsia"/>
                      <w:color w:val="FF0000"/>
                      <w:szCs w:val="21"/>
                      <w:lang w:val="en-US" w:eastAsia="zh-CN"/>
                    </w:rPr>
                  </w:pPr>
                  <w:r>
                    <w:rPr>
                      <w:rFonts w:hint="eastAsia" w:eastAsiaTheme="minorEastAsia"/>
                      <w:color w:val="auto"/>
                      <w:szCs w:val="21"/>
                      <w:lang w:val="en-US" w:eastAsia="zh-CN"/>
                    </w:rPr>
                    <w:t>有机物、炭</w:t>
                  </w:r>
                </w:p>
              </w:tc>
              <w:tc>
                <w:tcPr>
                  <w:tcW w:w="631" w:type="pct"/>
                  <w:vAlign w:val="center"/>
                </w:tcPr>
                <w:p w14:paraId="1ABC7348">
                  <w:pPr>
                    <w:jc w:val="center"/>
                    <w:rPr>
                      <w:rFonts w:hint="default" w:eastAsiaTheme="minorEastAsia"/>
                      <w:color w:val="auto"/>
                      <w:szCs w:val="21"/>
                      <w:lang w:val="en-US" w:eastAsia="zh-CN"/>
                    </w:rPr>
                  </w:pPr>
                  <w:r>
                    <w:rPr>
                      <w:rFonts w:hint="eastAsia" w:eastAsiaTheme="minorEastAsia"/>
                      <w:color w:val="auto"/>
                      <w:szCs w:val="21"/>
                      <w:lang w:val="en-US" w:eastAsia="zh-CN"/>
                    </w:rPr>
                    <w:t>0.8</w:t>
                  </w:r>
                </w:p>
              </w:tc>
              <w:tc>
                <w:tcPr>
                  <w:tcW w:w="400" w:type="pct"/>
                  <w:vAlign w:val="center"/>
                </w:tcPr>
                <w:p w14:paraId="15068555">
                  <w:pPr>
                    <w:widowControl/>
                    <w:spacing w:line="240" w:lineRule="atLeast"/>
                    <w:jc w:val="center"/>
                    <w:rPr>
                      <w:color w:val="auto"/>
                      <w:szCs w:val="21"/>
                    </w:rPr>
                  </w:pPr>
                  <w:r>
                    <w:rPr>
                      <w:color w:val="auto"/>
                      <w:szCs w:val="21"/>
                    </w:rPr>
                    <w:t>√</w:t>
                  </w:r>
                </w:p>
              </w:tc>
              <w:tc>
                <w:tcPr>
                  <w:tcW w:w="405" w:type="pct"/>
                  <w:vAlign w:val="center"/>
                </w:tcPr>
                <w:p w14:paraId="615A4FD0">
                  <w:pPr>
                    <w:widowControl/>
                    <w:spacing w:line="240" w:lineRule="atLeast"/>
                    <w:jc w:val="center"/>
                    <w:rPr>
                      <w:color w:val="auto"/>
                      <w:szCs w:val="21"/>
                    </w:rPr>
                  </w:pPr>
                  <w:r>
                    <w:rPr>
                      <w:color w:val="auto"/>
                      <w:szCs w:val="21"/>
                    </w:rPr>
                    <w:t>/</w:t>
                  </w:r>
                </w:p>
              </w:tc>
              <w:tc>
                <w:tcPr>
                  <w:tcW w:w="688" w:type="pct"/>
                  <w:vMerge w:val="continue"/>
                  <w:vAlign w:val="center"/>
                </w:tcPr>
                <w:p w14:paraId="364099B0">
                  <w:pPr>
                    <w:jc w:val="center"/>
                    <w:rPr>
                      <w:rFonts w:eastAsiaTheme="minorEastAsia"/>
                      <w:color w:val="auto"/>
                      <w:szCs w:val="21"/>
                    </w:rPr>
                  </w:pPr>
                </w:p>
              </w:tc>
            </w:tr>
            <w:tr w14:paraId="3AC63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4" w:hRule="atLeast"/>
                <w:jc w:val="center"/>
              </w:trPr>
              <w:tc>
                <w:tcPr>
                  <w:tcW w:w="272" w:type="pct"/>
                  <w:vAlign w:val="center"/>
                </w:tcPr>
                <w:p w14:paraId="36BE1336">
                  <w:pPr>
                    <w:jc w:val="center"/>
                    <w:rPr>
                      <w:rFonts w:hint="default" w:eastAsiaTheme="minorEastAsia"/>
                      <w:color w:val="auto"/>
                      <w:szCs w:val="21"/>
                      <w:lang w:val="en-US" w:eastAsia="zh-CN"/>
                    </w:rPr>
                  </w:pPr>
                  <w:r>
                    <w:rPr>
                      <w:rFonts w:hint="eastAsia" w:eastAsiaTheme="minorEastAsia"/>
                      <w:color w:val="auto"/>
                      <w:szCs w:val="21"/>
                      <w:lang w:val="en-US" w:eastAsia="zh-CN"/>
                    </w:rPr>
                    <w:t>4</w:t>
                  </w:r>
                </w:p>
              </w:tc>
              <w:tc>
                <w:tcPr>
                  <w:tcW w:w="810" w:type="pct"/>
                  <w:vAlign w:val="center"/>
                </w:tcPr>
                <w:p w14:paraId="05F16DE1">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废滤芯</w:t>
                  </w:r>
                </w:p>
              </w:tc>
              <w:tc>
                <w:tcPr>
                  <w:tcW w:w="688" w:type="pct"/>
                  <w:shd w:val="clear" w:color="auto" w:fill="auto"/>
                  <w:vAlign w:val="center"/>
                </w:tcPr>
                <w:p w14:paraId="5D0803B0">
                  <w:pPr>
                    <w:jc w:val="center"/>
                    <w:rPr>
                      <w:rFonts w:hint="default" w:eastAsiaTheme="minorEastAsia"/>
                      <w:color w:val="auto"/>
                      <w:szCs w:val="21"/>
                      <w:lang w:val="en-US" w:eastAsia="zh-CN"/>
                    </w:rPr>
                  </w:pPr>
                  <w:r>
                    <w:rPr>
                      <w:rFonts w:hint="eastAsia" w:eastAsiaTheme="minorEastAsia"/>
                      <w:color w:val="auto"/>
                      <w:szCs w:val="21"/>
                      <w:lang w:val="en-US" w:eastAsia="zh-CN"/>
                    </w:rPr>
                    <w:t>废气处理</w:t>
                  </w:r>
                </w:p>
              </w:tc>
              <w:tc>
                <w:tcPr>
                  <w:tcW w:w="424" w:type="pct"/>
                  <w:shd w:val="clear" w:color="auto" w:fill="auto"/>
                  <w:vAlign w:val="center"/>
                </w:tcPr>
                <w:p w14:paraId="14C1DC17">
                  <w:pPr>
                    <w:jc w:val="center"/>
                    <w:rPr>
                      <w:rFonts w:hint="eastAsia" w:eastAsiaTheme="minorEastAsia"/>
                      <w:color w:val="FF0000"/>
                      <w:szCs w:val="21"/>
                      <w:lang w:val="en-US" w:eastAsia="zh-CN"/>
                    </w:rPr>
                  </w:pPr>
                  <w:r>
                    <w:rPr>
                      <w:color w:val="auto"/>
                      <w:szCs w:val="21"/>
                    </w:rPr>
                    <w:t>固态</w:t>
                  </w:r>
                </w:p>
              </w:tc>
              <w:tc>
                <w:tcPr>
                  <w:tcW w:w="677" w:type="pct"/>
                  <w:shd w:val="clear" w:color="auto" w:fill="auto"/>
                  <w:vAlign w:val="center"/>
                </w:tcPr>
                <w:p w14:paraId="4BB38D26">
                  <w:pPr>
                    <w:jc w:val="center"/>
                    <w:rPr>
                      <w:rFonts w:hint="default" w:eastAsiaTheme="minorEastAsia"/>
                      <w:color w:val="auto"/>
                      <w:szCs w:val="21"/>
                      <w:lang w:val="en-US" w:eastAsia="zh-CN"/>
                    </w:rPr>
                  </w:pPr>
                  <w:r>
                    <w:rPr>
                      <w:rFonts w:hint="eastAsia" w:eastAsiaTheme="minorEastAsia"/>
                      <w:color w:val="auto"/>
                      <w:szCs w:val="21"/>
                      <w:lang w:val="en-US" w:eastAsia="zh-CN"/>
                    </w:rPr>
                    <w:t>纤维、粉尘</w:t>
                  </w:r>
                </w:p>
              </w:tc>
              <w:tc>
                <w:tcPr>
                  <w:tcW w:w="631" w:type="pct"/>
                  <w:vAlign w:val="center"/>
                </w:tcPr>
                <w:p w14:paraId="16706AC7">
                  <w:pPr>
                    <w:jc w:val="center"/>
                    <w:rPr>
                      <w:rFonts w:hint="default" w:eastAsiaTheme="minorEastAsia"/>
                      <w:color w:val="auto"/>
                      <w:szCs w:val="21"/>
                      <w:lang w:val="en-US" w:eastAsia="zh-CN"/>
                    </w:rPr>
                  </w:pPr>
                  <w:r>
                    <w:rPr>
                      <w:rFonts w:hint="eastAsia" w:eastAsiaTheme="minorEastAsia"/>
                      <w:color w:val="auto"/>
                      <w:szCs w:val="21"/>
                      <w:lang w:val="en-US" w:eastAsia="zh-CN"/>
                    </w:rPr>
                    <w:t>0.012</w:t>
                  </w:r>
                </w:p>
              </w:tc>
              <w:tc>
                <w:tcPr>
                  <w:tcW w:w="400" w:type="pct"/>
                  <w:vAlign w:val="center"/>
                </w:tcPr>
                <w:p w14:paraId="4309874E">
                  <w:pPr>
                    <w:widowControl/>
                    <w:spacing w:line="240" w:lineRule="atLeast"/>
                    <w:jc w:val="center"/>
                    <w:rPr>
                      <w:color w:val="auto"/>
                      <w:szCs w:val="21"/>
                    </w:rPr>
                  </w:pPr>
                  <w:r>
                    <w:rPr>
                      <w:color w:val="auto"/>
                      <w:szCs w:val="21"/>
                    </w:rPr>
                    <w:t>√</w:t>
                  </w:r>
                </w:p>
              </w:tc>
              <w:tc>
                <w:tcPr>
                  <w:tcW w:w="405" w:type="pct"/>
                  <w:vAlign w:val="center"/>
                </w:tcPr>
                <w:p w14:paraId="1ACCA09E">
                  <w:pPr>
                    <w:widowControl/>
                    <w:spacing w:line="240" w:lineRule="atLeast"/>
                    <w:jc w:val="center"/>
                    <w:rPr>
                      <w:color w:val="auto"/>
                      <w:szCs w:val="21"/>
                    </w:rPr>
                  </w:pPr>
                  <w:r>
                    <w:rPr>
                      <w:color w:val="auto"/>
                      <w:szCs w:val="21"/>
                    </w:rPr>
                    <w:t>/</w:t>
                  </w:r>
                </w:p>
              </w:tc>
              <w:tc>
                <w:tcPr>
                  <w:tcW w:w="688" w:type="pct"/>
                  <w:vMerge w:val="continue"/>
                  <w:vAlign w:val="center"/>
                </w:tcPr>
                <w:p w14:paraId="6B9D145B">
                  <w:pPr>
                    <w:jc w:val="center"/>
                    <w:rPr>
                      <w:rFonts w:eastAsiaTheme="minorEastAsia"/>
                      <w:color w:val="auto"/>
                      <w:szCs w:val="21"/>
                    </w:rPr>
                  </w:pPr>
                </w:p>
              </w:tc>
            </w:tr>
            <w:tr w14:paraId="719B2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72" w:type="pct"/>
                  <w:vAlign w:val="center"/>
                </w:tcPr>
                <w:p w14:paraId="577D456C">
                  <w:pPr>
                    <w:jc w:val="center"/>
                    <w:rPr>
                      <w:rFonts w:hint="default" w:eastAsiaTheme="minorEastAsia"/>
                      <w:color w:val="auto"/>
                      <w:szCs w:val="21"/>
                      <w:lang w:val="en-US" w:eastAsia="zh-CN"/>
                    </w:rPr>
                  </w:pPr>
                  <w:r>
                    <w:rPr>
                      <w:rFonts w:hint="eastAsia" w:eastAsiaTheme="minorEastAsia"/>
                      <w:color w:val="auto"/>
                      <w:szCs w:val="21"/>
                      <w:lang w:val="en-US" w:eastAsia="zh-CN"/>
                    </w:rPr>
                    <w:t>5</w:t>
                  </w:r>
                </w:p>
              </w:tc>
              <w:tc>
                <w:tcPr>
                  <w:tcW w:w="810" w:type="pct"/>
                  <w:vAlign w:val="center"/>
                </w:tcPr>
                <w:p w14:paraId="1DF9654F">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废包装容器</w:t>
                  </w:r>
                </w:p>
              </w:tc>
              <w:tc>
                <w:tcPr>
                  <w:tcW w:w="688" w:type="pct"/>
                  <w:shd w:val="clear" w:color="auto" w:fill="auto"/>
                  <w:vAlign w:val="center"/>
                </w:tcPr>
                <w:p w14:paraId="53FB5BE4">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原料包装</w:t>
                  </w:r>
                </w:p>
              </w:tc>
              <w:tc>
                <w:tcPr>
                  <w:tcW w:w="424" w:type="pct"/>
                  <w:shd w:val="clear" w:color="auto" w:fill="auto"/>
                  <w:vAlign w:val="center"/>
                </w:tcPr>
                <w:p w14:paraId="436307D7">
                  <w:pPr>
                    <w:widowControl/>
                    <w:jc w:val="center"/>
                    <w:rPr>
                      <w:rFonts w:hint="default" w:ascii="Times New Roman" w:hAnsi="Times New Roman" w:eastAsia="宋体" w:cs="Times New Roman"/>
                      <w:color w:val="auto"/>
                      <w:kern w:val="2"/>
                      <w:sz w:val="21"/>
                      <w:szCs w:val="21"/>
                      <w:lang w:val="en-US" w:eastAsia="zh-CN" w:bidi="ar-SA"/>
                    </w:rPr>
                  </w:pPr>
                  <w:r>
                    <w:rPr>
                      <w:color w:val="auto"/>
                      <w:szCs w:val="21"/>
                    </w:rPr>
                    <w:t>固态</w:t>
                  </w:r>
                </w:p>
              </w:tc>
              <w:tc>
                <w:tcPr>
                  <w:tcW w:w="677" w:type="pct"/>
                  <w:shd w:val="clear" w:color="auto" w:fill="auto"/>
                  <w:vAlign w:val="center"/>
                </w:tcPr>
                <w:p w14:paraId="1A4D6167">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有机物、金属</w:t>
                  </w:r>
                </w:p>
              </w:tc>
              <w:tc>
                <w:tcPr>
                  <w:tcW w:w="631" w:type="pct"/>
                  <w:vAlign w:val="center"/>
                </w:tcPr>
                <w:p w14:paraId="4AA65DF1">
                  <w:pPr>
                    <w:jc w:val="center"/>
                    <w:rPr>
                      <w:rFonts w:hint="eastAsia" w:eastAsiaTheme="minorEastAsia"/>
                      <w:color w:val="auto"/>
                      <w:szCs w:val="21"/>
                      <w:lang w:val="en-US" w:eastAsia="zh-CN"/>
                    </w:rPr>
                  </w:pPr>
                  <w:r>
                    <w:rPr>
                      <w:rFonts w:hint="eastAsia" w:eastAsiaTheme="minorEastAsia"/>
                      <w:color w:val="auto"/>
                      <w:szCs w:val="21"/>
                      <w:lang w:val="en-US" w:eastAsia="zh-CN"/>
                    </w:rPr>
                    <w:t>0.3</w:t>
                  </w:r>
                </w:p>
              </w:tc>
              <w:tc>
                <w:tcPr>
                  <w:tcW w:w="400" w:type="pct"/>
                  <w:vAlign w:val="center"/>
                </w:tcPr>
                <w:p w14:paraId="139DEF90">
                  <w:pPr>
                    <w:widowControl/>
                    <w:spacing w:line="240" w:lineRule="atLeast"/>
                    <w:jc w:val="center"/>
                    <w:rPr>
                      <w:color w:val="auto"/>
                      <w:szCs w:val="21"/>
                    </w:rPr>
                  </w:pPr>
                  <w:r>
                    <w:rPr>
                      <w:color w:val="auto"/>
                      <w:szCs w:val="21"/>
                    </w:rPr>
                    <w:t>√</w:t>
                  </w:r>
                </w:p>
              </w:tc>
              <w:tc>
                <w:tcPr>
                  <w:tcW w:w="405" w:type="pct"/>
                  <w:vAlign w:val="center"/>
                </w:tcPr>
                <w:p w14:paraId="5C942BAD">
                  <w:pPr>
                    <w:widowControl/>
                    <w:spacing w:line="240" w:lineRule="atLeast"/>
                    <w:jc w:val="center"/>
                    <w:rPr>
                      <w:color w:val="auto"/>
                      <w:szCs w:val="21"/>
                    </w:rPr>
                  </w:pPr>
                  <w:r>
                    <w:rPr>
                      <w:color w:val="auto"/>
                      <w:szCs w:val="21"/>
                    </w:rPr>
                    <w:t>/</w:t>
                  </w:r>
                </w:p>
              </w:tc>
              <w:tc>
                <w:tcPr>
                  <w:tcW w:w="688" w:type="pct"/>
                  <w:vMerge w:val="continue"/>
                  <w:vAlign w:val="center"/>
                </w:tcPr>
                <w:p w14:paraId="6496FC1B">
                  <w:pPr>
                    <w:jc w:val="center"/>
                    <w:rPr>
                      <w:rFonts w:eastAsiaTheme="minorEastAsia"/>
                      <w:color w:val="auto"/>
                      <w:szCs w:val="21"/>
                    </w:rPr>
                  </w:pPr>
                </w:p>
              </w:tc>
            </w:tr>
            <w:tr w14:paraId="21AE0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4" w:hRule="atLeast"/>
                <w:jc w:val="center"/>
              </w:trPr>
              <w:tc>
                <w:tcPr>
                  <w:tcW w:w="272" w:type="pct"/>
                  <w:vAlign w:val="center"/>
                </w:tcPr>
                <w:p w14:paraId="6CF85F4A">
                  <w:pPr>
                    <w:jc w:val="center"/>
                    <w:rPr>
                      <w:rFonts w:hint="default" w:eastAsiaTheme="minorEastAsia"/>
                      <w:color w:val="auto"/>
                      <w:szCs w:val="21"/>
                      <w:lang w:val="en-US" w:eastAsia="zh-CN"/>
                    </w:rPr>
                  </w:pPr>
                  <w:r>
                    <w:rPr>
                      <w:rFonts w:hint="eastAsia" w:eastAsiaTheme="minorEastAsia"/>
                      <w:color w:val="auto"/>
                      <w:szCs w:val="21"/>
                      <w:lang w:val="en-US" w:eastAsia="zh-CN"/>
                    </w:rPr>
                    <w:t>6</w:t>
                  </w:r>
                </w:p>
              </w:tc>
              <w:tc>
                <w:tcPr>
                  <w:tcW w:w="810" w:type="pct"/>
                  <w:shd w:val="clear" w:color="auto" w:fill="auto"/>
                  <w:vAlign w:val="center"/>
                </w:tcPr>
                <w:p w14:paraId="50C580B9">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生活垃圾</w:t>
                  </w:r>
                </w:p>
              </w:tc>
              <w:tc>
                <w:tcPr>
                  <w:tcW w:w="688" w:type="pct"/>
                  <w:shd w:val="clear" w:color="auto" w:fill="auto"/>
                  <w:vAlign w:val="center"/>
                </w:tcPr>
                <w:p w14:paraId="3F898149">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办公、生活</w:t>
                  </w:r>
                </w:p>
              </w:tc>
              <w:tc>
                <w:tcPr>
                  <w:tcW w:w="424" w:type="pct"/>
                  <w:shd w:val="clear" w:color="auto" w:fill="auto"/>
                  <w:vAlign w:val="center"/>
                </w:tcPr>
                <w:p w14:paraId="1CB21E53">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半固态</w:t>
                  </w:r>
                </w:p>
              </w:tc>
              <w:tc>
                <w:tcPr>
                  <w:tcW w:w="677" w:type="pct"/>
                  <w:shd w:val="clear" w:color="auto" w:fill="auto"/>
                  <w:vAlign w:val="center"/>
                </w:tcPr>
                <w:p w14:paraId="6B85A839">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废塑料、废纸等</w:t>
                  </w:r>
                </w:p>
              </w:tc>
              <w:tc>
                <w:tcPr>
                  <w:tcW w:w="631" w:type="pct"/>
                  <w:shd w:val="clear" w:color="auto" w:fill="auto"/>
                  <w:vAlign w:val="center"/>
                </w:tcPr>
                <w:p w14:paraId="66E1AD01">
                  <w:pPr>
                    <w:jc w:val="center"/>
                    <w:rPr>
                      <w:rFonts w:hint="eastAsia" w:ascii="Times New Roman" w:hAnsi="Times New Roman" w:cs="Times New Roman" w:eastAsiaTheme="minorEastAsia"/>
                      <w:color w:val="auto"/>
                      <w:szCs w:val="21"/>
                      <w:lang w:val="en-US" w:eastAsia="zh-CN"/>
                    </w:rPr>
                  </w:pPr>
                  <w:r>
                    <w:rPr>
                      <w:rFonts w:hint="eastAsia" w:cs="Times New Roman" w:eastAsiaTheme="minorEastAsia"/>
                      <w:color w:val="auto"/>
                      <w:szCs w:val="21"/>
                      <w:lang w:val="en-US" w:eastAsia="zh-CN"/>
                    </w:rPr>
                    <w:t>3</w:t>
                  </w:r>
                </w:p>
              </w:tc>
              <w:tc>
                <w:tcPr>
                  <w:tcW w:w="400" w:type="pct"/>
                  <w:shd w:val="clear" w:color="auto" w:fill="auto"/>
                  <w:vAlign w:val="center"/>
                </w:tcPr>
                <w:p w14:paraId="4EEF846C">
                  <w:pPr>
                    <w:widowControl/>
                    <w:spacing w:line="240" w:lineRule="atLeast"/>
                    <w:jc w:val="center"/>
                    <w:rPr>
                      <w:rFonts w:ascii="Times New Roman" w:hAnsi="Times New Roman" w:eastAsia="宋体" w:cs="Times New Roman"/>
                      <w:color w:val="auto"/>
                      <w:kern w:val="2"/>
                      <w:sz w:val="21"/>
                      <w:szCs w:val="21"/>
                      <w:lang w:val="en-US" w:eastAsia="zh-CN" w:bidi="ar-SA"/>
                    </w:rPr>
                  </w:pPr>
                  <w:r>
                    <w:rPr>
                      <w:color w:val="auto"/>
                      <w:szCs w:val="21"/>
                    </w:rPr>
                    <w:t>√</w:t>
                  </w:r>
                </w:p>
              </w:tc>
              <w:tc>
                <w:tcPr>
                  <w:tcW w:w="405" w:type="pct"/>
                  <w:shd w:val="clear" w:color="auto" w:fill="auto"/>
                  <w:vAlign w:val="center"/>
                </w:tcPr>
                <w:p w14:paraId="45081449">
                  <w:pPr>
                    <w:widowControl/>
                    <w:spacing w:line="240" w:lineRule="atLeast"/>
                    <w:jc w:val="center"/>
                    <w:rPr>
                      <w:rFonts w:ascii="Times New Roman" w:hAnsi="Times New Roman" w:eastAsia="宋体" w:cs="Times New Roman"/>
                      <w:color w:val="auto"/>
                      <w:kern w:val="2"/>
                      <w:sz w:val="21"/>
                      <w:szCs w:val="21"/>
                      <w:lang w:val="en-US" w:eastAsia="zh-CN" w:bidi="ar-SA"/>
                    </w:rPr>
                  </w:pPr>
                  <w:r>
                    <w:rPr>
                      <w:color w:val="auto"/>
                      <w:szCs w:val="21"/>
                    </w:rPr>
                    <w:t>/</w:t>
                  </w:r>
                </w:p>
              </w:tc>
              <w:tc>
                <w:tcPr>
                  <w:tcW w:w="688" w:type="pct"/>
                  <w:vMerge w:val="continue"/>
                  <w:vAlign w:val="center"/>
                </w:tcPr>
                <w:p w14:paraId="6F8D27F6">
                  <w:pPr>
                    <w:jc w:val="center"/>
                    <w:rPr>
                      <w:rFonts w:eastAsiaTheme="minorEastAsia"/>
                      <w:color w:val="auto"/>
                      <w:szCs w:val="21"/>
                    </w:rPr>
                  </w:pPr>
                </w:p>
              </w:tc>
            </w:tr>
          </w:tbl>
          <w:p w14:paraId="10522AFB">
            <w:pPr>
              <w:pStyle w:val="2"/>
              <w:spacing w:after="0"/>
              <w:ind w:firstLine="100"/>
              <w:rPr>
                <w:color w:val="FF0000"/>
                <w:sz w:val="10"/>
                <w:szCs w:val="10"/>
              </w:rPr>
            </w:pPr>
          </w:p>
          <w:p w14:paraId="1CBD0B11">
            <w:pPr>
              <w:pStyle w:val="5"/>
              <w:spacing w:line="360" w:lineRule="auto"/>
              <w:ind w:firstLine="480" w:firstLineChars="200"/>
              <w:rPr>
                <w:rFonts w:eastAsiaTheme="minorEastAsia"/>
                <w:b w:val="0"/>
                <w:color w:val="auto"/>
                <w:sz w:val="24"/>
                <w:szCs w:val="24"/>
              </w:rPr>
            </w:pPr>
            <w:r>
              <w:rPr>
                <w:rFonts w:hint="eastAsia" w:eastAsiaTheme="minorEastAsia"/>
                <w:b w:val="0"/>
                <w:color w:val="auto"/>
                <w:sz w:val="24"/>
                <w:szCs w:val="24"/>
              </w:rPr>
              <w:t>（3）</w:t>
            </w:r>
            <w:r>
              <w:rPr>
                <w:rFonts w:eastAsiaTheme="minorEastAsia"/>
                <w:b w:val="0"/>
                <w:color w:val="auto"/>
                <w:sz w:val="24"/>
                <w:szCs w:val="24"/>
              </w:rPr>
              <w:t>固体废物产生情况汇总</w:t>
            </w:r>
          </w:p>
          <w:p w14:paraId="161F21BC">
            <w:pPr>
              <w:snapToGrid w:val="0"/>
              <w:spacing w:line="360" w:lineRule="auto"/>
              <w:ind w:firstLine="480" w:firstLineChars="200"/>
              <w:rPr>
                <w:rFonts w:hint="eastAsia" w:eastAsiaTheme="minorEastAsia"/>
                <w:color w:val="auto"/>
                <w:sz w:val="24"/>
                <w:szCs w:val="24"/>
                <w:lang w:eastAsia="zh-CN"/>
              </w:rPr>
            </w:pPr>
            <w:r>
              <w:rPr>
                <w:rFonts w:eastAsiaTheme="minorEastAsia"/>
                <w:color w:val="auto"/>
                <w:sz w:val="24"/>
                <w:szCs w:val="24"/>
              </w:rPr>
              <w:t>建设项目固体废物产生情况汇总见表</w:t>
            </w:r>
            <w:r>
              <w:rPr>
                <w:rFonts w:hint="eastAsia" w:eastAsiaTheme="minorEastAsia"/>
                <w:color w:val="auto"/>
                <w:sz w:val="24"/>
                <w:szCs w:val="24"/>
              </w:rPr>
              <w:t>4</w:t>
            </w:r>
            <w:r>
              <w:rPr>
                <w:rFonts w:hint="eastAsia" w:eastAsiaTheme="minorEastAsia"/>
                <w:color w:val="auto"/>
                <w:sz w:val="24"/>
                <w:szCs w:val="24"/>
                <w:lang w:val="en-US" w:eastAsia="zh-CN"/>
              </w:rPr>
              <w:t>-22，</w:t>
            </w:r>
            <w:r>
              <w:rPr>
                <w:rFonts w:eastAsiaTheme="minorEastAsia"/>
                <w:color w:val="auto"/>
                <w:sz w:val="24"/>
                <w:szCs w:val="24"/>
              </w:rPr>
              <w:t>根据</w:t>
            </w:r>
            <w:r>
              <w:rPr>
                <w:color w:val="auto"/>
                <w:sz w:val="24"/>
                <w:szCs w:val="24"/>
              </w:rPr>
              <w:t>《一般固体废物分类与代码》（GB</w:t>
            </w:r>
            <w:r>
              <w:rPr>
                <w:rFonts w:hint="eastAsia"/>
                <w:color w:val="auto"/>
                <w:sz w:val="24"/>
                <w:szCs w:val="24"/>
                <w:lang w:val="en-US" w:eastAsia="zh-CN"/>
              </w:rPr>
              <w:t>/</w:t>
            </w:r>
            <w:r>
              <w:rPr>
                <w:color w:val="auto"/>
                <w:sz w:val="24"/>
                <w:szCs w:val="24"/>
              </w:rPr>
              <w:t>T39198-2020）</w:t>
            </w:r>
            <w:r>
              <w:rPr>
                <w:rFonts w:hint="eastAsia"/>
                <w:color w:val="auto"/>
                <w:sz w:val="24"/>
                <w:szCs w:val="24"/>
              </w:rPr>
              <w:t>、</w:t>
            </w:r>
            <w:r>
              <w:rPr>
                <w:rFonts w:eastAsiaTheme="minorEastAsia"/>
                <w:color w:val="auto"/>
                <w:sz w:val="24"/>
                <w:szCs w:val="24"/>
              </w:rPr>
              <w:t>《国家危险废物名录》（20</w:t>
            </w:r>
            <w:r>
              <w:rPr>
                <w:rFonts w:hint="eastAsia" w:eastAsiaTheme="minorEastAsia"/>
                <w:color w:val="auto"/>
                <w:sz w:val="24"/>
                <w:szCs w:val="24"/>
              </w:rPr>
              <w:t>2</w:t>
            </w:r>
            <w:r>
              <w:rPr>
                <w:rFonts w:hint="eastAsia" w:eastAsiaTheme="minorEastAsia"/>
                <w:color w:val="auto"/>
                <w:sz w:val="24"/>
                <w:szCs w:val="24"/>
                <w:lang w:val="en-US" w:eastAsia="zh-CN"/>
              </w:rPr>
              <w:t>5</w:t>
            </w:r>
            <w:r>
              <w:rPr>
                <w:rFonts w:eastAsiaTheme="minorEastAsia"/>
                <w:color w:val="auto"/>
                <w:sz w:val="24"/>
                <w:szCs w:val="24"/>
              </w:rPr>
              <w:t>年</w:t>
            </w:r>
            <w:r>
              <w:rPr>
                <w:rFonts w:hint="eastAsia" w:eastAsiaTheme="minorEastAsia"/>
                <w:color w:val="auto"/>
                <w:sz w:val="24"/>
                <w:szCs w:val="24"/>
              </w:rPr>
              <w:t>版</w:t>
            </w:r>
            <w:r>
              <w:rPr>
                <w:rFonts w:eastAsiaTheme="minorEastAsia"/>
                <w:color w:val="auto"/>
                <w:sz w:val="24"/>
                <w:szCs w:val="24"/>
              </w:rPr>
              <w:t>）以及危险废物鉴别标准，判定该固体废物是否属于危险废物，需进一步开展危险废物特性鉴别的，列出建议开展危险特性鉴别指标</w:t>
            </w:r>
            <w:r>
              <w:rPr>
                <w:rFonts w:hint="eastAsia" w:eastAsiaTheme="minorEastAsia"/>
                <w:color w:val="auto"/>
                <w:sz w:val="24"/>
                <w:szCs w:val="24"/>
                <w:lang w:eastAsia="zh-CN"/>
              </w:rPr>
              <w:t>。</w:t>
            </w:r>
          </w:p>
          <w:p w14:paraId="20CD35CD">
            <w:pPr>
              <w:rPr>
                <w:rFonts w:eastAsiaTheme="minorEastAsia"/>
                <w:bCs/>
                <w:color w:val="FF0000"/>
                <w:sz w:val="24"/>
                <w:szCs w:val="24"/>
              </w:rPr>
            </w:pPr>
          </w:p>
          <w:p w14:paraId="1B7F8FD5">
            <w:pPr>
              <w:pStyle w:val="3"/>
              <w:rPr>
                <w:color w:val="FF0000"/>
              </w:rPr>
            </w:pPr>
          </w:p>
          <w:p w14:paraId="459F31F2">
            <w:pPr>
              <w:rPr>
                <w:color w:val="FF0000"/>
              </w:rPr>
            </w:pPr>
          </w:p>
          <w:p w14:paraId="11BF5E9A">
            <w:pPr>
              <w:pStyle w:val="3"/>
              <w:rPr>
                <w:color w:val="FF0000"/>
              </w:rPr>
            </w:pPr>
          </w:p>
          <w:p w14:paraId="6BCDC034">
            <w:pPr>
              <w:rPr>
                <w:color w:val="FF0000"/>
              </w:rPr>
            </w:pPr>
          </w:p>
          <w:p w14:paraId="547B2605">
            <w:pPr>
              <w:pStyle w:val="43"/>
              <w:rPr>
                <w:color w:val="FF0000"/>
              </w:rPr>
            </w:pPr>
          </w:p>
          <w:p w14:paraId="39A1E30A">
            <w:pPr>
              <w:pStyle w:val="43"/>
              <w:rPr>
                <w:color w:val="FF0000"/>
              </w:rPr>
            </w:pPr>
          </w:p>
          <w:p w14:paraId="1A3783F1">
            <w:pPr>
              <w:rPr>
                <w:color w:val="FF0000"/>
              </w:rPr>
            </w:pPr>
          </w:p>
          <w:p w14:paraId="7CCD63F8">
            <w:pPr>
              <w:rPr>
                <w:color w:val="FF0000"/>
              </w:rPr>
            </w:pPr>
          </w:p>
          <w:p w14:paraId="40458F9E">
            <w:pPr>
              <w:rPr>
                <w:color w:val="FF0000"/>
              </w:rPr>
            </w:pPr>
          </w:p>
          <w:p w14:paraId="38FC9508">
            <w:pPr>
              <w:pStyle w:val="3"/>
              <w:rPr>
                <w:color w:val="FF0000"/>
              </w:rPr>
            </w:pPr>
          </w:p>
          <w:p w14:paraId="528F81D8">
            <w:pPr>
              <w:rPr>
                <w:color w:val="FF0000"/>
              </w:rPr>
            </w:pPr>
          </w:p>
        </w:tc>
      </w:tr>
    </w:tbl>
    <w:p w14:paraId="5EB67860">
      <w:pPr>
        <w:rPr>
          <w:color w:val="FF0000"/>
        </w:rPr>
        <w:sectPr>
          <w:pgSz w:w="11905" w:h="16838"/>
          <w:pgMar w:top="1276" w:right="1803" w:bottom="1712" w:left="1803" w:header="850" w:footer="992" w:gutter="0"/>
          <w:pgBorders>
            <w:top w:val="none" w:sz="0" w:space="0"/>
            <w:left w:val="none" w:sz="0" w:space="0"/>
            <w:bottom w:val="none" w:sz="0" w:space="0"/>
            <w:right w:val="none" w:sz="0" w:space="0"/>
          </w:pgBorders>
          <w:pgNumType w:fmt="decimal"/>
          <w:cols w:space="0" w:num="1"/>
          <w:docGrid w:type="lines" w:linePitch="319" w:charSpace="0"/>
        </w:sect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6"/>
      </w:tblGrid>
      <w:tr w14:paraId="2969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1" w:hRule="atLeast"/>
        </w:trPr>
        <w:tc>
          <w:tcPr>
            <w:tcW w:w="14066" w:type="dxa"/>
          </w:tcPr>
          <w:p w14:paraId="37B002D3">
            <w:pPr>
              <w:spacing w:line="324" w:lineRule="auto"/>
              <w:jc w:val="center"/>
              <w:rPr>
                <w:rFonts w:eastAsiaTheme="minorEastAsia"/>
                <w:b/>
                <w:color w:val="auto"/>
                <w:sz w:val="32"/>
                <w:szCs w:val="32"/>
              </w:rPr>
            </w:pPr>
            <w:r>
              <w:rPr>
                <w:rFonts w:eastAsiaTheme="minorEastAsia"/>
                <w:b/>
                <w:color w:val="auto"/>
                <w:sz w:val="24"/>
                <w:szCs w:val="24"/>
              </w:rPr>
              <w:t>表</w:t>
            </w:r>
            <w:r>
              <w:rPr>
                <w:rFonts w:hint="eastAsia" w:eastAsiaTheme="minorEastAsia"/>
                <w:b/>
                <w:color w:val="auto"/>
                <w:sz w:val="24"/>
                <w:szCs w:val="24"/>
              </w:rPr>
              <w:t>4</w:t>
            </w:r>
            <w:r>
              <w:rPr>
                <w:rFonts w:hint="eastAsia" w:eastAsiaTheme="minorEastAsia"/>
                <w:b/>
                <w:color w:val="auto"/>
                <w:sz w:val="24"/>
                <w:szCs w:val="24"/>
                <w:lang w:val="en-US" w:eastAsia="zh-CN"/>
              </w:rPr>
              <w:t>-22本</w:t>
            </w:r>
            <w:r>
              <w:rPr>
                <w:rFonts w:eastAsiaTheme="minorEastAsia"/>
                <w:b/>
                <w:color w:val="auto"/>
                <w:sz w:val="24"/>
                <w:szCs w:val="24"/>
              </w:rPr>
              <w:t>项目固体废物分析结果汇总表</w:t>
            </w:r>
          </w:p>
          <w:tbl>
            <w:tblPr>
              <w:tblStyle w:val="35"/>
              <w:tblW w:w="138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79"/>
              <w:gridCol w:w="1116"/>
              <w:gridCol w:w="1444"/>
              <w:gridCol w:w="1185"/>
              <w:gridCol w:w="816"/>
              <w:gridCol w:w="1468"/>
              <w:gridCol w:w="1426"/>
              <w:gridCol w:w="695"/>
              <w:gridCol w:w="1759"/>
              <w:gridCol w:w="1280"/>
              <w:gridCol w:w="1163"/>
              <w:gridCol w:w="1163"/>
            </w:tblGrid>
            <w:tr w14:paraId="5A804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136" w:type="pct"/>
                  <w:vAlign w:val="center"/>
                </w:tcPr>
                <w:p w14:paraId="04175CFB">
                  <w:pPr>
                    <w:jc w:val="center"/>
                    <w:rPr>
                      <w:rFonts w:eastAsiaTheme="minorEastAsia"/>
                      <w:b/>
                      <w:color w:val="auto"/>
                      <w:szCs w:val="21"/>
                    </w:rPr>
                  </w:pPr>
                  <w:r>
                    <w:rPr>
                      <w:rFonts w:eastAsiaTheme="minorEastAsia"/>
                      <w:b/>
                      <w:color w:val="auto"/>
                      <w:szCs w:val="21"/>
                    </w:rPr>
                    <w:t>序号</w:t>
                  </w:r>
                </w:p>
              </w:tc>
              <w:tc>
                <w:tcPr>
                  <w:tcW w:w="401" w:type="pct"/>
                  <w:vAlign w:val="center"/>
                </w:tcPr>
                <w:p w14:paraId="47FB0DDC">
                  <w:pPr>
                    <w:jc w:val="center"/>
                    <w:rPr>
                      <w:rFonts w:eastAsiaTheme="minorEastAsia"/>
                      <w:b/>
                      <w:color w:val="auto"/>
                      <w:szCs w:val="21"/>
                    </w:rPr>
                  </w:pPr>
                  <w:r>
                    <w:rPr>
                      <w:rFonts w:eastAsiaTheme="minorEastAsia"/>
                      <w:b/>
                      <w:color w:val="auto"/>
                      <w:szCs w:val="21"/>
                    </w:rPr>
                    <w:t>固废名称</w:t>
                  </w:r>
                </w:p>
              </w:tc>
              <w:tc>
                <w:tcPr>
                  <w:tcW w:w="519" w:type="pct"/>
                  <w:vAlign w:val="center"/>
                </w:tcPr>
                <w:p w14:paraId="796DC8CF">
                  <w:pPr>
                    <w:jc w:val="center"/>
                    <w:rPr>
                      <w:rFonts w:eastAsiaTheme="minorEastAsia"/>
                      <w:b/>
                      <w:color w:val="auto"/>
                      <w:szCs w:val="21"/>
                    </w:rPr>
                  </w:pPr>
                  <w:r>
                    <w:rPr>
                      <w:rFonts w:eastAsiaTheme="minorEastAsia"/>
                      <w:b/>
                      <w:color w:val="auto"/>
                      <w:szCs w:val="21"/>
                    </w:rPr>
                    <w:t>属性（危险废物、一般工业固体废物或待鉴别）</w:t>
                  </w:r>
                </w:p>
              </w:tc>
              <w:tc>
                <w:tcPr>
                  <w:tcW w:w="426" w:type="pct"/>
                  <w:vAlign w:val="center"/>
                </w:tcPr>
                <w:p w14:paraId="30EEBE42">
                  <w:pPr>
                    <w:jc w:val="center"/>
                    <w:rPr>
                      <w:rFonts w:eastAsiaTheme="minorEastAsia"/>
                      <w:b/>
                      <w:color w:val="auto"/>
                      <w:szCs w:val="21"/>
                    </w:rPr>
                  </w:pPr>
                  <w:r>
                    <w:rPr>
                      <w:rFonts w:eastAsiaTheme="minorEastAsia"/>
                      <w:b/>
                      <w:color w:val="auto"/>
                      <w:szCs w:val="21"/>
                    </w:rPr>
                    <w:t>产生工序</w:t>
                  </w:r>
                </w:p>
              </w:tc>
              <w:tc>
                <w:tcPr>
                  <w:tcW w:w="293" w:type="pct"/>
                  <w:vAlign w:val="center"/>
                </w:tcPr>
                <w:p w14:paraId="41354DD1">
                  <w:pPr>
                    <w:jc w:val="center"/>
                    <w:rPr>
                      <w:rFonts w:eastAsiaTheme="minorEastAsia"/>
                      <w:b/>
                      <w:color w:val="auto"/>
                      <w:szCs w:val="21"/>
                    </w:rPr>
                  </w:pPr>
                  <w:r>
                    <w:rPr>
                      <w:rFonts w:eastAsiaTheme="minorEastAsia"/>
                      <w:b/>
                      <w:color w:val="auto"/>
                      <w:szCs w:val="21"/>
                    </w:rPr>
                    <w:t>形态</w:t>
                  </w:r>
                </w:p>
              </w:tc>
              <w:tc>
                <w:tcPr>
                  <w:tcW w:w="528" w:type="pct"/>
                  <w:vAlign w:val="center"/>
                </w:tcPr>
                <w:p w14:paraId="60F6FF96">
                  <w:pPr>
                    <w:jc w:val="center"/>
                    <w:rPr>
                      <w:rFonts w:eastAsiaTheme="minorEastAsia"/>
                      <w:b/>
                      <w:color w:val="auto"/>
                      <w:szCs w:val="21"/>
                    </w:rPr>
                  </w:pPr>
                  <w:r>
                    <w:rPr>
                      <w:rFonts w:eastAsiaTheme="minorEastAsia"/>
                      <w:b/>
                      <w:color w:val="auto"/>
                      <w:szCs w:val="21"/>
                    </w:rPr>
                    <w:t>主要成分</w:t>
                  </w:r>
                </w:p>
              </w:tc>
              <w:tc>
                <w:tcPr>
                  <w:tcW w:w="513" w:type="pct"/>
                  <w:vAlign w:val="center"/>
                </w:tcPr>
                <w:p w14:paraId="63367FD3">
                  <w:pPr>
                    <w:jc w:val="center"/>
                    <w:rPr>
                      <w:rFonts w:eastAsiaTheme="minorEastAsia"/>
                      <w:b/>
                      <w:color w:val="auto"/>
                      <w:szCs w:val="21"/>
                    </w:rPr>
                  </w:pPr>
                  <w:r>
                    <w:rPr>
                      <w:rFonts w:eastAsiaTheme="minorEastAsia"/>
                      <w:b/>
                      <w:color w:val="auto"/>
                      <w:szCs w:val="21"/>
                    </w:rPr>
                    <w:t>危险特性鉴定方法</w:t>
                  </w:r>
                </w:p>
              </w:tc>
              <w:tc>
                <w:tcPr>
                  <w:tcW w:w="250" w:type="pct"/>
                  <w:vAlign w:val="center"/>
                </w:tcPr>
                <w:p w14:paraId="50BCC10B">
                  <w:pPr>
                    <w:jc w:val="center"/>
                    <w:rPr>
                      <w:rFonts w:eastAsiaTheme="minorEastAsia"/>
                      <w:b/>
                      <w:color w:val="auto"/>
                      <w:szCs w:val="21"/>
                    </w:rPr>
                  </w:pPr>
                  <w:r>
                    <w:rPr>
                      <w:rFonts w:eastAsiaTheme="minorEastAsia"/>
                      <w:b/>
                      <w:color w:val="auto"/>
                      <w:szCs w:val="21"/>
                    </w:rPr>
                    <w:t>危险</w:t>
                  </w:r>
                </w:p>
                <w:p w14:paraId="28D8DE29">
                  <w:pPr>
                    <w:jc w:val="center"/>
                    <w:rPr>
                      <w:rFonts w:eastAsiaTheme="minorEastAsia"/>
                      <w:b/>
                      <w:color w:val="auto"/>
                      <w:szCs w:val="21"/>
                    </w:rPr>
                  </w:pPr>
                  <w:r>
                    <w:rPr>
                      <w:rFonts w:eastAsiaTheme="minorEastAsia"/>
                      <w:b/>
                      <w:color w:val="auto"/>
                      <w:szCs w:val="21"/>
                    </w:rPr>
                    <w:t>特性</w:t>
                  </w:r>
                </w:p>
              </w:tc>
              <w:tc>
                <w:tcPr>
                  <w:tcW w:w="633" w:type="pct"/>
                  <w:vAlign w:val="center"/>
                </w:tcPr>
                <w:p w14:paraId="28A8B13F">
                  <w:pPr>
                    <w:jc w:val="center"/>
                    <w:rPr>
                      <w:rFonts w:eastAsiaTheme="minorEastAsia"/>
                      <w:b/>
                      <w:color w:val="auto"/>
                      <w:szCs w:val="21"/>
                    </w:rPr>
                  </w:pPr>
                  <w:r>
                    <w:rPr>
                      <w:rFonts w:eastAsiaTheme="minorEastAsia"/>
                      <w:b/>
                      <w:color w:val="auto"/>
                      <w:szCs w:val="21"/>
                    </w:rPr>
                    <w:t>废物类别</w:t>
                  </w:r>
                </w:p>
              </w:tc>
              <w:tc>
                <w:tcPr>
                  <w:tcW w:w="460" w:type="pct"/>
                  <w:vAlign w:val="center"/>
                </w:tcPr>
                <w:p w14:paraId="1493FCAF">
                  <w:pPr>
                    <w:jc w:val="center"/>
                    <w:rPr>
                      <w:rFonts w:eastAsiaTheme="minorEastAsia"/>
                      <w:b/>
                      <w:color w:val="auto"/>
                      <w:szCs w:val="21"/>
                    </w:rPr>
                  </w:pPr>
                  <w:r>
                    <w:rPr>
                      <w:rFonts w:eastAsiaTheme="minorEastAsia"/>
                      <w:b/>
                      <w:color w:val="auto"/>
                      <w:szCs w:val="21"/>
                    </w:rPr>
                    <w:t>废物代码</w:t>
                  </w:r>
                </w:p>
              </w:tc>
              <w:tc>
                <w:tcPr>
                  <w:tcW w:w="418" w:type="pct"/>
                  <w:vAlign w:val="center"/>
                </w:tcPr>
                <w:p w14:paraId="780E41DC">
                  <w:pPr>
                    <w:jc w:val="center"/>
                    <w:rPr>
                      <w:rFonts w:eastAsiaTheme="minorEastAsia"/>
                      <w:b/>
                      <w:color w:val="auto"/>
                      <w:szCs w:val="21"/>
                    </w:rPr>
                  </w:pPr>
                  <w:r>
                    <w:rPr>
                      <w:rFonts w:eastAsiaTheme="minorEastAsia"/>
                      <w:b/>
                      <w:color w:val="auto"/>
                      <w:szCs w:val="21"/>
                    </w:rPr>
                    <w:t>估算产生量</w:t>
                  </w:r>
                </w:p>
                <w:p w14:paraId="13F95C74">
                  <w:pPr>
                    <w:jc w:val="center"/>
                    <w:rPr>
                      <w:rFonts w:eastAsiaTheme="minorEastAsia"/>
                      <w:b/>
                      <w:color w:val="auto"/>
                      <w:szCs w:val="21"/>
                    </w:rPr>
                  </w:pPr>
                  <w:r>
                    <w:rPr>
                      <w:rFonts w:eastAsiaTheme="minorEastAsia"/>
                      <w:b/>
                      <w:color w:val="auto"/>
                      <w:szCs w:val="21"/>
                    </w:rPr>
                    <w:t>（t/a）</w:t>
                  </w:r>
                </w:p>
              </w:tc>
              <w:tc>
                <w:tcPr>
                  <w:tcW w:w="418" w:type="pct"/>
                  <w:shd w:val="clear" w:color="auto" w:fill="auto"/>
                  <w:vAlign w:val="center"/>
                </w:tcPr>
                <w:p w14:paraId="367F28B9">
                  <w:pPr>
                    <w:jc w:val="center"/>
                    <w:rPr>
                      <w:rFonts w:hint="eastAsia" w:ascii="Times New Roman" w:hAnsi="Times New Roman" w:cs="Times New Roman" w:eastAsiaTheme="minorEastAsia"/>
                      <w:b/>
                      <w:color w:val="auto"/>
                      <w:kern w:val="2"/>
                      <w:sz w:val="21"/>
                      <w:szCs w:val="21"/>
                      <w:lang w:val="en-US" w:eastAsia="zh-CN" w:bidi="ar-SA"/>
                    </w:rPr>
                  </w:pPr>
                  <w:r>
                    <w:rPr>
                      <w:rFonts w:hint="eastAsia" w:eastAsiaTheme="minorEastAsia"/>
                      <w:b/>
                      <w:color w:val="auto"/>
                      <w:szCs w:val="21"/>
                      <w:lang w:val="en-US" w:eastAsia="zh-CN"/>
                    </w:rPr>
                    <w:t>处理处置方式</w:t>
                  </w:r>
                </w:p>
              </w:tc>
            </w:tr>
            <w:tr w14:paraId="01B06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36" w:type="pct"/>
                  <w:vAlign w:val="center"/>
                </w:tcPr>
                <w:p w14:paraId="31E8F408">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rPr>
                    <w:t>1</w:t>
                  </w:r>
                </w:p>
              </w:tc>
              <w:tc>
                <w:tcPr>
                  <w:tcW w:w="401" w:type="pct"/>
                  <w:shd w:val="clear" w:color="auto" w:fill="auto"/>
                  <w:vAlign w:val="center"/>
                </w:tcPr>
                <w:p w14:paraId="60C7F5CC">
                  <w:pPr>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焊渣</w:t>
                  </w:r>
                </w:p>
              </w:tc>
              <w:tc>
                <w:tcPr>
                  <w:tcW w:w="519" w:type="pct"/>
                  <w:vMerge w:val="restart"/>
                  <w:vAlign w:val="center"/>
                </w:tcPr>
                <w:p w14:paraId="58961034">
                  <w:pPr>
                    <w:jc w:val="center"/>
                    <w:rPr>
                      <w:rFonts w:hint="eastAsia" w:eastAsia="宋体"/>
                      <w:color w:val="auto"/>
                      <w:szCs w:val="21"/>
                      <w:lang w:val="en-US" w:eastAsia="zh-CN"/>
                    </w:rPr>
                  </w:pPr>
                  <w:r>
                    <w:rPr>
                      <w:rFonts w:hint="eastAsia" w:eastAsiaTheme="minorEastAsia"/>
                      <w:color w:val="auto"/>
                      <w:szCs w:val="21"/>
                      <w:lang w:val="en-US" w:eastAsia="zh-CN"/>
                    </w:rPr>
                    <w:t>一般工业固废</w:t>
                  </w:r>
                </w:p>
              </w:tc>
              <w:tc>
                <w:tcPr>
                  <w:tcW w:w="426" w:type="pct"/>
                  <w:shd w:val="clear" w:color="auto" w:fill="auto"/>
                  <w:vAlign w:val="center"/>
                </w:tcPr>
                <w:p w14:paraId="21D59421">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焊接</w:t>
                  </w:r>
                </w:p>
              </w:tc>
              <w:tc>
                <w:tcPr>
                  <w:tcW w:w="293" w:type="pct"/>
                  <w:shd w:val="clear" w:color="auto" w:fill="auto"/>
                  <w:vAlign w:val="center"/>
                </w:tcPr>
                <w:p w14:paraId="12D1B9B7">
                  <w:pPr>
                    <w:jc w:val="center"/>
                    <w:rPr>
                      <w:rFonts w:hint="default" w:ascii="Times New Roman" w:hAnsi="Times New Roman" w:cs="Times New Roman" w:eastAsiaTheme="minorEastAsia"/>
                      <w:color w:val="FF0000"/>
                      <w:kern w:val="2"/>
                      <w:sz w:val="21"/>
                      <w:szCs w:val="21"/>
                      <w:lang w:val="en-US" w:eastAsia="zh-CN" w:bidi="ar-SA"/>
                    </w:rPr>
                  </w:pPr>
                  <w:r>
                    <w:rPr>
                      <w:color w:val="auto"/>
                      <w:szCs w:val="21"/>
                    </w:rPr>
                    <w:t>固态</w:t>
                  </w:r>
                </w:p>
              </w:tc>
              <w:tc>
                <w:tcPr>
                  <w:tcW w:w="528" w:type="pct"/>
                  <w:shd w:val="clear" w:color="auto" w:fill="auto"/>
                  <w:vAlign w:val="center"/>
                </w:tcPr>
                <w:p w14:paraId="151B8C87">
                  <w:pPr>
                    <w:jc w:val="center"/>
                    <w:rPr>
                      <w:rFonts w:hint="default" w:ascii="Times New Roman" w:hAnsi="Times New Roman" w:cs="Times New Roman" w:eastAsiaTheme="minorEastAsia"/>
                      <w:color w:val="FF0000"/>
                      <w:kern w:val="2"/>
                      <w:sz w:val="21"/>
                      <w:szCs w:val="21"/>
                      <w:lang w:val="en-US" w:eastAsia="zh-CN" w:bidi="ar-SA"/>
                    </w:rPr>
                  </w:pPr>
                  <w:r>
                    <w:rPr>
                      <w:rFonts w:hint="eastAsia" w:cs="Times New Roman" w:eastAsiaTheme="minorEastAsia"/>
                      <w:color w:val="auto"/>
                      <w:kern w:val="2"/>
                      <w:sz w:val="21"/>
                      <w:szCs w:val="21"/>
                      <w:lang w:val="en-US" w:eastAsia="zh-CN" w:bidi="ar-SA"/>
                    </w:rPr>
                    <w:t>金属氧化物</w:t>
                  </w:r>
                </w:p>
              </w:tc>
              <w:tc>
                <w:tcPr>
                  <w:tcW w:w="513" w:type="pct"/>
                  <w:vMerge w:val="restart"/>
                  <w:vAlign w:val="center"/>
                </w:tcPr>
                <w:p w14:paraId="34E03BCC">
                  <w:pPr>
                    <w:jc w:val="center"/>
                    <w:rPr>
                      <w:rFonts w:eastAsiaTheme="minorEastAsia"/>
                      <w:color w:val="FF0000"/>
                      <w:szCs w:val="21"/>
                      <w:highlight w:val="yellow"/>
                    </w:rPr>
                  </w:pPr>
                  <w:r>
                    <w:rPr>
                      <w:color w:val="auto"/>
                      <w:szCs w:val="21"/>
                    </w:rPr>
                    <w:t>根据《国家危险废物名录》（20</w:t>
                  </w:r>
                  <w:r>
                    <w:rPr>
                      <w:rFonts w:hint="eastAsia"/>
                      <w:color w:val="auto"/>
                      <w:szCs w:val="21"/>
                    </w:rPr>
                    <w:t>2</w:t>
                  </w:r>
                  <w:r>
                    <w:rPr>
                      <w:rFonts w:hint="eastAsia"/>
                      <w:color w:val="auto"/>
                      <w:szCs w:val="21"/>
                      <w:lang w:val="en-US" w:eastAsia="zh-CN"/>
                    </w:rPr>
                    <w:t>5</w:t>
                  </w:r>
                  <w:r>
                    <w:rPr>
                      <w:color w:val="auto"/>
                      <w:szCs w:val="21"/>
                    </w:rPr>
                    <w:t>年</w:t>
                  </w:r>
                  <w:r>
                    <w:rPr>
                      <w:rFonts w:hint="eastAsia"/>
                      <w:color w:val="auto"/>
                      <w:szCs w:val="21"/>
                    </w:rPr>
                    <w:t>版</w:t>
                  </w:r>
                  <w:r>
                    <w:rPr>
                      <w:color w:val="auto"/>
                      <w:szCs w:val="21"/>
                    </w:rPr>
                    <w:t>）进行鉴别，不需要进一步开展危险废物特性鉴别</w:t>
                  </w:r>
                </w:p>
              </w:tc>
              <w:tc>
                <w:tcPr>
                  <w:tcW w:w="250" w:type="pct"/>
                  <w:shd w:val="clear" w:color="auto" w:fill="auto"/>
                  <w:vAlign w:val="center"/>
                </w:tcPr>
                <w:p w14:paraId="0758A845">
                  <w:pPr>
                    <w:jc w:val="center"/>
                    <w:rPr>
                      <w:rFonts w:hint="default" w:ascii="Times New Roman" w:hAnsi="Times New Roman" w:cs="Times New Roman" w:eastAsiaTheme="minorEastAsia"/>
                      <w:color w:val="auto"/>
                      <w:kern w:val="2"/>
                      <w:sz w:val="21"/>
                      <w:szCs w:val="21"/>
                      <w:lang w:val="en-US" w:eastAsia="zh-CN" w:bidi="ar-SA"/>
                    </w:rPr>
                  </w:pPr>
                  <w:r>
                    <w:rPr>
                      <w:rFonts w:eastAsiaTheme="minorEastAsia"/>
                      <w:color w:val="auto"/>
                      <w:szCs w:val="21"/>
                    </w:rPr>
                    <w:t>/</w:t>
                  </w:r>
                </w:p>
              </w:tc>
              <w:tc>
                <w:tcPr>
                  <w:tcW w:w="633" w:type="pct"/>
                  <w:shd w:val="clear" w:color="auto" w:fill="auto"/>
                  <w:vAlign w:val="center"/>
                </w:tcPr>
                <w:p w14:paraId="67BBDDEB">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eastAsiaTheme="minorEastAsia"/>
                      <w:color w:val="auto"/>
                      <w:szCs w:val="21"/>
                      <w:lang w:val="en-US" w:eastAsia="zh-CN"/>
                    </w:rPr>
                    <w:t>SW59其他工业固体废物</w:t>
                  </w:r>
                </w:p>
              </w:tc>
              <w:tc>
                <w:tcPr>
                  <w:tcW w:w="460" w:type="pct"/>
                  <w:shd w:val="clear" w:color="auto" w:fill="auto"/>
                  <w:vAlign w:val="center"/>
                </w:tcPr>
                <w:p w14:paraId="1D76035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eastAsiaTheme="minorEastAsia"/>
                      <w:color w:val="auto"/>
                      <w:kern w:val="2"/>
                      <w:sz w:val="21"/>
                      <w:szCs w:val="21"/>
                      <w:shd w:val="clear" w:color="auto" w:fill="auto"/>
                      <w:lang w:val="en-US" w:eastAsia="zh-CN" w:bidi="ar-SA"/>
                    </w:rPr>
                    <w:t>900-099-S59</w:t>
                  </w:r>
                </w:p>
              </w:tc>
              <w:tc>
                <w:tcPr>
                  <w:tcW w:w="418" w:type="pct"/>
                  <w:shd w:val="clear" w:color="auto" w:fill="auto"/>
                  <w:vAlign w:val="center"/>
                </w:tcPr>
                <w:p w14:paraId="6C0D3742">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0.005</w:t>
                  </w:r>
                </w:p>
              </w:tc>
              <w:tc>
                <w:tcPr>
                  <w:tcW w:w="418" w:type="pct"/>
                  <w:vMerge w:val="restart"/>
                  <w:shd w:val="clear" w:color="auto" w:fill="auto"/>
                  <w:vAlign w:val="center"/>
                </w:tcPr>
                <w:p w14:paraId="181A7AA6">
                  <w:pPr>
                    <w:jc w:val="center"/>
                    <w:rPr>
                      <w:rFonts w:hint="eastAsia" w:cs="Times New Roman" w:eastAsiaTheme="minorEastAsia"/>
                      <w:color w:val="auto"/>
                      <w:kern w:val="2"/>
                      <w:sz w:val="21"/>
                      <w:szCs w:val="21"/>
                      <w:lang w:val="en-US" w:eastAsia="zh-CN" w:bidi="ar-SA"/>
                    </w:rPr>
                  </w:pPr>
                  <w:r>
                    <w:rPr>
                      <w:rFonts w:hint="eastAsia" w:cs="Times New Roman" w:eastAsiaTheme="minorEastAsia"/>
                      <w:color w:val="auto"/>
                      <w:szCs w:val="21"/>
                      <w:lang w:val="en-US" w:eastAsia="zh-CN"/>
                    </w:rPr>
                    <w:t>外售综合利用</w:t>
                  </w:r>
                </w:p>
              </w:tc>
            </w:tr>
            <w:tr w14:paraId="0D0F3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136" w:type="pct"/>
                  <w:vAlign w:val="center"/>
                </w:tcPr>
                <w:p w14:paraId="73B658E0">
                  <w:pPr>
                    <w:jc w:val="center"/>
                    <w:rPr>
                      <w:rFonts w:hint="default" w:eastAsiaTheme="minorEastAsia"/>
                      <w:color w:val="auto"/>
                      <w:szCs w:val="21"/>
                      <w:lang w:val="en-US" w:eastAsia="zh-CN"/>
                    </w:rPr>
                  </w:pPr>
                  <w:r>
                    <w:rPr>
                      <w:rFonts w:hint="eastAsia" w:eastAsiaTheme="minorEastAsia"/>
                      <w:color w:val="auto"/>
                      <w:szCs w:val="21"/>
                      <w:lang w:val="en-US" w:eastAsia="zh-CN"/>
                    </w:rPr>
                    <w:t>2</w:t>
                  </w:r>
                </w:p>
              </w:tc>
              <w:tc>
                <w:tcPr>
                  <w:tcW w:w="401" w:type="pct"/>
                  <w:shd w:val="clear" w:color="auto" w:fill="auto"/>
                  <w:vAlign w:val="center"/>
                </w:tcPr>
                <w:p w14:paraId="3A39EEAC">
                  <w:pPr>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废滤芯</w:t>
                  </w:r>
                </w:p>
              </w:tc>
              <w:tc>
                <w:tcPr>
                  <w:tcW w:w="519" w:type="pct"/>
                  <w:vMerge w:val="continue"/>
                  <w:vAlign w:val="center"/>
                </w:tcPr>
                <w:p w14:paraId="779CA0CC">
                  <w:pPr>
                    <w:jc w:val="center"/>
                    <w:rPr>
                      <w:rFonts w:hint="default" w:eastAsiaTheme="minorEastAsia"/>
                      <w:color w:val="auto"/>
                      <w:szCs w:val="21"/>
                      <w:lang w:val="en-US" w:eastAsia="zh-CN"/>
                    </w:rPr>
                  </w:pPr>
                </w:p>
              </w:tc>
              <w:tc>
                <w:tcPr>
                  <w:tcW w:w="426" w:type="pct"/>
                  <w:shd w:val="clear" w:color="auto" w:fill="auto"/>
                  <w:vAlign w:val="center"/>
                </w:tcPr>
                <w:p w14:paraId="21DA4C95">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废气处理</w:t>
                  </w:r>
                </w:p>
              </w:tc>
              <w:tc>
                <w:tcPr>
                  <w:tcW w:w="293" w:type="pct"/>
                  <w:shd w:val="clear" w:color="auto" w:fill="auto"/>
                  <w:vAlign w:val="center"/>
                </w:tcPr>
                <w:p w14:paraId="51C00840">
                  <w:pPr>
                    <w:jc w:val="center"/>
                    <w:rPr>
                      <w:rFonts w:hint="eastAsia" w:ascii="Times New Roman" w:hAnsi="Times New Roman" w:cs="Times New Roman" w:eastAsiaTheme="minorEastAsia"/>
                      <w:color w:val="FF0000"/>
                      <w:kern w:val="2"/>
                      <w:sz w:val="21"/>
                      <w:szCs w:val="21"/>
                      <w:lang w:val="en-US" w:eastAsia="zh-CN" w:bidi="ar-SA"/>
                    </w:rPr>
                  </w:pPr>
                  <w:r>
                    <w:rPr>
                      <w:color w:val="auto"/>
                      <w:szCs w:val="21"/>
                    </w:rPr>
                    <w:t>固态</w:t>
                  </w:r>
                </w:p>
              </w:tc>
              <w:tc>
                <w:tcPr>
                  <w:tcW w:w="528" w:type="pct"/>
                  <w:shd w:val="clear" w:color="auto" w:fill="auto"/>
                  <w:vAlign w:val="center"/>
                </w:tcPr>
                <w:p w14:paraId="4097559A">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纤维、粉尘</w:t>
                  </w:r>
                </w:p>
              </w:tc>
              <w:tc>
                <w:tcPr>
                  <w:tcW w:w="513" w:type="pct"/>
                  <w:vMerge w:val="continue"/>
                  <w:vAlign w:val="center"/>
                </w:tcPr>
                <w:p w14:paraId="3B3B2E66">
                  <w:pPr>
                    <w:jc w:val="center"/>
                    <w:rPr>
                      <w:rFonts w:eastAsiaTheme="minorEastAsia"/>
                      <w:color w:val="FF0000"/>
                      <w:szCs w:val="21"/>
                      <w:highlight w:val="yellow"/>
                    </w:rPr>
                  </w:pPr>
                </w:p>
              </w:tc>
              <w:tc>
                <w:tcPr>
                  <w:tcW w:w="250" w:type="pct"/>
                  <w:shd w:val="clear" w:color="auto" w:fill="auto"/>
                  <w:vAlign w:val="center"/>
                </w:tcPr>
                <w:p w14:paraId="5850C9B6">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w:t>
                  </w:r>
                </w:p>
              </w:tc>
              <w:tc>
                <w:tcPr>
                  <w:tcW w:w="633" w:type="pct"/>
                  <w:shd w:val="clear" w:color="auto" w:fill="auto"/>
                  <w:vAlign w:val="center"/>
                </w:tcPr>
                <w:p w14:paraId="221437DE">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eastAsiaTheme="minorEastAsia"/>
                      <w:color w:val="auto"/>
                      <w:szCs w:val="21"/>
                      <w:lang w:val="en-US" w:eastAsia="zh-CN"/>
                    </w:rPr>
                    <w:t>SW59其他工业固体废物</w:t>
                  </w:r>
                </w:p>
              </w:tc>
              <w:tc>
                <w:tcPr>
                  <w:tcW w:w="460" w:type="pct"/>
                  <w:shd w:val="clear" w:color="auto" w:fill="auto"/>
                  <w:vAlign w:val="center"/>
                </w:tcPr>
                <w:p w14:paraId="64CA33B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eastAsiaTheme="minorEastAsia"/>
                      <w:color w:val="auto"/>
                      <w:kern w:val="2"/>
                      <w:sz w:val="21"/>
                      <w:szCs w:val="21"/>
                      <w:shd w:val="clear" w:color="auto" w:fill="auto"/>
                      <w:lang w:val="en-US" w:eastAsia="zh-CN" w:bidi="ar-SA"/>
                    </w:rPr>
                    <w:t>900-009-S59</w:t>
                  </w:r>
                </w:p>
              </w:tc>
              <w:tc>
                <w:tcPr>
                  <w:tcW w:w="418" w:type="pct"/>
                  <w:shd w:val="clear" w:color="auto" w:fill="auto"/>
                  <w:vAlign w:val="center"/>
                </w:tcPr>
                <w:p w14:paraId="6953DA5A">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0.012</w:t>
                  </w:r>
                </w:p>
              </w:tc>
              <w:tc>
                <w:tcPr>
                  <w:tcW w:w="418" w:type="pct"/>
                  <w:vMerge w:val="continue"/>
                  <w:shd w:val="clear" w:color="auto" w:fill="auto"/>
                  <w:vAlign w:val="center"/>
                </w:tcPr>
                <w:p w14:paraId="2F389D72">
                  <w:pPr>
                    <w:jc w:val="center"/>
                    <w:rPr>
                      <w:rFonts w:hint="eastAsia" w:cs="Times New Roman" w:eastAsiaTheme="minorEastAsia"/>
                      <w:color w:val="auto"/>
                      <w:kern w:val="2"/>
                      <w:sz w:val="21"/>
                      <w:szCs w:val="21"/>
                      <w:lang w:val="en-US" w:eastAsia="zh-CN" w:bidi="ar-SA"/>
                    </w:rPr>
                  </w:pPr>
                </w:p>
              </w:tc>
            </w:tr>
            <w:tr w14:paraId="0F58C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36" w:type="pct"/>
                  <w:vAlign w:val="center"/>
                </w:tcPr>
                <w:p w14:paraId="5D028657">
                  <w:pPr>
                    <w:jc w:val="center"/>
                    <w:rPr>
                      <w:rFonts w:hint="default" w:eastAsiaTheme="minorEastAsia"/>
                      <w:color w:val="auto"/>
                      <w:szCs w:val="21"/>
                      <w:lang w:val="en-US" w:eastAsia="zh-CN"/>
                    </w:rPr>
                  </w:pPr>
                  <w:r>
                    <w:rPr>
                      <w:rFonts w:hint="eastAsia" w:eastAsiaTheme="minorEastAsia"/>
                      <w:color w:val="auto"/>
                      <w:szCs w:val="21"/>
                      <w:lang w:val="en-US" w:eastAsia="zh-CN"/>
                    </w:rPr>
                    <w:t>3</w:t>
                  </w:r>
                </w:p>
              </w:tc>
              <w:tc>
                <w:tcPr>
                  <w:tcW w:w="401" w:type="pct"/>
                  <w:shd w:val="clear" w:color="auto" w:fill="auto"/>
                  <w:vAlign w:val="center"/>
                </w:tcPr>
                <w:p w14:paraId="4DA43CE9">
                  <w:pPr>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废抹布、手套（含酒精）</w:t>
                  </w:r>
                </w:p>
              </w:tc>
              <w:tc>
                <w:tcPr>
                  <w:tcW w:w="519" w:type="pct"/>
                  <w:vMerge w:val="restart"/>
                  <w:vAlign w:val="center"/>
                </w:tcPr>
                <w:p w14:paraId="78E0098D">
                  <w:pPr>
                    <w:jc w:val="center"/>
                    <w:rPr>
                      <w:rFonts w:hint="default" w:eastAsiaTheme="minorEastAsia"/>
                      <w:color w:val="auto"/>
                      <w:szCs w:val="21"/>
                      <w:lang w:val="en-US" w:eastAsia="zh-CN"/>
                    </w:rPr>
                  </w:pPr>
                  <w:r>
                    <w:rPr>
                      <w:rFonts w:hint="eastAsia" w:eastAsiaTheme="minorEastAsia"/>
                      <w:color w:val="auto"/>
                      <w:szCs w:val="21"/>
                      <w:lang w:val="en-US" w:eastAsia="zh-CN"/>
                    </w:rPr>
                    <w:t>危险废物</w:t>
                  </w:r>
                </w:p>
              </w:tc>
              <w:tc>
                <w:tcPr>
                  <w:tcW w:w="426" w:type="pct"/>
                  <w:shd w:val="clear" w:color="auto" w:fill="auto"/>
                  <w:vAlign w:val="center"/>
                </w:tcPr>
                <w:p w14:paraId="2552C639">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擦拭</w:t>
                  </w:r>
                </w:p>
              </w:tc>
              <w:tc>
                <w:tcPr>
                  <w:tcW w:w="293" w:type="pct"/>
                  <w:shd w:val="clear" w:color="auto" w:fill="auto"/>
                  <w:vAlign w:val="center"/>
                </w:tcPr>
                <w:p w14:paraId="6B116CD2">
                  <w:pPr>
                    <w:jc w:val="center"/>
                    <w:rPr>
                      <w:rFonts w:hint="eastAsia" w:ascii="Times New Roman" w:hAnsi="Times New Roman" w:cs="Times New Roman" w:eastAsiaTheme="minorEastAsia"/>
                      <w:color w:val="auto"/>
                      <w:kern w:val="2"/>
                      <w:sz w:val="21"/>
                      <w:szCs w:val="21"/>
                      <w:lang w:val="en-US" w:eastAsia="zh-CN" w:bidi="ar-SA"/>
                    </w:rPr>
                  </w:pPr>
                  <w:r>
                    <w:rPr>
                      <w:color w:val="auto"/>
                      <w:szCs w:val="21"/>
                    </w:rPr>
                    <w:t>固态</w:t>
                  </w:r>
                </w:p>
              </w:tc>
              <w:tc>
                <w:tcPr>
                  <w:tcW w:w="528" w:type="pct"/>
                  <w:shd w:val="clear" w:color="auto" w:fill="auto"/>
                  <w:vAlign w:val="center"/>
                </w:tcPr>
                <w:p w14:paraId="0AD41023">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棉、酒精</w:t>
                  </w:r>
                </w:p>
              </w:tc>
              <w:tc>
                <w:tcPr>
                  <w:tcW w:w="513" w:type="pct"/>
                  <w:vMerge w:val="continue"/>
                  <w:vAlign w:val="center"/>
                </w:tcPr>
                <w:p w14:paraId="2C1CBF67">
                  <w:pPr>
                    <w:jc w:val="center"/>
                    <w:rPr>
                      <w:rFonts w:eastAsiaTheme="minorEastAsia"/>
                      <w:color w:val="FF0000"/>
                      <w:szCs w:val="21"/>
                      <w:highlight w:val="yellow"/>
                    </w:rPr>
                  </w:pPr>
                </w:p>
              </w:tc>
              <w:tc>
                <w:tcPr>
                  <w:tcW w:w="250" w:type="pct"/>
                  <w:shd w:val="clear" w:color="auto" w:fill="auto"/>
                  <w:vAlign w:val="center"/>
                </w:tcPr>
                <w:p w14:paraId="46A4B16E">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T，I</w:t>
                  </w:r>
                </w:p>
              </w:tc>
              <w:tc>
                <w:tcPr>
                  <w:tcW w:w="633" w:type="pct"/>
                  <w:shd w:val="clear" w:color="auto" w:fill="auto"/>
                  <w:vAlign w:val="center"/>
                </w:tcPr>
                <w:p w14:paraId="49A52518">
                  <w:pPr>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HW49其他废物</w:t>
                  </w:r>
                </w:p>
              </w:tc>
              <w:tc>
                <w:tcPr>
                  <w:tcW w:w="460" w:type="pct"/>
                  <w:shd w:val="clear" w:color="auto" w:fill="auto"/>
                  <w:vAlign w:val="center"/>
                </w:tcPr>
                <w:p w14:paraId="48DB3FCC">
                  <w:pPr>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900-041-49</w:t>
                  </w:r>
                </w:p>
              </w:tc>
              <w:tc>
                <w:tcPr>
                  <w:tcW w:w="418" w:type="pct"/>
                  <w:shd w:val="clear" w:color="auto" w:fill="auto"/>
                  <w:vAlign w:val="center"/>
                </w:tcPr>
                <w:p w14:paraId="3FDD6E13">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0.05</w:t>
                  </w:r>
                </w:p>
              </w:tc>
              <w:tc>
                <w:tcPr>
                  <w:tcW w:w="418" w:type="pct"/>
                  <w:vMerge w:val="restart"/>
                  <w:shd w:val="clear" w:color="auto" w:fill="auto"/>
                  <w:vAlign w:val="center"/>
                </w:tcPr>
                <w:p w14:paraId="4D990A1D">
                  <w:pPr>
                    <w:jc w:val="center"/>
                    <w:rPr>
                      <w:rFonts w:hint="eastAsia"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委托有资质单位处置</w:t>
                  </w:r>
                </w:p>
              </w:tc>
            </w:tr>
            <w:tr w14:paraId="5719E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136" w:type="pct"/>
                  <w:vAlign w:val="center"/>
                </w:tcPr>
                <w:p w14:paraId="585A89EA">
                  <w:pPr>
                    <w:jc w:val="center"/>
                    <w:rPr>
                      <w:rFonts w:hint="default" w:eastAsiaTheme="minorEastAsia"/>
                      <w:color w:val="auto"/>
                      <w:szCs w:val="21"/>
                      <w:lang w:val="en-US" w:eastAsia="zh-CN"/>
                    </w:rPr>
                  </w:pPr>
                  <w:r>
                    <w:rPr>
                      <w:rFonts w:hint="eastAsia" w:eastAsiaTheme="minorEastAsia"/>
                      <w:color w:val="auto"/>
                      <w:szCs w:val="21"/>
                      <w:lang w:val="en-US" w:eastAsia="zh-CN"/>
                    </w:rPr>
                    <w:t>4</w:t>
                  </w:r>
                </w:p>
              </w:tc>
              <w:tc>
                <w:tcPr>
                  <w:tcW w:w="401" w:type="pct"/>
                  <w:shd w:val="clear" w:color="auto" w:fill="auto"/>
                  <w:vAlign w:val="center"/>
                </w:tcPr>
                <w:p w14:paraId="068C2E93">
                  <w:pPr>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废活性炭</w:t>
                  </w:r>
                </w:p>
              </w:tc>
              <w:tc>
                <w:tcPr>
                  <w:tcW w:w="519" w:type="pct"/>
                  <w:vMerge w:val="continue"/>
                  <w:vAlign w:val="center"/>
                </w:tcPr>
                <w:p w14:paraId="3D074289">
                  <w:pPr>
                    <w:jc w:val="center"/>
                    <w:rPr>
                      <w:rFonts w:hint="eastAsia" w:eastAsiaTheme="minorEastAsia"/>
                      <w:color w:val="FF0000"/>
                      <w:szCs w:val="21"/>
                      <w:lang w:val="en-US" w:eastAsia="zh-CN"/>
                    </w:rPr>
                  </w:pPr>
                </w:p>
              </w:tc>
              <w:tc>
                <w:tcPr>
                  <w:tcW w:w="426" w:type="pct"/>
                  <w:shd w:val="clear" w:color="auto" w:fill="auto"/>
                  <w:vAlign w:val="center"/>
                </w:tcPr>
                <w:p w14:paraId="530401A6">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废气处理</w:t>
                  </w:r>
                </w:p>
              </w:tc>
              <w:tc>
                <w:tcPr>
                  <w:tcW w:w="293" w:type="pct"/>
                  <w:shd w:val="clear" w:color="auto" w:fill="auto"/>
                  <w:vAlign w:val="center"/>
                </w:tcPr>
                <w:p w14:paraId="4D6076EC">
                  <w:pPr>
                    <w:jc w:val="center"/>
                    <w:rPr>
                      <w:rFonts w:hint="eastAsia" w:ascii="Times New Roman" w:hAnsi="Times New Roman" w:cs="Times New Roman" w:eastAsiaTheme="minorEastAsia"/>
                      <w:color w:val="FF0000"/>
                      <w:kern w:val="2"/>
                      <w:sz w:val="21"/>
                      <w:szCs w:val="21"/>
                      <w:lang w:val="en-US" w:eastAsia="zh-CN" w:bidi="ar-SA"/>
                    </w:rPr>
                  </w:pPr>
                  <w:r>
                    <w:rPr>
                      <w:color w:val="auto"/>
                      <w:szCs w:val="21"/>
                    </w:rPr>
                    <w:t>固态</w:t>
                  </w:r>
                </w:p>
              </w:tc>
              <w:tc>
                <w:tcPr>
                  <w:tcW w:w="528" w:type="pct"/>
                  <w:shd w:val="clear" w:color="auto" w:fill="auto"/>
                  <w:vAlign w:val="center"/>
                </w:tcPr>
                <w:p w14:paraId="4F2807C9">
                  <w:pPr>
                    <w:jc w:val="center"/>
                    <w:rPr>
                      <w:rFonts w:hint="eastAsia" w:ascii="Times New Roman" w:hAnsi="Times New Roman" w:cs="Times New Roman" w:eastAsiaTheme="minorEastAsia"/>
                      <w:color w:val="FF0000"/>
                      <w:kern w:val="2"/>
                      <w:sz w:val="21"/>
                      <w:szCs w:val="21"/>
                      <w:lang w:val="en-US" w:eastAsia="zh-CN" w:bidi="ar-SA"/>
                    </w:rPr>
                  </w:pPr>
                  <w:r>
                    <w:rPr>
                      <w:rFonts w:hint="eastAsia" w:eastAsiaTheme="minorEastAsia"/>
                      <w:color w:val="auto"/>
                      <w:szCs w:val="21"/>
                      <w:lang w:val="en-US" w:eastAsia="zh-CN"/>
                    </w:rPr>
                    <w:t>有机物、炭</w:t>
                  </w:r>
                </w:p>
              </w:tc>
              <w:tc>
                <w:tcPr>
                  <w:tcW w:w="513" w:type="pct"/>
                  <w:vMerge w:val="continue"/>
                  <w:vAlign w:val="center"/>
                </w:tcPr>
                <w:p w14:paraId="27858F3E">
                  <w:pPr>
                    <w:jc w:val="center"/>
                    <w:rPr>
                      <w:rFonts w:eastAsiaTheme="minorEastAsia"/>
                      <w:color w:val="FF0000"/>
                      <w:szCs w:val="21"/>
                      <w:highlight w:val="yellow"/>
                    </w:rPr>
                  </w:pPr>
                </w:p>
              </w:tc>
              <w:tc>
                <w:tcPr>
                  <w:tcW w:w="250" w:type="pct"/>
                  <w:shd w:val="clear" w:color="auto" w:fill="auto"/>
                  <w:vAlign w:val="center"/>
                </w:tcPr>
                <w:p w14:paraId="6BAED8E0">
                  <w:pPr>
                    <w:jc w:val="center"/>
                    <w:rPr>
                      <w:rFonts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T</w:t>
                  </w:r>
                </w:p>
              </w:tc>
              <w:tc>
                <w:tcPr>
                  <w:tcW w:w="633" w:type="pct"/>
                  <w:shd w:val="clear" w:color="auto" w:fill="auto"/>
                  <w:vAlign w:val="center"/>
                </w:tcPr>
                <w:p w14:paraId="6A3742D3">
                  <w:pPr>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HW49其他废物</w:t>
                  </w:r>
                </w:p>
              </w:tc>
              <w:tc>
                <w:tcPr>
                  <w:tcW w:w="460" w:type="pct"/>
                  <w:shd w:val="clear" w:color="auto" w:fill="auto"/>
                  <w:vAlign w:val="center"/>
                </w:tcPr>
                <w:p w14:paraId="0F24443C">
                  <w:pPr>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900-039-49</w:t>
                  </w:r>
                </w:p>
              </w:tc>
              <w:tc>
                <w:tcPr>
                  <w:tcW w:w="418" w:type="pct"/>
                  <w:shd w:val="clear" w:color="auto" w:fill="auto"/>
                  <w:vAlign w:val="center"/>
                </w:tcPr>
                <w:p w14:paraId="7FA4ED2B">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0.8</w:t>
                  </w:r>
                </w:p>
              </w:tc>
              <w:tc>
                <w:tcPr>
                  <w:tcW w:w="418" w:type="pct"/>
                  <w:vMerge w:val="continue"/>
                  <w:shd w:val="clear" w:color="auto" w:fill="auto"/>
                  <w:vAlign w:val="center"/>
                </w:tcPr>
                <w:p w14:paraId="28D874CB">
                  <w:pPr>
                    <w:jc w:val="center"/>
                    <w:rPr>
                      <w:rFonts w:hint="eastAsia" w:cs="Times New Roman" w:eastAsiaTheme="minorEastAsia"/>
                      <w:color w:val="auto"/>
                      <w:kern w:val="2"/>
                      <w:sz w:val="21"/>
                      <w:szCs w:val="21"/>
                      <w:lang w:val="en-US" w:eastAsia="zh-CN" w:bidi="ar-SA"/>
                    </w:rPr>
                  </w:pPr>
                </w:p>
              </w:tc>
            </w:tr>
            <w:tr w14:paraId="0A5E6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136" w:type="pct"/>
                  <w:vAlign w:val="center"/>
                </w:tcPr>
                <w:p w14:paraId="22C0FC6F">
                  <w:pPr>
                    <w:jc w:val="center"/>
                    <w:rPr>
                      <w:rFonts w:hint="default" w:eastAsiaTheme="minorEastAsia"/>
                      <w:color w:val="auto"/>
                      <w:szCs w:val="21"/>
                      <w:lang w:val="en-US" w:eastAsia="zh-CN"/>
                    </w:rPr>
                  </w:pPr>
                  <w:r>
                    <w:rPr>
                      <w:rFonts w:hint="eastAsia" w:eastAsiaTheme="minorEastAsia"/>
                      <w:color w:val="auto"/>
                      <w:szCs w:val="21"/>
                      <w:lang w:val="en-US" w:eastAsia="zh-CN"/>
                    </w:rPr>
                    <w:t>5</w:t>
                  </w:r>
                </w:p>
              </w:tc>
              <w:tc>
                <w:tcPr>
                  <w:tcW w:w="401" w:type="pct"/>
                  <w:shd w:val="clear" w:color="auto" w:fill="auto"/>
                  <w:vAlign w:val="center"/>
                </w:tcPr>
                <w:p w14:paraId="74D440B3">
                  <w:pPr>
                    <w:jc w:val="center"/>
                    <w:rPr>
                      <w:rFonts w:hint="eastAsia" w:ascii="Times New Roman" w:hAnsi="Times New Roman" w:eastAsia="宋体" w:cs="Times New Roman"/>
                      <w:bCs/>
                      <w:color w:val="FF0000"/>
                      <w:kern w:val="2"/>
                      <w:sz w:val="21"/>
                      <w:szCs w:val="21"/>
                      <w:lang w:val="en-US" w:eastAsia="zh-CN" w:bidi="ar-SA"/>
                    </w:rPr>
                  </w:pPr>
                  <w:r>
                    <w:rPr>
                      <w:rFonts w:hint="eastAsia" w:ascii="Times New Roman" w:hAnsi="Times New Roman" w:cs="Times New Roman" w:eastAsiaTheme="minorEastAsia"/>
                      <w:color w:val="auto"/>
                      <w:szCs w:val="21"/>
                      <w:lang w:val="en-US" w:eastAsia="zh-CN"/>
                    </w:rPr>
                    <w:t>废包装容器</w:t>
                  </w:r>
                </w:p>
              </w:tc>
              <w:tc>
                <w:tcPr>
                  <w:tcW w:w="519" w:type="pct"/>
                  <w:vMerge w:val="continue"/>
                  <w:vAlign w:val="center"/>
                </w:tcPr>
                <w:p w14:paraId="4A6EAA15">
                  <w:pPr>
                    <w:jc w:val="center"/>
                    <w:rPr>
                      <w:rFonts w:hint="eastAsia" w:eastAsiaTheme="minorEastAsia"/>
                      <w:color w:val="FF0000"/>
                      <w:szCs w:val="21"/>
                      <w:lang w:val="en-US" w:eastAsia="zh-CN"/>
                    </w:rPr>
                  </w:pPr>
                </w:p>
              </w:tc>
              <w:tc>
                <w:tcPr>
                  <w:tcW w:w="426" w:type="pct"/>
                  <w:shd w:val="clear" w:color="auto" w:fill="auto"/>
                  <w:vAlign w:val="center"/>
                </w:tcPr>
                <w:p w14:paraId="44705402">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原料包装</w:t>
                  </w:r>
                </w:p>
              </w:tc>
              <w:tc>
                <w:tcPr>
                  <w:tcW w:w="293" w:type="pct"/>
                  <w:shd w:val="clear" w:color="auto" w:fill="auto"/>
                  <w:vAlign w:val="center"/>
                </w:tcPr>
                <w:p w14:paraId="542560C6">
                  <w:pPr>
                    <w:widowControl/>
                    <w:jc w:val="center"/>
                    <w:rPr>
                      <w:rFonts w:hint="eastAsia" w:ascii="Times New Roman" w:hAnsi="Times New Roman" w:eastAsia="宋体" w:cs="Times New Roman"/>
                      <w:color w:val="auto"/>
                      <w:kern w:val="2"/>
                      <w:sz w:val="21"/>
                      <w:szCs w:val="21"/>
                      <w:lang w:val="en-US" w:eastAsia="zh-CN" w:bidi="ar-SA"/>
                    </w:rPr>
                  </w:pPr>
                  <w:r>
                    <w:rPr>
                      <w:color w:val="auto"/>
                      <w:szCs w:val="21"/>
                    </w:rPr>
                    <w:t>固态</w:t>
                  </w:r>
                </w:p>
              </w:tc>
              <w:tc>
                <w:tcPr>
                  <w:tcW w:w="528" w:type="pct"/>
                  <w:shd w:val="clear" w:color="auto" w:fill="auto"/>
                  <w:vAlign w:val="center"/>
                </w:tcPr>
                <w:p w14:paraId="0E74F58C">
                  <w:pPr>
                    <w:widowControl/>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有机物、金属</w:t>
                  </w:r>
                </w:p>
              </w:tc>
              <w:tc>
                <w:tcPr>
                  <w:tcW w:w="513" w:type="pct"/>
                  <w:vMerge w:val="continue"/>
                  <w:vAlign w:val="center"/>
                </w:tcPr>
                <w:p w14:paraId="3369A0F2">
                  <w:pPr>
                    <w:jc w:val="center"/>
                    <w:rPr>
                      <w:rFonts w:eastAsiaTheme="minorEastAsia"/>
                      <w:color w:val="FF0000"/>
                      <w:szCs w:val="21"/>
                      <w:highlight w:val="yellow"/>
                    </w:rPr>
                  </w:pPr>
                </w:p>
              </w:tc>
              <w:tc>
                <w:tcPr>
                  <w:tcW w:w="250" w:type="pct"/>
                  <w:shd w:val="clear" w:color="auto" w:fill="auto"/>
                  <w:vAlign w:val="center"/>
                </w:tcPr>
                <w:p w14:paraId="6D09AC3D">
                  <w:pPr>
                    <w:jc w:val="center"/>
                    <w:rPr>
                      <w:rFonts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T，I</w:t>
                  </w:r>
                </w:p>
              </w:tc>
              <w:tc>
                <w:tcPr>
                  <w:tcW w:w="633" w:type="pct"/>
                  <w:shd w:val="clear" w:color="auto" w:fill="auto"/>
                  <w:vAlign w:val="center"/>
                </w:tcPr>
                <w:p w14:paraId="18475A33">
                  <w:pPr>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HW49其他废物</w:t>
                  </w:r>
                </w:p>
              </w:tc>
              <w:tc>
                <w:tcPr>
                  <w:tcW w:w="460" w:type="pct"/>
                  <w:shd w:val="clear" w:color="auto" w:fill="auto"/>
                  <w:vAlign w:val="center"/>
                </w:tcPr>
                <w:p w14:paraId="3E8BFAC9">
                  <w:pPr>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900-041-49</w:t>
                  </w:r>
                </w:p>
              </w:tc>
              <w:tc>
                <w:tcPr>
                  <w:tcW w:w="418" w:type="pct"/>
                  <w:shd w:val="clear" w:color="auto" w:fill="auto"/>
                  <w:vAlign w:val="center"/>
                </w:tcPr>
                <w:p w14:paraId="46D12186">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0.3</w:t>
                  </w:r>
                </w:p>
              </w:tc>
              <w:tc>
                <w:tcPr>
                  <w:tcW w:w="418" w:type="pct"/>
                  <w:vMerge w:val="continue"/>
                  <w:shd w:val="clear" w:color="auto" w:fill="auto"/>
                  <w:vAlign w:val="center"/>
                </w:tcPr>
                <w:p w14:paraId="6169BD37">
                  <w:pPr>
                    <w:jc w:val="center"/>
                    <w:rPr>
                      <w:rFonts w:hint="eastAsia" w:cs="Times New Roman" w:eastAsiaTheme="minorEastAsia"/>
                      <w:color w:val="auto"/>
                      <w:kern w:val="2"/>
                      <w:sz w:val="21"/>
                      <w:szCs w:val="21"/>
                      <w:lang w:val="en-US" w:eastAsia="zh-CN" w:bidi="ar-SA"/>
                    </w:rPr>
                  </w:pPr>
                </w:p>
              </w:tc>
            </w:tr>
            <w:tr w14:paraId="0F172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36" w:type="pct"/>
                  <w:vAlign w:val="center"/>
                </w:tcPr>
                <w:p w14:paraId="191D7403">
                  <w:pPr>
                    <w:jc w:val="center"/>
                    <w:rPr>
                      <w:rFonts w:hint="default" w:eastAsiaTheme="minorEastAsia"/>
                      <w:color w:val="auto"/>
                      <w:szCs w:val="21"/>
                      <w:lang w:val="en-US" w:eastAsia="zh-CN"/>
                    </w:rPr>
                  </w:pPr>
                  <w:r>
                    <w:rPr>
                      <w:rFonts w:hint="eastAsia" w:eastAsiaTheme="minorEastAsia"/>
                      <w:color w:val="auto"/>
                      <w:szCs w:val="21"/>
                      <w:lang w:val="en-US" w:eastAsia="zh-CN"/>
                    </w:rPr>
                    <w:t>6</w:t>
                  </w:r>
                </w:p>
              </w:tc>
              <w:tc>
                <w:tcPr>
                  <w:tcW w:w="401" w:type="pct"/>
                  <w:shd w:val="clear" w:color="auto" w:fill="auto"/>
                  <w:vAlign w:val="center"/>
                </w:tcPr>
                <w:p w14:paraId="41DB2B24">
                  <w:pPr>
                    <w:ind w:left="-42" w:leftChars="-20" w:right="-42" w:rightChars="-20"/>
                    <w:jc w:val="center"/>
                    <w:rPr>
                      <w:rFonts w:hint="eastAsia" w:ascii="Times New Roman" w:hAnsi="Times New Roman" w:cs="Times New Roman" w:eastAsiaTheme="minorEastAsia"/>
                      <w:color w:val="auto"/>
                      <w:kern w:val="2"/>
                      <w:sz w:val="21"/>
                      <w:szCs w:val="21"/>
                      <w:lang w:val="en-US" w:eastAsia="zh-CN" w:bidi="ar-SA"/>
                    </w:rPr>
                  </w:pPr>
                  <w:r>
                    <w:rPr>
                      <w:rFonts w:eastAsiaTheme="minorEastAsia"/>
                      <w:color w:val="auto"/>
                      <w:szCs w:val="21"/>
                    </w:rPr>
                    <w:t>生活垃圾</w:t>
                  </w:r>
                </w:p>
              </w:tc>
              <w:tc>
                <w:tcPr>
                  <w:tcW w:w="519" w:type="pct"/>
                  <w:shd w:val="clear" w:color="auto" w:fill="auto"/>
                  <w:vAlign w:val="center"/>
                </w:tcPr>
                <w:p w14:paraId="26DF6927">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生活垃圾</w:t>
                  </w:r>
                </w:p>
              </w:tc>
              <w:tc>
                <w:tcPr>
                  <w:tcW w:w="426" w:type="pct"/>
                  <w:shd w:val="clear" w:color="auto" w:fill="auto"/>
                  <w:vAlign w:val="center"/>
                </w:tcPr>
                <w:p w14:paraId="77C157BF">
                  <w:pPr>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办公、生活</w:t>
                  </w:r>
                </w:p>
              </w:tc>
              <w:tc>
                <w:tcPr>
                  <w:tcW w:w="293" w:type="pct"/>
                  <w:shd w:val="clear" w:color="auto" w:fill="auto"/>
                  <w:vAlign w:val="center"/>
                </w:tcPr>
                <w:p w14:paraId="52DABECE">
                  <w:pPr>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半固态</w:t>
                  </w:r>
                </w:p>
              </w:tc>
              <w:tc>
                <w:tcPr>
                  <w:tcW w:w="528" w:type="pct"/>
                  <w:shd w:val="clear" w:color="auto" w:fill="auto"/>
                  <w:vAlign w:val="center"/>
                </w:tcPr>
                <w:p w14:paraId="642F3897">
                  <w:pPr>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废塑料、废纸等</w:t>
                  </w:r>
                </w:p>
              </w:tc>
              <w:tc>
                <w:tcPr>
                  <w:tcW w:w="513" w:type="pct"/>
                  <w:vMerge w:val="continue"/>
                  <w:shd w:val="clear" w:color="auto" w:fill="auto"/>
                  <w:vAlign w:val="center"/>
                </w:tcPr>
                <w:p w14:paraId="30DB5AB5">
                  <w:pPr>
                    <w:jc w:val="center"/>
                    <w:rPr>
                      <w:rFonts w:ascii="Times New Roman" w:hAnsi="Times New Roman" w:cs="Times New Roman" w:eastAsiaTheme="minorEastAsia"/>
                      <w:color w:val="auto"/>
                      <w:kern w:val="2"/>
                      <w:sz w:val="21"/>
                      <w:szCs w:val="21"/>
                      <w:highlight w:val="yellow"/>
                      <w:lang w:val="en-US" w:eastAsia="zh-CN" w:bidi="ar-SA"/>
                    </w:rPr>
                  </w:pPr>
                </w:p>
              </w:tc>
              <w:tc>
                <w:tcPr>
                  <w:tcW w:w="250" w:type="pct"/>
                  <w:shd w:val="clear" w:color="auto" w:fill="auto"/>
                  <w:vAlign w:val="center"/>
                </w:tcPr>
                <w:p w14:paraId="4B982A4E">
                  <w:pPr>
                    <w:jc w:val="center"/>
                    <w:rPr>
                      <w:rFonts w:hint="eastAsia" w:ascii="Times New Roman" w:hAnsi="Times New Roman" w:cs="Times New Roman" w:eastAsiaTheme="minorEastAsia"/>
                      <w:color w:val="auto"/>
                      <w:kern w:val="2"/>
                      <w:sz w:val="21"/>
                      <w:szCs w:val="21"/>
                      <w:lang w:val="en-US" w:eastAsia="zh-CN" w:bidi="ar-SA"/>
                    </w:rPr>
                  </w:pPr>
                  <w:r>
                    <w:rPr>
                      <w:rFonts w:eastAsiaTheme="minorEastAsia"/>
                      <w:color w:val="auto"/>
                      <w:szCs w:val="21"/>
                    </w:rPr>
                    <w:t>/</w:t>
                  </w:r>
                </w:p>
              </w:tc>
              <w:tc>
                <w:tcPr>
                  <w:tcW w:w="633" w:type="pct"/>
                  <w:shd w:val="clear" w:color="auto" w:fill="auto"/>
                  <w:vAlign w:val="center"/>
                </w:tcPr>
                <w:p w14:paraId="10A93F91">
                  <w:pPr>
                    <w:widowControl/>
                    <w:jc w:val="center"/>
                    <w:rPr>
                      <w:rFonts w:hint="eastAsia" w:ascii="Times New Roman" w:hAnsi="Times New Roman" w:cs="Times New Roman" w:eastAsiaTheme="minorEastAsia"/>
                      <w:color w:val="auto"/>
                      <w:kern w:val="2"/>
                      <w:sz w:val="21"/>
                      <w:szCs w:val="21"/>
                      <w:lang w:val="en-US" w:eastAsia="zh-CN" w:bidi="ar-SA"/>
                    </w:rPr>
                  </w:pPr>
                  <w:r>
                    <w:rPr>
                      <w:rFonts w:eastAsiaTheme="minorEastAsia"/>
                      <w:color w:val="auto"/>
                      <w:szCs w:val="21"/>
                    </w:rPr>
                    <w:t>99其他废物</w:t>
                  </w:r>
                </w:p>
              </w:tc>
              <w:tc>
                <w:tcPr>
                  <w:tcW w:w="460" w:type="pct"/>
                  <w:shd w:val="clear" w:color="auto" w:fill="auto"/>
                  <w:vAlign w:val="center"/>
                </w:tcPr>
                <w:p w14:paraId="41DB6C56">
                  <w:pPr>
                    <w:jc w:val="center"/>
                    <w:rPr>
                      <w:rFonts w:hint="eastAsia" w:ascii="Times New Roman" w:hAnsi="Times New Roman" w:cs="Times New Roman" w:eastAsiaTheme="minorEastAsia"/>
                      <w:color w:val="auto"/>
                      <w:kern w:val="2"/>
                      <w:sz w:val="21"/>
                      <w:szCs w:val="21"/>
                      <w:shd w:val="clear" w:color="auto" w:fill="auto"/>
                      <w:lang w:val="en-US" w:eastAsia="zh-CN" w:bidi="ar-SA"/>
                    </w:rPr>
                  </w:pPr>
                  <w:r>
                    <w:rPr>
                      <w:rFonts w:eastAsiaTheme="minorEastAsia"/>
                      <w:color w:val="auto"/>
                      <w:szCs w:val="21"/>
                      <w:shd w:val="clear" w:color="auto" w:fill="auto"/>
                    </w:rPr>
                    <w:t>/</w:t>
                  </w:r>
                </w:p>
              </w:tc>
              <w:tc>
                <w:tcPr>
                  <w:tcW w:w="418" w:type="pct"/>
                  <w:shd w:val="clear" w:color="auto" w:fill="auto"/>
                  <w:vAlign w:val="center"/>
                </w:tcPr>
                <w:p w14:paraId="3BB2AF06">
                  <w:pPr>
                    <w:jc w:val="center"/>
                    <w:rPr>
                      <w:rFonts w:hint="eastAsia"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szCs w:val="21"/>
                      <w:lang w:val="en-US" w:eastAsia="zh-CN"/>
                    </w:rPr>
                    <w:t>3</w:t>
                  </w:r>
                </w:p>
              </w:tc>
              <w:tc>
                <w:tcPr>
                  <w:tcW w:w="418" w:type="pct"/>
                  <w:shd w:val="clear" w:color="auto" w:fill="auto"/>
                  <w:vAlign w:val="center"/>
                </w:tcPr>
                <w:p w14:paraId="455E6BD4">
                  <w:pPr>
                    <w:jc w:val="center"/>
                    <w:rPr>
                      <w:rFonts w:hint="default"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环卫清运</w:t>
                  </w:r>
                </w:p>
              </w:tc>
            </w:tr>
          </w:tbl>
          <w:p w14:paraId="5D74D34F">
            <w:pPr>
              <w:adjustRightInd w:val="0"/>
              <w:snapToGrid w:val="0"/>
              <w:ind w:firstLine="200" w:firstLineChars="200"/>
              <w:rPr>
                <w:rFonts w:eastAsiaTheme="minorEastAsia"/>
                <w:bCs/>
                <w:color w:val="FF0000"/>
                <w:sz w:val="10"/>
                <w:szCs w:val="10"/>
              </w:rPr>
            </w:pPr>
          </w:p>
          <w:p w14:paraId="2E7578F9">
            <w:pPr>
              <w:pStyle w:val="2"/>
              <w:ind w:firstLine="480" w:firstLineChars="200"/>
              <w:rPr>
                <w:b/>
                <w:color w:val="auto"/>
                <w:sz w:val="24"/>
                <w:szCs w:val="24"/>
              </w:rPr>
            </w:pPr>
            <w:r>
              <w:rPr>
                <w:rFonts w:hint="eastAsia"/>
                <w:color w:val="auto"/>
                <w:sz w:val="24"/>
                <w:szCs w:val="24"/>
                <w:lang w:val="en-US" w:eastAsia="zh-CN"/>
              </w:rPr>
              <w:t>本</w:t>
            </w:r>
            <w:r>
              <w:rPr>
                <w:color w:val="auto"/>
                <w:sz w:val="24"/>
                <w:szCs w:val="24"/>
              </w:rPr>
              <w:t>项目危险固废汇总见下表4</w:t>
            </w:r>
            <w:r>
              <w:rPr>
                <w:rFonts w:hint="eastAsia"/>
                <w:color w:val="auto"/>
                <w:sz w:val="24"/>
                <w:szCs w:val="24"/>
                <w:lang w:val="en-US" w:eastAsia="zh-CN"/>
              </w:rPr>
              <w:t>-24</w:t>
            </w:r>
            <w:r>
              <w:rPr>
                <w:color w:val="auto"/>
                <w:sz w:val="24"/>
                <w:szCs w:val="24"/>
              </w:rPr>
              <w:t>。</w:t>
            </w:r>
          </w:p>
          <w:p w14:paraId="107D752E">
            <w:pPr>
              <w:widowControl/>
              <w:topLinePunct/>
              <w:adjustRightInd w:val="0"/>
              <w:snapToGrid w:val="0"/>
              <w:spacing w:line="360" w:lineRule="auto"/>
              <w:jc w:val="center"/>
              <w:rPr>
                <w:b/>
                <w:color w:val="auto"/>
                <w:sz w:val="24"/>
                <w:szCs w:val="24"/>
              </w:rPr>
            </w:pPr>
            <w:r>
              <w:rPr>
                <w:b/>
                <w:color w:val="auto"/>
                <w:sz w:val="24"/>
                <w:szCs w:val="24"/>
              </w:rPr>
              <w:t>表</w:t>
            </w:r>
            <w:r>
              <w:rPr>
                <w:rFonts w:hint="eastAsia"/>
                <w:b/>
                <w:color w:val="auto"/>
                <w:sz w:val="24"/>
                <w:szCs w:val="24"/>
              </w:rPr>
              <w:t>4</w:t>
            </w:r>
            <w:r>
              <w:rPr>
                <w:rFonts w:hint="eastAsia"/>
                <w:b/>
                <w:color w:val="auto"/>
                <w:sz w:val="24"/>
                <w:szCs w:val="24"/>
                <w:lang w:val="en-US" w:eastAsia="zh-CN"/>
              </w:rPr>
              <w:t>-24本项目</w:t>
            </w:r>
            <w:r>
              <w:rPr>
                <w:b/>
                <w:color w:val="auto"/>
                <w:sz w:val="24"/>
                <w:szCs w:val="24"/>
              </w:rPr>
              <w:t>危险废物汇总表</w:t>
            </w:r>
          </w:p>
          <w:tbl>
            <w:tblPr>
              <w:tblStyle w:val="35"/>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728"/>
              <w:gridCol w:w="1291"/>
              <w:gridCol w:w="938"/>
              <w:gridCol w:w="1190"/>
              <w:gridCol w:w="673"/>
              <w:gridCol w:w="1918"/>
              <w:gridCol w:w="1061"/>
              <w:gridCol w:w="946"/>
              <w:gridCol w:w="946"/>
              <w:gridCol w:w="1008"/>
              <w:gridCol w:w="1107"/>
            </w:tblGrid>
            <w:tr w14:paraId="32B37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1" w:type="pct"/>
                  <w:vAlign w:val="center"/>
                </w:tcPr>
                <w:p w14:paraId="6C5709F1">
                  <w:pPr>
                    <w:widowControl/>
                    <w:topLinePunct/>
                    <w:adjustRightInd w:val="0"/>
                    <w:snapToGrid w:val="0"/>
                    <w:jc w:val="center"/>
                    <w:rPr>
                      <w:b/>
                      <w:color w:val="auto"/>
                      <w:kern w:val="0"/>
                      <w:szCs w:val="21"/>
                    </w:rPr>
                  </w:pPr>
                  <w:r>
                    <w:rPr>
                      <w:b/>
                      <w:color w:val="auto"/>
                      <w:kern w:val="0"/>
                      <w:szCs w:val="21"/>
                    </w:rPr>
                    <w:t>危险废物名称</w:t>
                  </w:r>
                </w:p>
              </w:tc>
              <w:tc>
                <w:tcPr>
                  <w:tcW w:w="621" w:type="pct"/>
                  <w:vAlign w:val="center"/>
                </w:tcPr>
                <w:p w14:paraId="431B33CE">
                  <w:pPr>
                    <w:widowControl/>
                    <w:topLinePunct/>
                    <w:adjustRightInd w:val="0"/>
                    <w:snapToGrid w:val="0"/>
                    <w:jc w:val="center"/>
                    <w:rPr>
                      <w:b/>
                      <w:color w:val="auto"/>
                      <w:kern w:val="0"/>
                      <w:szCs w:val="21"/>
                    </w:rPr>
                  </w:pPr>
                  <w:r>
                    <w:rPr>
                      <w:b/>
                      <w:color w:val="auto"/>
                      <w:kern w:val="0"/>
                      <w:szCs w:val="21"/>
                    </w:rPr>
                    <w:t>危险废物类别</w:t>
                  </w:r>
                </w:p>
              </w:tc>
              <w:tc>
                <w:tcPr>
                  <w:tcW w:w="464" w:type="pct"/>
                  <w:vAlign w:val="center"/>
                </w:tcPr>
                <w:p w14:paraId="1D7F3AA8">
                  <w:pPr>
                    <w:widowControl/>
                    <w:topLinePunct/>
                    <w:adjustRightInd w:val="0"/>
                    <w:snapToGrid w:val="0"/>
                    <w:jc w:val="center"/>
                    <w:rPr>
                      <w:b/>
                      <w:color w:val="auto"/>
                      <w:kern w:val="0"/>
                      <w:szCs w:val="21"/>
                    </w:rPr>
                  </w:pPr>
                  <w:r>
                    <w:rPr>
                      <w:b/>
                      <w:color w:val="auto"/>
                      <w:kern w:val="0"/>
                      <w:szCs w:val="21"/>
                    </w:rPr>
                    <w:t>危险废物</w:t>
                  </w:r>
                </w:p>
                <w:p w14:paraId="05A771F0">
                  <w:pPr>
                    <w:widowControl/>
                    <w:topLinePunct/>
                    <w:adjustRightInd w:val="0"/>
                    <w:snapToGrid w:val="0"/>
                    <w:jc w:val="center"/>
                    <w:rPr>
                      <w:b/>
                      <w:color w:val="auto"/>
                      <w:kern w:val="0"/>
                      <w:szCs w:val="21"/>
                    </w:rPr>
                  </w:pPr>
                  <w:r>
                    <w:rPr>
                      <w:b/>
                      <w:color w:val="auto"/>
                      <w:kern w:val="0"/>
                      <w:szCs w:val="21"/>
                    </w:rPr>
                    <w:t>代码</w:t>
                  </w:r>
                </w:p>
              </w:tc>
              <w:tc>
                <w:tcPr>
                  <w:tcW w:w="337" w:type="pct"/>
                  <w:vAlign w:val="center"/>
                </w:tcPr>
                <w:p w14:paraId="1737B4D5">
                  <w:pPr>
                    <w:widowControl/>
                    <w:topLinePunct/>
                    <w:adjustRightInd w:val="0"/>
                    <w:snapToGrid w:val="0"/>
                    <w:jc w:val="center"/>
                    <w:rPr>
                      <w:b/>
                      <w:color w:val="auto"/>
                      <w:kern w:val="0"/>
                      <w:szCs w:val="21"/>
                    </w:rPr>
                  </w:pPr>
                  <w:r>
                    <w:rPr>
                      <w:b/>
                      <w:color w:val="auto"/>
                      <w:kern w:val="0"/>
                      <w:szCs w:val="21"/>
                    </w:rPr>
                    <w:t>产生量（吨/年）</w:t>
                  </w:r>
                </w:p>
              </w:tc>
              <w:tc>
                <w:tcPr>
                  <w:tcW w:w="428" w:type="pct"/>
                  <w:vAlign w:val="center"/>
                </w:tcPr>
                <w:p w14:paraId="7261B569">
                  <w:pPr>
                    <w:widowControl/>
                    <w:topLinePunct/>
                    <w:adjustRightInd w:val="0"/>
                    <w:snapToGrid w:val="0"/>
                    <w:jc w:val="center"/>
                    <w:rPr>
                      <w:b/>
                      <w:color w:val="auto"/>
                      <w:kern w:val="0"/>
                      <w:szCs w:val="21"/>
                    </w:rPr>
                  </w:pPr>
                  <w:r>
                    <w:rPr>
                      <w:b/>
                      <w:color w:val="auto"/>
                      <w:kern w:val="0"/>
                      <w:szCs w:val="21"/>
                    </w:rPr>
                    <w:t>产生工序及装置</w:t>
                  </w:r>
                </w:p>
              </w:tc>
              <w:tc>
                <w:tcPr>
                  <w:tcW w:w="242" w:type="pct"/>
                  <w:vAlign w:val="center"/>
                </w:tcPr>
                <w:p w14:paraId="43A4B24E">
                  <w:pPr>
                    <w:widowControl/>
                    <w:topLinePunct/>
                    <w:adjustRightInd w:val="0"/>
                    <w:snapToGrid w:val="0"/>
                    <w:jc w:val="center"/>
                    <w:rPr>
                      <w:b/>
                      <w:color w:val="auto"/>
                      <w:kern w:val="0"/>
                      <w:szCs w:val="21"/>
                    </w:rPr>
                  </w:pPr>
                  <w:r>
                    <w:rPr>
                      <w:b/>
                      <w:color w:val="auto"/>
                      <w:kern w:val="0"/>
                      <w:szCs w:val="21"/>
                    </w:rPr>
                    <w:t>形态</w:t>
                  </w:r>
                </w:p>
              </w:tc>
              <w:tc>
                <w:tcPr>
                  <w:tcW w:w="690" w:type="pct"/>
                  <w:vAlign w:val="center"/>
                </w:tcPr>
                <w:p w14:paraId="3593B799">
                  <w:pPr>
                    <w:widowControl/>
                    <w:topLinePunct/>
                    <w:adjustRightInd w:val="0"/>
                    <w:snapToGrid w:val="0"/>
                    <w:jc w:val="center"/>
                    <w:rPr>
                      <w:b/>
                      <w:color w:val="auto"/>
                      <w:kern w:val="0"/>
                      <w:szCs w:val="21"/>
                    </w:rPr>
                  </w:pPr>
                  <w:r>
                    <w:rPr>
                      <w:b/>
                      <w:color w:val="auto"/>
                      <w:kern w:val="0"/>
                      <w:szCs w:val="21"/>
                    </w:rPr>
                    <w:t>主要成分</w:t>
                  </w:r>
                </w:p>
              </w:tc>
              <w:tc>
                <w:tcPr>
                  <w:tcW w:w="381" w:type="pct"/>
                  <w:vAlign w:val="center"/>
                </w:tcPr>
                <w:p w14:paraId="0D9384AE">
                  <w:pPr>
                    <w:widowControl/>
                    <w:topLinePunct/>
                    <w:adjustRightInd w:val="0"/>
                    <w:snapToGrid w:val="0"/>
                    <w:jc w:val="center"/>
                    <w:rPr>
                      <w:b/>
                      <w:color w:val="auto"/>
                      <w:kern w:val="0"/>
                      <w:szCs w:val="21"/>
                    </w:rPr>
                  </w:pPr>
                  <w:r>
                    <w:rPr>
                      <w:b/>
                      <w:color w:val="auto"/>
                      <w:kern w:val="0"/>
                      <w:szCs w:val="21"/>
                    </w:rPr>
                    <w:t>有害成分</w:t>
                  </w:r>
                </w:p>
              </w:tc>
              <w:tc>
                <w:tcPr>
                  <w:tcW w:w="340" w:type="pct"/>
                  <w:vAlign w:val="center"/>
                </w:tcPr>
                <w:p w14:paraId="58BFD5D7">
                  <w:pPr>
                    <w:widowControl/>
                    <w:topLinePunct/>
                    <w:adjustRightInd w:val="0"/>
                    <w:snapToGrid w:val="0"/>
                    <w:jc w:val="center"/>
                    <w:rPr>
                      <w:b/>
                      <w:color w:val="auto"/>
                      <w:kern w:val="0"/>
                      <w:szCs w:val="21"/>
                    </w:rPr>
                  </w:pPr>
                  <w:r>
                    <w:rPr>
                      <w:b/>
                      <w:color w:val="auto"/>
                      <w:kern w:val="0"/>
                      <w:szCs w:val="21"/>
                    </w:rPr>
                    <w:t>产废周期</w:t>
                  </w:r>
                </w:p>
              </w:tc>
              <w:tc>
                <w:tcPr>
                  <w:tcW w:w="340" w:type="pct"/>
                  <w:vAlign w:val="center"/>
                </w:tcPr>
                <w:p w14:paraId="16023FF2">
                  <w:pPr>
                    <w:widowControl/>
                    <w:topLinePunct/>
                    <w:adjustRightInd w:val="0"/>
                    <w:snapToGrid w:val="0"/>
                    <w:jc w:val="center"/>
                    <w:rPr>
                      <w:b/>
                      <w:color w:val="auto"/>
                      <w:kern w:val="0"/>
                      <w:szCs w:val="21"/>
                    </w:rPr>
                  </w:pPr>
                  <w:r>
                    <w:rPr>
                      <w:rFonts w:hint="eastAsia"/>
                      <w:b/>
                      <w:color w:val="auto"/>
                      <w:kern w:val="0"/>
                      <w:szCs w:val="21"/>
                    </w:rPr>
                    <w:t>贮存周期</w:t>
                  </w:r>
                </w:p>
              </w:tc>
              <w:tc>
                <w:tcPr>
                  <w:tcW w:w="362" w:type="pct"/>
                  <w:vAlign w:val="center"/>
                </w:tcPr>
                <w:p w14:paraId="110F10EB">
                  <w:pPr>
                    <w:widowControl/>
                    <w:topLinePunct/>
                    <w:adjustRightInd w:val="0"/>
                    <w:snapToGrid w:val="0"/>
                    <w:jc w:val="center"/>
                    <w:rPr>
                      <w:b/>
                      <w:color w:val="auto"/>
                      <w:kern w:val="0"/>
                      <w:szCs w:val="21"/>
                    </w:rPr>
                  </w:pPr>
                  <w:r>
                    <w:rPr>
                      <w:b/>
                      <w:color w:val="auto"/>
                      <w:kern w:val="0"/>
                      <w:szCs w:val="21"/>
                    </w:rPr>
                    <w:t>危险</w:t>
                  </w:r>
                </w:p>
                <w:p w14:paraId="32EF617F">
                  <w:pPr>
                    <w:widowControl/>
                    <w:topLinePunct/>
                    <w:adjustRightInd w:val="0"/>
                    <w:snapToGrid w:val="0"/>
                    <w:jc w:val="center"/>
                    <w:rPr>
                      <w:b/>
                      <w:color w:val="auto"/>
                      <w:kern w:val="0"/>
                      <w:szCs w:val="21"/>
                    </w:rPr>
                  </w:pPr>
                  <w:r>
                    <w:rPr>
                      <w:b/>
                      <w:color w:val="auto"/>
                      <w:kern w:val="0"/>
                      <w:szCs w:val="21"/>
                    </w:rPr>
                    <w:t>特性</w:t>
                  </w:r>
                </w:p>
              </w:tc>
              <w:tc>
                <w:tcPr>
                  <w:tcW w:w="398" w:type="pct"/>
                  <w:vAlign w:val="center"/>
                </w:tcPr>
                <w:p w14:paraId="5882CD3D">
                  <w:pPr>
                    <w:widowControl/>
                    <w:topLinePunct/>
                    <w:adjustRightInd w:val="0"/>
                    <w:snapToGrid w:val="0"/>
                    <w:jc w:val="center"/>
                    <w:rPr>
                      <w:b/>
                      <w:color w:val="auto"/>
                      <w:kern w:val="0"/>
                      <w:szCs w:val="21"/>
                    </w:rPr>
                  </w:pPr>
                  <w:r>
                    <w:rPr>
                      <w:b/>
                      <w:color w:val="auto"/>
                      <w:kern w:val="0"/>
                      <w:szCs w:val="21"/>
                    </w:rPr>
                    <w:t>污染防治</w:t>
                  </w:r>
                </w:p>
                <w:p w14:paraId="6EA14C96">
                  <w:pPr>
                    <w:widowControl/>
                    <w:topLinePunct/>
                    <w:adjustRightInd w:val="0"/>
                    <w:snapToGrid w:val="0"/>
                    <w:jc w:val="center"/>
                    <w:rPr>
                      <w:b/>
                      <w:color w:val="auto"/>
                      <w:kern w:val="0"/>
                      <w:szCs w:val="21"/>
                    </w:rPr>
                  </w:pPr>
                  <w:r>
                    <w:rPr>
                      <w:b/>
                      <w:color w:val="auto"/>
                      <w:kern w:val="0"/>
                      <w:szCs w:val="21"/>
                    </w:rPr>
                    <w:t>措施</w:t>
                  </w:r>
                </w:p>
              </w:tc>
            </w:tr>
            <w:tr w14:paraId="40FFA6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391" w:type="pct"/>
                  <w:shd w:val="clear" w:color="auto" w:fill="auto"/>
                  <w:vAlign w:val="center"/>
                </w:tcPr>
                <w:p w14:paraId="42999E53">
                  <w:pPr>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废抹布、手套（含酒精）</w:t>
                  </w:r>
                </w:p>
              </w:tc>
              <w:tc>
                <w:tcPr>
                  <w:tcW w:w="621" w:type="pct"/>
                  <w:shd w:val="clear" w:color="auto" w:fill="auto"/>
                  <w:vAlign w:val="center"/>
                </w:tcPr>
                <w:p w14:paraId="60354BBD">
                  <w:pPr>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HW49其他废物</w:t>
                  </w:r>
                </w:p>
              </w:tc>
              <w:tc>
                <w:tcPr>
                  <w:tcW w:w="464" w:type="pct"/>
                  <w:shd w:val="clear" w:color="auto" w:fill="auto"/>
                  <w:vAlign w:val="center"/>
                </w:tcPr>
                <w:p w14:paraId="7A5546C5">
                  <w:pPr>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900-041-49</w:t>
                  </w:r>
                </w:p>
              </w:tc>
              <w:tc>
                <w:tcPr>
                  <w:tcW w:w="337" w:type="pct"/>
                  <w:shd w:val="clear" w:color="auto" w:fill="auto"/>
                  <w:vAlign w:val="center"/>
                </w:tcPr>
                <w:p w14:paraId="77B8EBE1">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0.05</w:t>
                  </w:r>
                </w:p>
              </w:tc>
              <w:tc>
                <w:tcPr>
                  <w:tcW w:w="428" w:type="pct"/>
                  <w:shd w:val="clear" w:color="auto" w:fill="auto"/>
                  <w:vAlign w:val="center"/>
                </w:tcPr>
                <w:p w14:paraId="545578D4">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擦拭</w:t>
                  </w:r>
                </w:p>
              </w:tc>
              <w:tc>
                <w:tcPr>
                  <w:tcW w:w="242" w:type="pct"/>
                  <w:shd w:val="clear" w:color="auto" w:fill="auto"/>
                  <w:vAlign w:val="center"/>
                </w:tcPr>
                <w:p w14:paraId="06270499">
                  <w:pPr>
                    <w:jc w:val="center"/>
                    <w:rPr>
                      <w:rFonts w:hint="eastAsia" w:ascii="Times New Roman" w:hAnsi="Times New Roman" w:cs="Times New Roman" w:eastAsiaTheme="minorEastAsia"/>
                      <w:color w:val="auto"/>
                      <w:kern w:val="2"/>
                      <w:sz w:val="21"/>
                      <w:szCs w:val="21"/>
                      <w:lang w:val="en-US" w:eastAsia="zh-CN" w:bidi="ar-SA"/>
                    </w:rPr>
                  </w:pPr>
                  <w:r>
                    <w:rPr>
                      <w:color w:val="auto"/>
                      <w:szCs w:val="21"/>
                    </w:rPr>
                    <w:t>固态</w:t>
                  </w:r>
                </w:p>
              </w:tc>
              <w:tc>
                <w:tcPr>
                  <w:tcW w:w="690" w:type="pct"/>
                  <w:shd w:val="clear" w:color="auto" w:fill="auto"/>
                  <w:vAlign w:val="center"/>
                </w:tcPr>
                <w:p w14:paraId="61FDA3FB">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棉、酒精</w:t>
                  </w:r>
                </w:p>
              </w:tc>
              <w:tc>
                <w:tcPr>
                  <w:tcW w:w="381" w:type="pct"/>
                  <w:vAlign w:val="center"/>
                </w:tcPr>
                <w:p w14:paraId="3A5462DA">
                  <w:pPr>
                    <w:jc w:val="center"/>
                    <w:rPr>
                      <w:rFonts w:hint="eastAsia" w:cs="Times New Roman"/>
                      <w:bCs/>
                      <w:color w:val="FF0000"/>
                      <w:szCs w:val="21"/>
                      <w:lang w:val="en-US" w:eastAsia="zh-CN"/>
                    </w:rPr>
                  </w:pPr>
                  <w:r>
                    <w:rPr>
                      <w:rFonts w:hint="eastAsia" w:eastAsiaTheme="minorEastAsia"/>
                      <w:color w:val="auto"/>
                      <w:szCs w:val="21"/>
                      <w:lang w:val="en-US" w:eastAsia="zh-CN"/>
                    </w:rPr>
                    <w:t>酒精</w:t>
                  </w:r>
                </w:p>
              </w:tc>
              <w:tc>
                <w:tcPr>
                  <w:tcW w:w="340" w:type="pct"/>
                  <w:vAlign w:val="center"/>
                </w:tcPr>
                <w:p w14:paraId="57D37C59">
                  <w:pPr>
                    <w:jc w:val="center"/>
                    <w:rPr>
                      <w:rFonts w:hint="default" w:cs="Times New Roman"/>
                      <w:bCs/>
                      <w:color w:val="auto"/>
                      <w:szCs w:val="21"/>
                      <w:lang w:val="en-US" w:eastAsia="zh-CN"/>
                    </w:rPr>
                  </w:pPr>
                  <w:r>
                    <w:rPr>
                      <w:rFonts w:hint="eastAsia" w:cs="Times New Roman"/>
                      <w:bCs/>
                      <w:color w:val="auto"/>
                      <w:szCs w:val="21"/>
                      <w:lang w:val="en-US" w:eastAsia="zh-CN"/>
                    </w:rPr>
                    <w:t>1个月</w:t>
                  </w:r>
                </w:p>
              </w:tc>
              <w:tc>
                <w:tcPr>
                  <w:tcW w:w="340" w:type="pct"/>
                  <w:vAlign w:val="center"/>
                </w:tcPr>
                <w:p w14:paraId="0BDD1BBE">
                  <w:pPr>
                    <w:jc w:val="center"/>
                    <w:rPr>
                      <w:rFonts w:hint="eastAsia" w:cs="Times New Roman"/>
                      <w:bCs/>
                      <w:color w:val="auto"/>
                      <w:szCs w:val="21"/>
                      <w:lang w:val="en-US" w:eastAsia="zh-CN"/>
                    </w:rPr>
                  </w:pPr>
                  <w:r>
                    <w:rPr>
                      <w:rFonts w:hint="eastAsia" w:cs="Times New Roman"/>
                      <w:bCs/>
                      <w:color w:val="auto"/>
                      <w:szCs w:val="21"/>
                      <w:lang w:val="en-US" w:eastAsia="zh-CN"/>
                    </w:rPr>
                    <w:t>3个月</w:t>
                  </w:r>
                </w:p>
              </w:tc>
              <w:tc>
                <w:tcPr>
                  <w:tcW w:w="362" w:type="pct"/>
                  <w:shd w:val="clear" w:color="auto" w:fill="auto"/>
                  <w:vAlign w:val="center"/>
                </w:tcPr>
                <w:p w14:paraId="06E5DCB0">
                  <w:pPr>
                    <w:jc w:val="center"/>
                    <w:rPr>
                      <w:rFonts w:hint="eastAsia" w:cs="Times New Roman"/>
                      <w:bCs/>
                      <w:color w:val="FF0000"/>
                      <w:szCs w:val="21"/>
                      <w:lang w:val="en-US" w:eastAsia="zh-CN"/>
                    </w:rPr>
                  </w:pPr>
                  <w:r>
                    <w:rPr>
                      <w:rFonts w:hint="eastAsia" w:cs="Times New Roman"/>
                      <w:bCs/>
                      <w:color w:val="auto"/>
                      <w:szCs w:val="21"/>
                      <w:lang w:val="en-US" w:eastAsia="zh-CN"/>
                    </w:rPr>
                    <w:t>T，I</w:t>
                  </w:r>
                </w:p>
              </w:tc>
              <w:tc>
                <w:tcPr>
                  <w:tcW w:w="398" w:type="pct"/>
                  <w:vMerge w:val="restart"/>
                  <w:vAlign w:val="center"/>
                </w:tcPr>
                <w:p w14:paraId="6C4C8869">
                  <w:pPr>
                    <w:widowControl/>
                    <w:adjustRightInd w:val="0"/>
                    <w:snapToGrid w:val="0"/>
                    <w:jc w:val="center"/>
                    <w:rPr>
                      <w:color w:val="FF0000"/>
                      <w:szCs w:val="21"/>
                    </w:rPr>
                  </w:pPr>
                  <w:r>
                    <w:rPr>
                      <w:rFonts w:hint="eastAsia"/>
                      <w:color w:val="auto"/>
                      <w:kern w:val="0"/>
                      <w:szCs w:val="21"/>
                    </w:rPr>
                    <w:t>危废仓库</w:t>
                  </w:r>
                  <w:r>
                    <w:rPr>
                      <w:color w:val="auto"/>
                      <w:kern w:val="0"/>
                      <w:szCs w:val="21"/>
                    </w:rPr>
                    <w:t>暂存</w:t>
                  </w:r>
                </w:p>
              </w:tc>
            </w:tr>
            <w:tr w14:paraId="6428A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0" w:type="auto"/>
                  <w:shd w:val="clear" w:color="auto" w:fill="auto"/>
                  <w:vAlign w:val="center"/>
                </w:tcPr>
                <w:p w14:paraId="2D7E17DB">
                  <w:pPr>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废活性炭</w:t>
                  </w:r>
                </w:p>
              </w:tc>
              <w:tc>
                <w:tcPr>
                  <w:tcW w:w="0" w:type="auto"/>
                  <w:shd w:val="clear" w:color="auto" w:fill="auto"/>
                  <w:vAlign w:val="center"/>
                </w:tcPr>
                <w:p w14:paraId="24A0C811">
                  <w:pPr>
                    <w:jc w:val="center"/>
                    <w:rPr>
                      <w:rFonts w:hint="default" w:cs="Times New Roman"/>
                      <w:bCs/>
                      <w:color w:val="auto"/>
                      <w:szCs w:val="21"/>
                      <w:lang w:val="en-US" w:eastAsia="zh-CN"/>
                    </w:rPr>
                  </w:pPr>
                  <w:r>
                    <w:rPr>
                      <w:rFonts w:hint="eastAsia" w:cs="Times New Roman"/>
                      <w:bCs/>
                      <w:color w:val="auto"/>
                      <w:szCs w:val="21"/>
                      <w:lang w:val="en-US" w:eastAsia="zh-CN"/>
                    </w:rPr>
                    <w:t>HW49其他废物</w:t>
                  </w:r>
                </w:p>
              </w:tc>
              <w:tc>
                <w:tcPr>
                  <w:tcW w:w="0" w:type="auto"/>
                  <w:shd w:val="clear" w:color="auto" w:fill="auto"/>
                  <w:vAlign w:val="center"/>
                </w:tcPr>
                <w:p w14:paraId="76C08429">
                  <w:pPr>
                    <w:jc w:val="center"/>
                    <w:rPr>
                      <w:rFonts w:hint="eastAsia" w:cs="Times New Roman"/>
                      <w:bCs/>
                      <w:color w:val="auto"/>
                      <w:szCs w:val="21"/>
                      <w:lang w:val="en-US" w:eastAsia="zh-CN"/>
                    </w:rPr>
                  </w:pPr>
                  <w:r>
                    <w:rPr>
                      <w:rFonts w:hint="eastAsia" w:cs="Times New Roman"/>
                      <w:bCs/>
                      <w:color w:val="auto"/>
                      <w:szCs w:val="21"/>
                      <w:lang w:val="en-US" w:eastAsia="zh-CN"/>
                    </w:rPr>
                    <w:t>900-039-49</w:t>
                  </w:r>
                </w:p>
              </w:tc>
              <w:tc>
                <w:tcPr>
                  <w:tcW w:w="0" w:type="auto"/>
                  <w:shd w:val="clear" w:color="auto" w:fill="auto"/>
                  <w:vAlign w:val="center"/>
                </w:tcPr>
                <w:p w14:paraId="6BA27839">
                  <w:pPr>
                    <w:jc w:val="center"/>
                    <w:rPr>
                      <w:rFonts w:hint="eastAsia"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0.8</w:t>
                  </w:r>
                </w:p>
              </w:tc>
              <w:tc>
                <w:tcPr>
                  <w:tcW w:w="0" w:type="auto"/>
                  <w:shd w:val="clear" w:color="auto" w:fill="auto"/>
                  <w:vAlign w:val="center"/>
                </w:tcPr>
                <w:p w14:paraId="116F03A7">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废气处理</w:t>
                  </w:r>
                </w:p>
              </w:tc>
              <w:tc>
                <w:tcPr>
                  <w:tcW w:w="242" w:type="pct"/>
                  <w:shd w:val="clear" w:color="auto" w:fill="auto"/>
                  <w:vAlign w:val="center"/>
                </w:tcPr>
                <w:p w14:paraId="53A79428">
                  <w:pPr>
                    <w:jc w:val="center"/>
                    <w:rPr>
                      <w:rFonts w:hint="eastAsia" w:ascii="Times New Roman" w:hAnsi="Times New Roman" w:cs="Times New Roman" w:eastAsiaTheme="minorEastAsia"/>
                      <w:color w:val="auto"/>
                      <w:kern w:val="2"/>
                      <w:sz w:val="21"/>
                      <w:szCs w:val="21"/>
                      <w:lang w:val="en-US" w:eastAsia="zh-CN" w:bidi="ar-SA"/>
                    </w:rPr>
                  </w:pPr>
                  <w:r>
                    <w:rPr>
                      <w:color w:val="auto"/>
                      <w:szCs w:val="21"/>
                    </w:rPr>
                    <w:t>固态</w:t>
                  </w:r>
                </w:p>
              </w:tc>
              <w:tc>
                <w:tcPr>
                  <w:tcW w:w="690" w:type="pct"/>
                  <w:shd w:val="clear" w:color="auto" w:fill="auto"/>
                  <w:vAlign w:val="center"/>
                </w:tcPr>
                <w:p w14:paraId="6A463C44">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有机物、炭</w:t>
                  </w:r>
                </w:p>
              </w:tc>
              <w:tc>
                <w:tcPr>
                  <w:tcW w:w="381" w:type="pct"/>
                  <w:vAlign w:val="center"/>
                </w:tcPr>
                <w:p w14:paraId="053A35E5">
                  <w:pPr>
                    <w:jc w:val="center"/>
                    <w:rPr>
                      <w:rFonts w:hint="eastAsia" w:cs="Times New Roman"/>
                      <w:bCs/>
                      <w:color w:val="auto"/>
                      <w:szCs w:val="21"/>
                      <w:lang w:val="en-US" w:eastAsia="zh-CN"/>
                    </w:rPr>
                  </w:pPr>
                  <w:r>
                    <w:rPr>
                      <w:rFonts w:hint="eastAsia" w:eastAsiaTheme="minorEastAsia"/>
                      <w:color w:val="auto"/>
                      <w:szCs w:val="21"/>
                      <w:lang w:val="en-US" w:eastAsia="zh-CN"/>
                    </w:rPr>
                    <w:t>有机物</w:t>
                  </w:r>
                </w:p>
              </w:tc>
              <w:tc>
                <w:tcPr>
                  <w:tcW w:w="340" w:type="pct"/>
                  <w:vAlign w:val="center"/>
                </w:tcPr>
                <w:p w14:paraId="185A14DC">
                  <w:pPr>
                    <w:jc w:val="center"/>
                    <w:rPr>
                      <w:rFonts w:hint="default" w:cs="Times New Roman"/>
                      <w:bCs/>
                      <w:color w:val="auto"/>
                      <w:szCs w:val="21"/>
                      <w:lang w:val="en-US" w:eastAsia="zh-CN"/>
                    </w:rPr>
                  </w:pPr>
                  <w:r>
                    <w:rPr>
                      <w:rFonts w:hint="eastAsia" w:cs="Times New Roman"/>
                      <w:bCs/>
                      <w:color w:val="auto"/>
                      <w:szCs w:val="21"/>
                      <w:lang w:val="en-US" w:eastAsia="zh-CN"/>
                    </w:rPr>
                    <w:t>90天</w:t>
                  </w:r>
                </w:p>
              </w:tc>
              <w:tc>
                <w:tcPr>
                  <w:tcW w:w="340" w:type="pct"/>
                  <w:shd w:val="clear" w:color="auto" w:fill="auto"/>
                  <w:vAlign w:val="center"/>
                </w:tcPr>
                <w:p w14:paraId="5BABDA89">
                  <w:pPr>
                    <w:jc w:val="center"/>
                    <w:rPr>
                      <w:rFonts w:hint="eastAsia" w:cs="Times New Roman"/>
                      <w:bCs/>
                      <w:color w:val="auto"/>
                      <w:szCs w:val="21"/>
                      <w:lang w:val="en-US" w:eastAsia="zh-CN"/>
                    </w:rPr>
                  </w:pPr>
                  <w:r>
                    <w:rPr>
                      <w:rFonts w:hint="eastAsia" w:cs="Times New Roman"/>
                      <w:bCs/>
                      <w:color w:val="auto"/>
                      <w:szCs w:val="21"/>
                      <w:lang w:val="en-US" w:eastAsia="zh-CN"/>
                    </w:rPr>
                    <w:t>3个月</w:t>
                  </w:r>
                </w:p>
              </w:tc>
              <w:tc>
                <w:tcPr>
                  <w:tcW w:w="0" w:type="auto"/>
                  <w:shd w:val="clear" w:color="auto" w:fill="auto"/>
                  <w:vAlign w:val="center"/>
                </w:tcPr>
                <w:p w14:paraId="13657F91">
                  <w:pPr>
                    <w:jc w:val="center"/>
                    <w:rPr>
                      <w:rFonts w:hint="eastAsia" w:cs="Times New Roman"/>
                      <w:bCs/>
                      <w:color w:val="auto"/>
                      <w:szCs w:val="21"/>
                      <w:lang w:val="en-US" w:eastAsia="zh-CN"/>
                    </w:rPr>
                  </w:pPr>
                  <w:r>
                    <w:rPr>
                      <w:rFonts w:hint="eastAsia" w:cs="Times New Roman"/>
                      <w:bCs/>
                      <w:color w:val="auto"/>
                      <w:szCs w:val="21"/>
                      <w:lang w:val="en-US" w:eastAsia="zh-CN"/>
                    </w:rPr>
                    <w:t>T</w:t>
                  </w:r>
                </w:p>
              </w:tc>
              <w:tc>
                <w:tcPr>
                  <w:tcW w:w="398" w:type="pct"/>
                  <w:vMerge w:val="continue"/>
                </w:tcPr>
                <w:p w14:paraId="10A9E82C">
                  <w:pPr>
                    <w:widowControl/>
                    <w:adjustRightInd w:val="0"/>
                    <w:snapToGrid w:val="0"/>
                    <w:jc w:val="center"/>
                    <w:rPr>
                      <w:color w:val="FF0000"/>
                      <w:szCs w:val="21"/>
                    </w:rPr>
                  </w:pPr>
                </w:p>
              </w:tc>
            </w:tr>
            <w:tr w14:paraId="33BF5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0" w:type="auto"/>
                  <w:shd w:val="clear" w:color="auto" w:fill="auto"/>
                  <w:vAlign w:val="center"/>
                </w:tcPr>
                <w:p w14:paraId="676C2F29">
                  <w:pPr>
                    <w:jc w:val="center"/>
                    <w:rPr>
                      <w:rFonts w:hint="eastAsia" w:cs="Times New Roman"/>
                      <w:bCs/>
                      <w:color w:val="FF0000"/>
                      <w:szCs w:val="21"/>
                      <w:lang w:val="en-US" w:eastAsia="zh-CN"/>
                    </w:rPr>
                  </w:pPr>
                  <w:r>
                    <w:rPr>
                      <w:rFonts w:hint="eastAsia" w:ascii="Times New Roman" w:hAnsi="Times New Roman" w:cs="Times New Roman" w:eastAsiaTheme="minorEastAsia"/>
                      <w:color w:val="auto"/>
                      <w:szCs w:val="21"/>
                      <w:lang w:val="en-US" w:eastAsia="zh-CN"/>
                    </w:rPr>
                    <w:t>废包装容器</w:t>
                  </w:r>
                </w:p>
              </w:tc>
              <w:tc>
                <w:tcPr>
                  <w:tcW w:w="0" w:type="auto"/>
                  <w:shd w:val="clear" w:color="auto" w:fill="auto"/>
                  <w:vAlign w:val="center"/>
                </w:tcPr>
                <w:p w14:paraId="3B399EFC">
                  <w:pPr>
                    <w:jc w:val="center"/>
                    <w:rPr>
                      <w:rFonts w:hint="default" w:cs="Times New Roman"/>
                      <w:bCs/>
                      <w:color w:val="auto"/>
                      <w:szCs w:val="21"/>
                      <w:lang w:val="en-US" w:eastAsia="zh-CN"/>
                    </w:rPr>
                  </w:pPr>
                  <w:r>
                    <w:rPr>
                      <w:rFonts w:hint="eastAsia" w:cs="Times New Roman"/>
                      <w:bCs/>
                      <w:color w:val="auto"/>
                      <w:szCs w:val="21"/>
                      <w:lang w:val="en-US" w:eastAsia="zh-CN"/>
                    </w:rPr>
                    <w:t>HW49其他废物</w:t>
                  </w:r>
                </w:p>
              </w:tc>
              <w:tc>
                <w:tcPr>
                  <w:tcW w:w="0" w:type="auto"/>
                  <w:shd w:val="clear" w:color="auto" w:fill="auto"/>
                  <w:vAlign w:val="center"/>
                </w:tcPr>
                <w:p w14:paraId="58029248">
                  <w:pPr>
                    <w:jc w:val="center"/>
                    <w:rPr>
                      <w:rFonts w:hint="eastAsia" w:cs="Times New Roman"/>
                      <w:bCs/>
                      <w:color w:val="auto"/>
                      <w:szCs w:val="21"/>
                      <w:lang w:val="en-US" w:eastAsia="zh-CN"/>
                    </w:rPr>
                  </w:pPr>
                  <w:r>
                    <w:rPr>
                      <w:rFonts w:hint="eastAsia" w:cs="Times New Roman"/>
                      <w:bCs/>
                      <w:color w:val="auto"/>
                      <w:szCs w:val="21"/>
                      <w:lang w:val="en-US" w:eastAsia="zh-CN"/>
                    </w:rPr>
                    <w:t>900-041-49</w:t>
                  </w:r>
                </w:p>
              </w:tc>
              <w:tc>
                <w:tcPr>
                  <w:tcW w:w="0" w:type="auto"/>
                  <w:shd w:val="clear" w:color="auto" w:fill="auto"/>
                  <w:vAlign w:val="center"/>
                </w:tcPr>
                <w:p w14:paraId="56E2F96A">
                  <w:pPr>
                    <w:jc w:val="center"/>
                    <w:rPr>
                      <w:rFonts w:hint="eastAsia"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0.3</w:t>
                  </w:r>
                </w:p>
              </w:tc>
              <w:tc>
                <w:tcPr>
                  <w:tcW w:w="0" w:type="auto"/>
                  <w:shd w:val="clear" w:color="auto" w:fill="auto"/>
                  <w:vAlign w:val="center"/>
                </w:tcPr>
                <w:p w14:paraId="0F2838ED">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原料包装</w:t>
                  </w:r>
                </w:p>
              </w:tc>
              <w:tc>
                <w:tcPr>
                  <w:tcW w:w="242" w:type="pct"/>
                  <w:shd w:val="clear" w:color="auto" w:fill="auto"/>
                  <w:vAlign w:val="center"/>
                </w:tcPr>
                <w:p w14:paraId="115EBE1A">
                  <w:pPr>
                    <w:widowControl/>
                    <w:jc w:val="center"/>
                    <w:rPr>
                      <w:rFonts w:hint="eastAsia" w:ascii="Times New Roman" w:hAnsi="Times New Roman" w:eastAsia="宋体" w:cs="Times New Roman"/>
                      <w:color w:val="auto"/>
                      <w:kern w:val="2"/>
                      <w:sz w:val="21"/>
                      <w:szCs w:val="21"/>
                      <w:lang w:val="en-US" w:eastAsia="zh-CN" w:bidi="ar-SA"/>
                    </w:rPr>
                  </w:pPr>
                  <w:r>
                    <w:rPr>
                      <w:color w:val="auto"/>
                      <w:szCs w:val="21"/>
                    </w:rPr>
                    <w:t>固态</w:t>
                  </w:r>
                </w:p>
              </w:tc>
              <w:tc>
                <w:tcPr>
                  <w:tcW w:w="690" w:type="pct"/>
                  <w:shd w:val="clear" w:color="auto" w:fill="auto"/>
                  <w:vAlign w:val="center"/>
                </w:tcPr>
                <w:p w14:paraId="3A9A5DF2">
                  <w:pPr>
                    <w:widowControl/>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有机物、金属</w:t>
                  </w:r>
                </w:p>
              </w:tc>
              <w:tc>
                <w:tcPr>
                  <w:tcW w:w="381" w:type="pct"/>
                  <w:vAlign w:val="center"/>
                </w:tcPr>
                <w:p w14:paraId="5AD3DDC5">
                  <w:pPr>
                    <w:jc w:val="center"/>
                    <w:rPr>
                      <w:rFonts w:hint="eastAsia" w:cs="Times New Roman"/>
                      <w:bCs/>
                      <w:color w:val="auto"/>
                      <w:szCs w:val="21"/>
                      <w:lang w:val="en-US" w:eastAsia="zh-CN"/>
                    </w:rPr>
                  </w:pPr>
                  <w:r>
                    <w:rPr>
                      <w:rFonts w:hint="eastAsia" w:eastAsiaTheme="minorEastAsia"/>
                      <w:color w:val="auto"/>
                      <w:szCs w:val="21"/>
                      <w:lang w:val="en-US" w:eastAsia="zh-CN"/>
                    </w:rPr>
                    <w:t>有机物</w:t>
                  </w:r>
                </w:p>
              </w:tc>
              <w:tc>
                <w:tcPr>
                  <w:tcW w:w="340" w:type="pct"/>
                  <w:vAlign w:val="center"/>
                </w:tcPr>
                <w:p w14:paraId="6B99B8BD">
                  <w:pPr>
                    <w:jc w:val="center"/>
                    <w:rPr>
                      <w:rFonts w:hint="default" w:cs="Times New Roman"/>
                      <w:bCs/>
                      <w:color w:val="auto"/>
                      <w:szCs w:val="21"/>
                      <w:lang w:val="en-US" w:eastAsia="zh-CN"/>
                    </w:rPr>
                  </w:pPr>
                  <w:r>
                    <w:rPr>
                      <w:rFonts w:hint="eastAsia" w:cs="Times New Roman"/>
                      <w:bCs/>
                      <w:color w:val="auto"/>
                      <w:szCs w:val="21"/>
                      <w:lang w:val="en-US" w:eastAsia="zh-CN"/>
                    </w:rPr>
                    <w:t>1个月</w:t>
                  </w:r>
                </w:p>
              </w:tc>
              <w:tc>
                <w:tcPr>
                  <w:tcW w:w="340" w:type="pct"/>
                  <w:vAlign w:val="center"/>
                </w:tcPr>
                <w:p w14:paraId="6D2A15C0">
                  <w:pPr>
                    <w:jc w:val="center"/>
                    <w:rPr>
                      <w:rFonts w:hint="eastAsia" w:cs="Times New Roman"/>
                      <w:bCs/>
                      <w:color w:val="auto"/>
                      <w:szCs w:val="21"/>
                      <w:lang w:val="en-US" w:eastAsia="zh-CN"/>
                    </w:rPr>
                  </w:pPr>
                  <w:r>
                    <w:rPr>
                      <w:rFonts w:hint="eastAsia" w:cs="Times New Roman"/>
                      <w:bCs/>
                      <w:color w:val="auto"/>
                      <w:szCs w:val="21"/>
                      <w:lang w:val="en-US" w:eastAsia="zh-CN"/>
                    </w:rPr>
                    <w:t>3个月</w:t>
                  </w:r>
                </w:p>
              </w:tc>
              <w:tc>
                <w:tcPr>
                  <w:tcW w:w="0" w:type="auto"/>
                  <w:shd w:val="clear" w:color="auto" w:fill="auto"/>
                  <w:vAlign w:val="center"/>
                </w:tcPr>
                <w:p w14:paraId="750D1652">
                  <w:pPr>
                    <w:jc w:val="center"/>
                    <w:rPr>
                      <w:rFonts w:hint="eastAsia" w:cs="Times New Roman"/>
                      <w:bCs/>
                      <w:color w:val="auto"/>
                      <w:szCs w:val="21"/>
                      <w:lang w:val="en-US" w:eastAsia="zh-CN"/>
                    </w:rPr>
                  </w:pPr>
                  <w:r>
                    <w:rPr>
                      <w:rFonts w:hint="eastAsia" w:cs="Times New Roman"/>
                      <w:bCs/>
                      <w:color w:val="auto"/>
                      <w:szCs w:val="21"/>
                      <w:lang w:val="en-US" w:eastAsia="zh-CN"/>
                    </w:rPr>
                    <w:t>T，I</w:t>
                  </w:r>
                </w:p>
              </w:tc>
              <w:tc>
                <w:tcPr>
                  <w:tcW w:w="398" w:type="pct"/>
                  <w:vMerge w:val="continue"/>
                </w:tcPr>
                <w:p w14:paraId="2A280FC8">
                  <w:pPr>
                    <w:widowControl/>
                    <w:adjustRightInd w:val="0"/>
                    <w:snapToGrid w:val="0"/>
                    <w:jc w:val="center"/>
                    <w:rPr>
                      <w:color w:val="FF0000"/>
                      <w:szCs w:val="21"/>
                    </w:rPr>
                  </w:pPr>
                </w:p>
              </w:tc>
            </w:tr>
          </w:tbl>
          <w:p w14:paraId="3F0E7E3B">
            <w:pPr>
              <w:adjustRightInd w:val="0"/>
              <w:snapToGrid w:val="0"/>
              <w:ind w:firstLine="200" w:firstLineChars="200"/>
              <w:rPr>
                <w:rFonts w:eastAsiaTheme="minorEastAsia"/>
                <w:bCs/>
                <w:color w:val="FF0000"/>
                <w:sz w:val="10"/>
                <w:szCs w:val="10"/>
              </w:rPr>
            </w:pPr>
          </w:p>
          <w:p w14:paraId="2BCFE8CE">
            <w:pPr>
              <w:pStyle w:val="2"/>
              <w:ind w:left="0" w:leftChars="0" w:firstLine="0" w:firstLineChars="0"/>
              <w:rPr>
                <w:color w:val="FF0000"/>
              </w:rPr>
            </w:pPr>
          </w:p>
          <w:p w14:paraId="259D5363">
            <w:pPr>
              <w:rPr>
                <w:color w:val="FF0000"/>
              </w:rPr>
            </w:pPr>
          </w:p>
        </w:tc>
      </w:tr>
    </w:tbl>
    <w:p w14:paraId="283C1D42">
      <w:pPr>
        <w:rPr>
          <w:color w:val="FF0000"/>
        </w:rPr>
        <w:sectPr>
          <w:pgSz w:w="16838" w:h="11905" w:orient="landscape"/>
          <w:pgMar w:top="1803" w:right="1276" w:bottom="1803" w:left="1712" w:header="850" w:footer="992" w:gutter="0"/>
          <w:pgBorders>
            <w:top w:val="none" w:sz="0" w:space="0"/>
            <w:left w:val="none" w:sz="0" w:space="0"/>
            <w:bottom w:val="none" w:sz="0" w:space="0"/>
            <w:right w:val="none" w:sz="0" w:space="0"/>
          </w:pgBorders>
          <w:pgNumType w:fmt="decimal"/>
          <w:cols w:space="0" w:num="1"/>
          <w:docGrid w:type="lines" w:linePitch="319" w:charSpace="0"/>
        </w:sectPr>
      </w:pPr>
    </w:p>
    <w:tbl>
      <w:tblPr>
        <w:tblStyle w:val="35"/>
        <w:tblW w:w="84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5"/>
        <w:gridCol w:w="8080"/>
      </w:tblGrid>
      <w:tr w14:paraId="782F4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04" w:hRule="atLeast"/>
          <w:jc w:val="center"/>
        </w:trPr>
        <w:tc>
          <w:tcPr>
            <w:tcW w:w="355" w:type="dxa"/>
            <w:tcMar>
              <w:left w:w="28" w:type="dxa"/>
              <w:right w:w="28" w:type="dxa"/>
            </w:tcMar>
            <w:vAlign w:val="center"/>
          </w:tcPr>
          <w:p w14:paraId="7716D2CC">
            <w:pPr>
              <w:adjustRightInd w:val="0"/>
              <w:snapToGrid w:val="0"/>
              <w:jc w:val="center"/>
              <w:rPr>
                <w:rFonts w:ascii="宋体" w:hAnsi="宋体" w:cs="宋体"/>
                <w:b/>
                <w:color w:val="auto"/>
                <w:sz w:val="24"/>
                <w:szCs w:val="24"/>
              </w:rPr>
            </w:pPr>
            <w:r>
              <w:rPr>
                <w:rFonts w:hint="eastAsia" w:ascii="宋体" w:hAnsi="宋体" w:cs="宋体"/>
                <w:b/>
                <w:color w:val="auto"/>
                <w:sz w:val="24"/>
                <w:szCs w:val="24"/>
              </w:rPr>
              <w:t>运营</w:t>
            </w:r>
          </w:p>
          <w:p w14:paraId="4E8840C1">
            <w:pPr>
              <w:adjustRightInd w:val="0"/>
              <w:snapToGrid w:val="0"/>
              <w:jc w:val="center"/>
              <w:rPr>
                <w:rFonts w:ascii="宋体" w:hAnsi="宋体" w:cs="宋体"/>
                <w:b/>
                <w:color w:val="auto"/>
                <w:sz w:val="24"/>
                <w:szCs w:val="24"/>
              </w:rPr>
            </w:pPr>
            <w:r>
              <w:rPr>
                <w:rFonts w:hint="eastAsia" w:ascii="宋体" w:hAnsi="宋体" w:cs="宋体"/>
                <w:b/>
                <w:color w:val="auto"/>
                <w:sz w:val="24"/>
                <w:szCs w:val="24"/>
              </w:rPr>
              <w:t>期环</w:t>
            </w:r>
          </w:p>
          <w:p w14:paraId="11E7BE2F">
            <w:pPr>
              <w:adjustRightInd w:val="0"/>
              <w:snapToGrid w:val="0"/>
              <w:jc w:val="center"/>
              <w:rPr>
                <w:rFonts w:ascii="宋体" w:hAnsi="宋体" w:cs="宋体"/>
                <w:b/>
                <w:color w:val="auto"/>
                <w:sz w:val="24"/>
                <w:szCs w:val="24"/>
              </w:rPr>
            </w:pPr>
            <w:r>
              <w:rPr>
                <w:rFonts w:hint="eastAsia" w:ascii="宋体" w:hAnsi="宋体" w:cs="宋体"/>
                <w:b/>
                <w:color w:val="auto"/>
                <w:sz w:val="24"/>
                <w:szCs w:val="24"/>
              </w:rPr>
              <w:t>境影</w:t>
            </w:r>
          </w:p>
          <w:p w14:paraId="3B372B83">
            <w:pPr>
              <w:adjustRightInd w:val="0"/>
              <w:snapToGrid w:val="0"/>
              <w:jc w:val="center"/>
              <w:rPr>
                <w:rFonts w:ascii="宋体" w:hAnsi="宋体" w:cs="宋体"/>
                <w:b/>
                <w:color w:val="auto"/>
                <w:sz w:val="24"/>
                <w:szCs w:val="24"/>
              </w:rPr>
            </w:pPr>
            <w:r>
              <w:rPr>
                <w:rFonts w:hint="eastAsia" w:ascii="宋体" w:hAnsi="宋体" w:cs="宋体"/>
                <w:b/>
                <w:color w:val="auto"/>
                <w:sz w:val="24"/>
                <w:szCs w:val="24"/>
              </w:rPr>
              <w:t>响和</w:t>
            </w:r>
          </w:p>
          <w:p w14:paraId="3FEB7A42">
            <w:pPr>
              <w:adjustRightInd w:val="0"/>
              <w:snapToGrid w:val="0"/>
              <w:jc w:val="center"/>
              <w:rPr>
                <w:rFonts w:ascii="宋体" w:hAnsi="宋体" w:cs="宋体"/>
                <w:b/>
                <w:color w:val="auto"/>
                <w:sz w:val="24"/>
                <w:szCs w:val="24"/>
              </w:rPr>
            </w:pPr>
            <w:r>
              <w:rPr>
                <w:rFonts w:hint="eastAsia" w:ascii="宋体" w:hAnsi="宋体" w:cs="宋体"/>
                <w:b/>
                <w:color w:val="auto"/>
                <w:sz w:val="24"/>
                <w:szCs w:val="24"/>
              </w:rPr>
              <w:t>保护</w:t>
            </w:r>
          </w:p>
          <w:p w14:paraId="31A9B42C">
            <w:pPr>
              <w:adjustRightInd w:val="0"/>
              <w:snapToGrid w:val="0"/>
              <w:jc w:val="center"/>
              <w:rPr>
                <w:rFonts w:ascii="宋体" w:hAnsi="宋体" w:cs="宋体"/>
                <w:bCs/>
                <w:color w:val="FF0000"/>
                <w:szCs w:val="21"/>
              </w:rPr>
            </w:pPr>
            <w:r>
              <w:rPr>
                <w:rFonts w:hint="eastAsia" w:ascii="宋体" w:hAnsi="宋体" w:cs="宋体"/>
                <w:b/>
                <w:color w:val="auto"/>
                <w:sz w:val="24"/>
                <w:szCs w:val="24"/>
              </w:rPr>
              <w:t>措施</w:t>
            </w:r>
          </w:p>
        </w:tc>
        <w:tc>
          <w:tcPr>
            <w:tcW w:w="8080" w:type="dxa"/>
            <w:vAlign w:val="center"/>
          </w:tcPr>
          <w:p w14:paraId="26190C73">
            <w:pPr>
              <w:adjustRightInd w:val="0"/>
              <w:snapToGrid w:val="0"/>
              <w:spacing w:line="360" w:lineRule="auto"/>
              <w:ind w:firstLine="482" w:firstLineChars="200"/>
              <w:rPr>
                <w:rFonts w:eastAsiaTheme="minorEastAsia"/>
                <w:color w:val="auto"/>
                <w:sz w:val="24"/>
                <w:szCs w:val="24"/>
              </w:rPr>
            </w:pPr>
            <w:r>
              <w:rPr>
                <w:rFonts w:hint="eastAsia" w:eastAsiaTheme="minorEastAsia"/>
                <w:b/>
                <w:color w:val="auto"/>
                <w:sz w:val="24"/>
                <w:szCs w:val="24"/>
              </w:rPr>
              <w:t>4.2</w:t>
            </w:r>
            <w:r>
              <w:rPr>
                <w:rFonts w:hint="eastAsia"/>
                <w:b/>
                <w:bCs/>
                <w:color w:val="auto"/>
                <w:sz w:val="24"/>
                <w:szCs w:val="24"/>
              </w:rPr>
              <w:t>固体废物贮存及利用处置情况</w:t>
            </w:r>
          </w:p>
          <w:p w14:paraId="67F2D692">
            <w:pPr>
              <w:widowControl/>
              <w:snapToGrid w:val="0"/>
              <w:spacing w:line="336" w:lineRule="auto"/>
              <w:ind w:firstLine="480" w:firstLineChars="200"/>
              <w:jc w:val="left"/>
              <w:rPr>
                <w:color w:val="auto"/>
                <w:sz w:val="24"/>
                <w:szCs w:val="24"/>
              </w:rPr>
            </w:pPr>
            <w:r>
              <w:rPr>
                <w:color w:val="auto"/>
                <w:sz w:val="24"/>
                <w:szCs w:val="24"/>
              </w:rPr>
              <w:t>（1）危险固体废物</w:t>
            </w:r>
          </w:p>
          <w:p w14:paraId="748AAE7F">
            <w:pPr>
              <w:adjustRightInd w:val="0"/>
              <w:snapToGrid w:val="0"/>
              <w:spacing w:line="360" w:lineRule="auto"/>
              <w:ind w:firstLine="480" w:firstLineChars="200"/>
              <w:rPr>
                <w:rFonts w:hint="default"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rPr>
              <w:t>①</w:t>
            </w:r>
            <w:r>
              <w:rPr>
                <w:rFonts w:hint="default" w:ascii="Times New Roman" w:hAnsi="Times New Roman" w:cs="Times New Roman" w:eastAsiaTheme="minorEastAsia"/>
                <w:color w:val="auto"/>
                <w:sz w:val="24"/>
                <w:szCs w:val="24"/>
              </w:rPr>
              <w:t>危废处置方式</w:t>
            </w:r>
          </w:p>
          <w:p w14:paraId="15A62A8C">
            <w:pPr>
              <w:adjustRightInd w:val="0"/>
              <w:snapToGrid w:val="0"/>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根</w:t>
            </w:r>
            <w:r>
              <w:rPr>
                <w:rFonts w:hint="default" w:ascii="Times New Roman" w:hAnsi="Times New Roman" w:cs="Times New Roman" w:eastAsiaTheme="minorEastAsia"/>
                <w:color w:val="auto"/>
                <w:sz w:val="24"/>
                <w:szCs w:val="24"/>
                <w:lang w:val="en-US" w:eastAsia="zh-CN"/>
              </w:rPr>
              <w:t>据《国家危险废物名录》（2025年版）进行鉴别，本项目危险废物为：</w:t>
            </w:r>
            <w:r>
              <w:rPr>
                <w:rFonts w:hint="eastAsia" w:ascii="Times New Roman" w:hAnsi="Times New Roman" w:cs="Times New Roman" w:eastAsiaTheme="minorEastAsia"/>
                <w:color w:val="auto"/>
                <w:sz w:val="24"/>
                <w:szCs w:val="24"/>
                <w:lang w:val="en-US" w:eastAsia="zh-CN"/>
              </w:rPr>
              <w:t>废抹布、手套（含酒精）（HW49其他废物）、废活性炭（HW49其他废物）、废包装容器（HW49其他废物）</w:t>
            </w:r>
            <w:r>
              <w:rPr>
                <w:rFonts w:hint="default" w:ascii="Times New Roman" w:hAnsi="Times New Roman" w:cs="Times New Roman" w:eastAsiaTheme="minorEastAsia"/>
                <w:color w:val="auto"/>
                <w:sz w:val="24"/>
                <w:szCs w:val="24"/>
                <w:lang w:val="en-US" w:eastAsia="zh-CN"/>
              </w:rPr>
              <w:t>，需要委托有资质的单位进行安全、无害化处置，在项目投产前落实危险废物处置途径，签订危废处理</w:t>
            </w:r>
            <w:r>
              <w:rPr>
                <w:rFonts w:hint="default" w:ascii="Times New Roman" w:hAnsi="Times New Roman" w:cs="Times New Roman" w:eastAsiaTheme="minorEastAsia"/>
                <w:color w:val="auto"/>
                <w:sz w:val="24"/>
                <w:szCs w:val="24"/>
              </w:rPr>
              <w:t>合同</w:t>
            </w:r>
            <w:r>
              <w:rPr>
                <w:rFonts w:hint="eastAsia" w:ascii="Times New Roman" w:hAnsi="Times New Roman" w:cs="Times New Roman" w:eastAsiaTheme="minorEastAsia"/>
                <w:color w:val="auto"/>
                <w:sz w:val="24"/>
                <w:szCs w:val="24"/>
              </w:rPr>
              <w:t>。</w:t>
            </w:r>
          </w:p>
          <w:p w14:paraId="1472E6D1">
            <w:pPr>
              <w:adjustRightInd w:val="0"/>
              <w:snapToGrid w:val="0"/>
              <w:spacing w:line="360" w:lineRule="auto"/>
              <w:ind w:firstLine="480" w:firstLineChars="200"/>
              <w:rPr>
                <w:rFonts w:hint="default"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rPr>
              <w:t>②</w:t>
            </w:r>
            <w:r>
              <w:rPr>
                <w:rFonts w:hint="default" w:ascii="Times New Roman" w:hAnsi="Times New Roman" w:cs="Times New Roman" w:eastAsiaTheme="minorEastAsia"/>
                <w:color w:val="auto"/>
                <w:sz w:val="24"/>
                <w:szCs w:val="24"/>
              </w:rPr>
              <w:t>贮存场所（设施）</w:t>
            </w:r>
          </w:p>
          <w:p w14:paraId="4B912172">
            <w:pPr>
              <w:widowControl/>
              <w:adjustRightInd w:val="0"/>
              <w:snapToGrid w:val="0"/>
              <w:spacing w:line="360" w:lineRule="auto"/>
              <w:ind w:firstLine="480" w:firstLineChars="200"/>
              <w:jc w:val="left"/>
              <w:rPr>
                <w:color w:val="auto"/>
                <w:sz w:val="24"/>
                <w:szCs w:val="24"/>
              </w:rPr>
            </w:pPr>
            <w:r>
              <w:rPr>
                <w:rFonts w:hint="eastAsia"/>
                <w:color w:val="auto"/>
                <w:sz w:val="24"/>
                <w:szCs w:val="24"/>
              </w:rPr>
              <w:t>&lt;1&gt;</w:t>
            </w:r>
            <w:r>
              <w:rPr>
                <w:color w:val="auto"/>
                <w:sz w:val="24"/>
                <w:szCs w:val="24"/>
              </w:rPr>
              <w:t>危险废物贮存能力可行性分析</w:t>
            </w:r>
          </w:p>
          <w:p w14:paraId="42DA0D96">
            <w:pPr>
              <w:widowControl/>
              <w:adjustRightInd w:val="0"/>
              <w:snapToGrid w:val="0"/>
              <w:spacing w:line="360" w:lineRule="auto"/>
              <w:ind w:firstLine="480" w:firstLineChars="200"/>
              <w:jc w:val="left"/>
              <w:rPr>
                <w:color w:val="auto"/>
                <w:sz w:val="24"/>
                <w:szCs w:val="24"/>
              </w:rPr>
            </w:pPr>
            <w:r>
              <w:rPr>
                <w:color w:val="auto"/>
                <w:sz w:val="24"/>
              </w:rPr>
              <w:t>本项目</w:t>
            </w:r>
            <w:r>
              <w:rPr>
                <w:rFonts w:hint="eastAsia"/>
                <w:color w:val="auto"/>
                <w:sz w:val="24"/>
                <w:lang w:eastAsia="zh-CN"/>
              </w:rPr>
              <w:t>拟</w:t>
            </w:r>
            <w:r>
              <w:rPr>
                <w:color w:val="auto"/>
                <w:sz w:val="24"/>
              </w:rPr>
              <w:t>在</w:t>
            </w:r>
            <w:r>
              <w:rPr>
                <w:rFonts w:hint="eastAsia"/>
                <w:color w:val="auto"/>
                <w:sz w:val="24"/>
                <w:lang w:val="en-US" w:eastAsia="zh-CN"/>
              </w:rPr>
              <w:t>生产车间内</w:t>
            </w:r>
            <w:r>
              <w:rPr>
                <w:color w:val="auto"/>
                <w:sz w:val="24"/>
              </w:rPr>
              <w:t>设1个</w:t>
            </w:r>
            <w:r>
              <w:rPr>
                <w:rFonts w:hint="eastAsia"/>
                <w:color w:val="auto"/>
                <w:sz w:val="24"/>
              </w:rPr>
              <w:t>危废仓库</w:t>
            </w:r>
            <w:r>
              <w:rPr>
                <w:color w:val="auto"/>
                <w:sz w:val="24"/>
              </w:rPr>
              <w:t>，占地面积约</w:t>
            </w:r>
            <w:r>
              <w:rPr>
                <w:rFonts w:hint="eastAsia"/>
                <w:color w:val="auto"/>
                <w:sz w:val="24"/>
                <w:lang w:val="en-US" w:eastAsia="zh-CN"/>
              </w:rPr>
              <w:t>12m</w:t>
            </w:r>
            <w:r>
              <w:rPr>
                <w:color w:val="auto"/>
                <w:sz w:val="24"/>
                <w:vertAlign w:val="superscript"/>
              </w:rPr>
              <w:t>2</w:t>
            </w:r>
            <w:r>
              <w:rPr>
                <w:color w:val="auto"/>
                <w:sz w:val="24"/>
              </w:rPr>
              <w:t>。</w:t>
            </w:r>
            <w:r>
              <w:rPr>
                <w:rFonts w:hint="eastAsia"/>
                <w:color w:val="auto"/>
                <w:sz w:val="24"/>
                <w:lang w:val="en-US" w:eastAsia="zh-CN"/>
              </w:rPr>
              <w:t>本项目</w:t>
            </w:r>
            <w:r>
              <w:rPr>
                <w:rFonts w:hint="eastAsia"/>
                <w:color w:val="auto"/>
                <w:sz w:val="24"/>
              </w:rPr>
              <w:t>建成后全厂危废暂存情况见下表4</w:t>
            </w:r>
            <w:r>
              <w:rPr>
                <w:rFonts w:hint="eastAsia"/>
                <w:color w:val="auto"/>
                <w:sz w:val="24"/>
                <w:lang w:val="en-US" w:eastAsia="zh-CN"/>
              </w:rPr>
              <w:t>-26</w:t>
            </w:r>
            <w:r>
              <w:rPr>
                <w:rFonts w:hint="eastAsia"/>
                <w:color w:val="auto"/>
                <w:sz w:val="24"/>
              </w:rPr>
              <w:t>。</w:t>
            </w:r>
          </w:p>
          <w:p w14:paraId="1753AFBD">
            <w:pPr>
              <w:spacing w:line="324" w:lineRule="auto"/>
              <w:jc w:val="center"/>
              <w:rPr>
                <w:b/>
                <w:color w:val="auto"/>
                <w:szCs w:val="21"/>
              </w:rPr>
            </w:pPr>
            <w:r>
              <w:rPr>
                <w:b/>
                <w:color w:val="auto"/>
                <w:sz w:val="24"/>
                <w:szCs w:val="24"/>
              </w:rPr>
              <w:t>表4</w:t>
            </w:r>
            <w:r>
              <w:rPr>
                <w:rFonts w:hint="eastAsia"/>
                <w:b/>
                <w:color w:val="auto"/>
                <w:sz w:val="24"/>
                <w:szCs w:val="24"/>
                <w:lang w:val="en-US" w:eastAsia="zh-CN"/>
              </w:rPr>
              <w:t>-26</w:t>
            </w:r>
            <w:r>
              <w:rPr>
                <w:b/>
                <w:color w:val="auto"/>
                <w:sz w:val="24"/>
                <w:szCs w:val="24"/>
              </w:rPr>
              <w:t>项目建成后全厂危废暂存情况一览表</w:t>
            </w:r>
          </w:p>
          <w:tbl>
            <w:tblPr>
              <w:tblStyle w:val="35"/>
              <w:tblW w:w="503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3"/>
              <w:gridCol w:w="1314"/>
              <w:gridCol w:w="1314"/>
              <w:gridCol w:w="1161"/>
              <w:gridCol w:w="1480"/>
            </w:tblGrid>
            <w:tr w14:paraId="59651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shd w:val="clear" w:color="auto" w:fill="auto"/>
                  <w:vAlign w:val="center"/>
                </w:tcPr>
                <w:p w14:paraId="21ACDCE4">
                  <w:pPr>
                    <w:snapToGrid w:val="0"/>
                    <w:jc w:val="center"/>
                    <w:rPr>
                      <w:b/>
                      <w:bCs/>
                      <w:color w:val="auto"/>
                      <w:szCs w:val="21"/>
                    </w:rPr>
                  </w:pPr>
                  <w:r>
                    <w:rPr>
                      <w:b/>
                      <w:bCs/>
                      <w:color w:val="auto"/>
                      <w:szCs w:val="21"/>
                    </w:rPr>
                    <w:t>序号</w:t>
                  </w:r>
                </w:p>
              </w:tc>
              <w:tc>
                <w:tcPr>
                  <w:tcW w:w="1217" w:type="pct"/>
                  <w:shd w:val="clear" w:color="auto" w:fill="auto"/>
                  <w:vAlign w:val="center"/>
                </w:tcPr>
                <w:p w14:paraId="3D565E26">
                  <w:pPr>
                    <w:snapToGrid w:val="0"/>
                    <w:jc w:val="center"/>
                    <w:rPr>
                      <w:b/>
                      <w:bCs/>
                      <w:color w:val="auto"/>
                      <w:szCs w:val="21"/>
                    </w:rPr>
                  </w:pPr>
                  <w:r>
                    <w:rPr>
                      <w:b/>
                      <w:bCs/>
                      <w:color w:val="auto"/>
                      <w:szCs w:val="21"/>
                    </w:rPr>
                    <w:t>危险物质名称</w:t>
                  </w:r>
                </w:p>
              </w:tc>
              <w:tc>
                <w:tcPr>
                  <w:tcW w:w="832" w:type="pct"/>
                  <w:shd w:val="clear" w:color="auto" w:fill="auto"/>
                  <w:vAlign w:val="center"/>
                </w:tcPr>
                <w:p w14:paraId="62FAAB1C">
                  <w:pPr>
                    <w:snapToGrid w:val="0"/>
                    <w:jc w:val="center"/>
                    <w:rPr>
                      <w:b/>
                      <w:bCs/>
                      <w:color w:val="auto"/>
                      <w:szCs w:val="21"/>
                    </w:rPr>
                  </w:pPr>
                  <w:r>
                    <w:rPr>
                      <w:b/>
                      <w:bCs/>
                      <w:color w:val="auto"/>
                      <w:szCs w:val="21"/>
                    </w:rPr>
                    <w:t>暂存量（t）</w:t>
                  </w:r>
                </w:p>
              </w:tc>
              <w:tc>
                <w:tcPr>
                  <w:tcW w:w="832" w:type="pct"/>
                  <w:shd w:val="clear" w:color="auto" w:fill="auto"/>
                  <w:vAlign w:val="center"/>
                </w:tcPr>
                <w:p w14:paraId="3A1488AE">
                  <w:pPr>
                    <w:snapToGrid w:val="0"/>
                    <w:jc w:val="center"/>
                    <w:rPr>
                      <w:b/>
                      <w:bCs/>
                      <w:color w:val="auto"/>
                      <w:szCs w:val="21"/>
                    </w:rPr>
                  </w:pPr>
                  <w:r>
                    <w:rPr>
                      <w:b/>
                      <w:bCs/>
                      <w:color w:val="auto"/>
                      <w:szCs w:val="21"/>
                    </w:rPr>
                    <w:t>暂存方式</w:t>
                  </w:r>
                </w:p>
              </w:tc>
              <w:tc>
                <w:tcPr>
                  <w:tcW w:w="735" w:type="pct"/>
                  <w:shd w:val="clear" w:color="auto" w:fill="auto"/>
                  <w:vAlign w:val="center"/>
                </w:tcPr>
                <w:p w14:paraId="60CEBECD">
                  <w:pPr>
                    <w:snapToGrid w:val="0"/>
                    <w:jc w:val="center"/>
                    <w:rPr>
                      <w:b/>
                      <w:bCs/>
                      <w:color w:val="auto"/>
                      <w:szCs w:val="21"/>
                    </w:rPr>
                  </w:pPr>
                  <w:r>
                    <w:rPr>
                      <w:b/>
                      <w:bCs/>
                      <w:color w:val="auto"/>
                      <w:szCs w:val="21"/>
                    </w:rPr>
                    <w:t>暂存时间</w:t>
                  </w:r>
                </w:p>
              </w:tc>
              <w:tc>
                <w:tcPr>
                  <w:tcW w:w="937" w:type="pct"/>
                  <w:shd w:val="clear" w:color="auto" w:fill="auto"/>
                  <w:vAlign w:val="center"/>
                </w:tcPr>
                <w:p w14:paraId="3032719B">
                  <w:pPr>
                    <w:snapToGrid w:val="0"/>
                    <w:jc w:val="center"/>
                    <w:rPr>
                      <w:b/>
                      <w:bCs/>
                      <w:color w:val="auto"/>
                      <w:szCs w:val="21"/>
                    </w:rPr>
                  </w:pPr>
                  <w:r>
                    <w:rPr>
                      <w:b/>
                      <w:bCs/>
                      <w:color w:val="auto"/>
                      <w:szCs w:val="21"/>
                    </w:rPr>
                    <w:t>占地面积m</w:t>
                  </w:r>
                  <w:r>
                    <w:rPr>
                      <w:b/>
                      <w:bCs/>
                      <w:color w:val="auto"/>
                      <w:szCs w:val="21"/>
                      <w:vertAlign w:val="superscript"/>
                    </w:rPr>
                    <w:t>2</w:t>
                  </w:r>
                  <w:r>
                    <w:rPr>
                      <w:b/>
                      <w:bCs/>
                      <w:color w:val="auto"/>
                      <w:szCs w:val="21"/>
                    </w:rPr>
                    <w:t>）</w:t>
                  </w:r>
                </w:p>
              </w:tc>
            </w:tr>
            <w:tr w14:paraId="5BF28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45" w:type="pct"/>
                  <w:shd w:val="clear" w:color="auto" w:fill="auto"/>
                  <w:vAlign w:val="center"/>
                </w:tcPr>
                <w:p w14:paraId="7674F4F7">
                  <w:pPr>
                    <w:snapToGrid w:val="0"/>
                    <w:jc w:val="center"/>
                    <w:rPr>
                      <w:rFonts w:hint="default" w:eastAsia="宋体"/>
                      <w:color w:val="auto"/>
                      <w:szCs w:val="21"/>
                      <w:lang w:val="en-US" w:eastAsia="zh-CN"/>
                    </w:rPr>
                  </w:pPr>
                  <w:r>
                    <w:rPr>
                      <w:rFonts w:hint="eastAsia"/>
                      <w:color w:val="auto"/>
                      <w:szCs w:val="21"/>
                      <w:lang w:val="en-US" w:eastAsia="zh-CN"/>
                    </w:rPr>
                    <w:t>1</w:t>
                  </w:r>
                </w:p>
              </w:tc>
              <w:tc>
                <w:tcPr>
                  <w:tcW w:w="1217" w:type="pct"/>
                  <w:shd w:val="clear" w:color="auto" w:fill="auto"/>
                  <w:vAlign w:val="center"/>
                </w:tcPr>
                <w:p w14:paraId="3E5C7686">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废抹布、手套</w:t>
                  </w:r>
                </w:p>
                <w:p w14:paraId="14131F14">
                  <w:pPr>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（含酒精）</w:t>
                  </w:r>
                </w:p>
              </w:tc>
              <w:tc>
                <w:tcPr>
                  <w:tcW w:w="832" w:type="pct"/>
                  <w:shd w:val="clear" w:color="auto" w:fill="auto"/>
                  <w:vAlign w:val="center"/>
                </w:tcPr>
                <w:p w14:paraId="76919A01">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0.02</w:t>
                  </w:r>
                </w:p>
              </w:tc>
              <w:tc>
                <w:tcPr>
                  <w:tcW w:w="832" w:type="pct"/>
                  <w:shd w:val="clear" w:color="auto" w:fill="auto"/>
                  <w:vAlign w:val="center"/>
                </w:tcPr>
                <w:p w14:paraId="1999F7CA">
                  <w:pPr>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袋装</w:t>
                  </w:r>
                </w:p>
              </w:tc>
              <w:tc>
                <w:tcPr>
                  <w:tcW w:w="735" w:type="pct"/>
                  <w:shd w:val="clear" w:color="auto" w:fill="auto"/>
                  <w:vAlign w:val="center"/>
                </w:tcPr>
                <w:p w14:paraId="2FFA7621">
                  <w:pPr>
                    <w:snapToGrid w:val="0"/>
                    <w:jc w:val="center"/>
                    <w:rPr>
                      <w:rFonts w:ascii="Times New Roman" w:hAnsi="Times New Roman" w:eastAsia="宋体" w:cs="Times New Roman"/>
                      <w:color w:val="auto"/>
                      <w:kern w:val="2"/>
                      <w:sz w:val="21"/>
                      <w:szCs w:val="21"/>
                      <w:lang w:val="en-US" w:eastAsia="zh-CN" w:bidi="ar-SA"/>
                    </w:rPr>
                  </w:pPr>
                  <w:r>
                    <w:rPr>
                      <w:color w:val="auto"/>
                      <w:szCs w:val="21"/>
                    </w:rPr>
                    <w:t>3个月</w:t>
                  </w:r>
                </w:p>
              </w:tc>
              <w:tc>
                <w:tcPr>
                  <w:tcW w:w="937" w:type="pct"/>
                  <w:shd w:val="clear" w:color="auto" w:fill="auto"/>
                  <w:vAlign w:val="center"/>
                </w:tcPr>
                <w:p w14:paraId="5077E887">
                  <w:pPr>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p>
              </w:tc>
            </w:tr>
            <w:tr w14:paraId="391E7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45" w:type="pct"/>
                  <w:shd w:val="clear" w:color="auto" w:fill="auto"/>
                  <w:vAlign w:val="center"/>
                </w:tcPr>
                <w:p w14:paraId="6C0E328C">
                  <w:pPr>
                    <w:snapToGrid w:val="0"/>
                    <w:jc w:val="center"/>
                    <w:rPr>
                      <w:rFonts w:hint="default"/>
                      <w:color w:val="auto"/>
                      <w:szCs w:val="21"/>
                      <w:lang w:val="en-US" w:eastAsia="zh-CN"/>
                    </w:rPr>
                  </w:pPr>
                  <w:r>
                    <w:rPr>
                      <w:rFonts w:hint="eastAsia"/>
                      <w:color w:val="auto"/>
                      <w:szCs w:val="21"/>
                      <w:lang w:val="en-US" w:eastAsia="zh-CN"/>
                    </w:rPr>
                    <w:t>2</w:t>
                  </w:r>
                </w:p>
              </w:tc>
              <w:tc>
                <w:tcPr>
                  <w:tcW w:w="1217" w:type="pct"/>
                  <w:shd w:val="clear" w:color="auto" w:fill="auto"/>
                  <w:vAlign w:val="center"/>
                </w:tcPr>
                <w:p w14:paraId="5FA7A3E0">
                  <w:pPr>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废活性炭</w:t>
                  </w:r>
                </w:p>
              </w:tc>
              <w:tc>
                <w:tcPr>
                  <w:tcW w:w="832" w:type="pct"/>
                  <w:shd w:val="clear" w:color="auto" w:fill="auto"/>
                  <w:vAlign w:val="center"/>
                </w:tcPr>
                <w:p w14:paraId="0A71599E">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0.2</w:t>
                  </w:r>
                </w:p>
              </w:tc>
              <w:tc>
                <w:tcPr>
                  <w:tcW w:w="832" w:type="pct"/>
                  <w:shd w:val="clear" w:color="auto" w:fill="auto"/>
                  <w:vAlign w:val="center"/>
                </w:tcPr>
                <w:p w14:paraId="13C0DDF5">
                  <w:pPr>
                    <w:snapToGrid w:val="0"/>
                    <w:jc w:val="center"/>
                    <w:rPr>
                      <w:rFonts w:hint="default"/>
                      <w:color w:val="auto"/>
                      <w:szCs w:val="21"/>
                      <w:lang w:val="en-US" w:eastAsia="zh-CN"/>
                    </w:rPr>
                  </w:pPr>
                  <w:r>
                    <w:rPr>
                      <w:rFonts w:hint="eastAsia"/>
                      <w:color w:val="auto"/>
                      <w:szCs w:val="21"/>
                      <w:lang w:val="en-US" w:eastAsia="zh-CN"/>
                    </w:rPr>
                    <w:t>袋装</w:t>
                  </w:r>
                </w:p>
              </w:tc>
              <w:tc>
                <w:tcPr>
                  <w:tcW w:w="735" w:type="pct"/>
                  <w:shd w:val="clear" w:color="auto" w:fill="auto"/>
                  <w:vAlign w:val="center"/>
                </w:tcPr>
                <w:p w14:paraId="4D1E88C4">
                  <w:pPr>
                    <w:snapToGrid w:val="0"/>
                    <w:jc w:val="center"/>
                    <w:rPr>
                      <w:color w:val="auto"/>
                      <w:szCs w:val="21"/>
                    </w:rPr>
                  </w:pPr>
                  <w:r>
                    <w:rPr>
                      <w:color w:val="auto"/>
                      <w:szCs w:val="21"/>
                    </w:rPr>
                    <w:t>3个月</w:t>
                  </w:r>
                </w:p>
              </w:tc>
              <w:tc>
                <w:tcPr>
                  <w:tcW w:w="937" w:type="pct"/>
                  <w:shd w:val="clear" w:color="auto" w:fill="auto"/>
                  <w:vAlign w:val="center"/>
                </w:tcPr>
                <w:p w14:paraId="08D9CA0A">
                  <w:pPr>
                    <w:snapToGrid w:val="0"/>
                    <w:jc w:val="center"/>
                    <w:rPr>
                      <w:rFonts w:hint="default"/>
                      <w:color w:val="auto"/>
                      <w:szCs w:val="21"/>
                      <w:lang w:val="en-US" w:eastAsia="zh-CN"/>
                    </w:rPr>
                  </w:pPr>
                  <w:r>
                    <w:rPr>
                      <w:rFonts w:hint="eastAsia"/>
                      <w:color w:val="auto"/>
                      <w:szCs w:val="21"/>
                      <w:lang w:val="en-US" w:eastAsia="zh-CN"/>
                    </w:rPr>
                    <w:t>1</w:t>
                  </w:r>
                </w:p>
              </w:tc>
            </w:tr>
            <w:tr w14:paraId="7D336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45" w:type="pct"/>
                  <w:shd w:val="clear" w:color="auto" w:fill="auto"/>
                  <w:vAlign w:val="center"/>
                </w:tcPr>
                <w:p w14:paraId="0648B36B">
                  <w:pPr>
                    <w:snapToGrid w:val="0"/>
                    <w:jc w:val="center"/>
                    <w:rPr>
                      <w:rFonts w:hint="default"/>
                      <w:color w:val="auto"/>
                      <w:szCs w:val="21"/>
                      <w:lang w:val="en-US" w:eastAsia="zh-CN"/>
                    </w:rPr>
                  </w:pPr>
                  <w:r>
                    <w:rPr>
                      <w:rFonts w:hint="eastAsia"/>
                      <w:color w:val="auto"/>
                      <w:szCs w:val="21"/>
                      <w:lang w:val="en-US" w:eastAsia="zh-CN"/>
                    </w:rPr>
                    <w:t>3</w:t>
                  </w:r>
                </w:p>
              </w:tc>
              <w:tc>
                <w:tcPr>
                  <w:tcW w:w="1217" w:type="pct"/>
                  <w:shd w:val="clear" w:color="auto" w:fill="auto"/>
                  <w:vAlign w:val="center"/>
                </w:tcPr>
                <w:p w14:paraId="6EE19F1B">
                  <w:pPr>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废包装容器</w:t>
                  </w:r>
                </w:p>
              </w:tc>
              <w:tc>
                <w:tcPr>
                  <w:tcW w:w="832" w:type="pct"/>
                  <w:shd w:val="clear" w:color="auto" w:fill="auto"/>
                  <w:vAlign w:val="center"/>
                </w:tcPr>
                <w:p w14:paraId="1AE5F046">
                  <w:pPr>
                    <w:jc w:val="center"/>
                    <w:rPr>
                      <w:rFonts w:hint="eastAsia"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0.1</w:t>
                  </w:r>
                </w:p>
              </w:tc>
              <w:tc>
                <w:tcPr>
                  <w:tcW w:w="832" w:type="pct"/>
                  <w:shd w:val="clear" w:color="auto" w:fill="auto"/>
                  <w:vAlign w:val="center"/>
                </w:tcPr>
                <w:p w14:paraId="7DE24A7A">
                  <w:pPr>
                    <w:snapToGrid w:val="0"/>
                    <w:jc w:val="center"/>
                    <w:rPr>
                      <w:rFonts w:hint="default"/>
                      <w:color w:val="auto"/>
                      <w:szCs w:val="21"/>
                      <w:lang w:val="en-US" w:eastAsia="zh-CN"/>
                    </w:rPr>
                  </w:pPr>
                  <w:r>
                    <w:rPr>
                      <w:rFonts w:hint="eastAsia"/>
                      <w:color w:val="auto"/>
                      <w:szCs w:val="21"/>
                      <w:lang w:val="en-US" w:eastAsia="zh-CN"/>
                    </w:rPr>
                    <w:t>堆放</w:t>
                  </w:r>
                </w:p>
              </w:tc>
              <w:tc>
                <w:tcPr>
                  <w:tcW w:w="735" w:type="pct"/>
                  <w:shd w:val="clear" w:color="auto" w:fill="auto"/>
                  <w:vAlign w:val="center"/>
                </w:tcPr>
                <w:p w14:paraId="0007B16D">
                  <w:pPr>
                    <w:snapToGrid w:val="0"/>
                    <w:jc w:val="center"/>
                    <w:rPr>
                      <w:color w:val="auto"/>
                      <w:szCs w:val="21"/>
                    </w:rPr>
                  </w:pPr>
                  <w:r>
                    <w:rPr>
                      <w:color w:val="auto"/>
                      <w:szCs w:val="21"/>
                    </w:rPr>
                    <w:t>3个月</w:t>
                  </w:r>
                </w:p>
              </w:tc>
              <w:tc>
                <w:tcPr>
                  <w:tcW w:w="937" w:type="pct"/>
                  <w:shd w:val="clear" w:color="auto" w:fill="auto"/>
                  <w:vAlign w:val="center"/>
                </w:tcPr>
                <w:p w14:paraId="14C218FC">
                  <w:pPr>
                    <w:snapToGrid w:val="0"/>
                    <w:jc w:val="center"/>
                    <w:rPr>
                      <w:rFonts w:hint="default"/>
                      <w:color w:val="auto"/>
                      <w:szCs w:val="21"/>
                      <w:lang w:val="en-US" w:eastAsia="zh-CN"/>
                    </w:rPr>
                  </w:pPr>
                  <w:r>
                    <w:rPr>
                      <w:rFonts w:hint="eastAsia"/>
                      <w:color w:val="auto"/>
                      <w:szCs w:val="21"/>
                      <w:lang w:val="en-US" w:eastAsia="zh-CN"/>
                    </w:rPr>
                    <w:t>1</w:t>
                  </w:r>
                </w:p>
              </w:tc>
            </w:tr>
            <w:tr w14:paraId="4EEB7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062" w:type="pct"/>
                  <w:gridSpan w:val="5"/>
                  <w:shd w:val="clear" w:color="auto" w:fill="auto"/>
                  <w:vAlign w:val="center"/>
                </w:tcPr>
                <w:p w14:paraId="559D8341">
                  <w:pPr>
                    <w:snapToGrid w:val="0"/>
                    <w:jc w:val="center"/>
                    <w:rPr>
                      <w:color w:val="auto"/>
                      <w:szCs w:val="21"/>
                    </w:rPr>
                  </w:pPr>
                  <w:r>
                    <w:rPr>
                      <w:color w:val="auto"/>
                      <w:szCs w:val="21"/>
                    </w:rPr>
                    <w:t>各类危废占地总面积</w:t>
                  </w:r>
                </w:p>
              </w:tc>
              <w:tc>
                <w:tcPr>
                  <w:tcW w:w="937" w:type="pct"/>
                  <w:shd w:val="clear" w:color="auto" w:fill="auto"/>
                  <w:vAlign w:val="center"/>
                </w:tcPr>
                <w:p w14:paraId="779D997C">
                  <w:pPr>
                    <w:snapToGrid w:val="0"/>
                    <w:jc w:val="center"/>
                    <w:rPr>
                      <w:rFonts w:hint="default" w:eastAsia="宋体"/>
                      <w:color w:val="auto"/>
                      <w:szCs w:val="21"/>
                      <w:lang w:val="en-US" w:eastAsia="zh-CN"/>
                    </w:rPr>
                  </w:pPr>
                  <w:r>
                    <w:rPr>
                      <w:rFonts w:hint="eastAsia"/>
                      <w:color w:val="auto"/>
                      <w:szCs w:val="21"/>
                      <w:lang w:val="en-US" w:eastAsia="zh-CN"/>
                    </w:rPr>
                    <w:t>3</w:t>
                  </w:r>
                </w:p>
              </w:tc>
            </w:tr>
          </w:tbl>
          <w:p w14:paraId="4BF52BBC">
            <w:pPr>
              <w:snapToGrid w:val="0"/>
              <w:ind w:firstLine="360" w:firstLineChars="200"/>
              <w:rPr>
                <w:rFonts w:hint="eastAsia" w:ascii="Times New Roman" w:hAnsi="Times New Roman" w:cs="Times New Roman" w:eastAsiaTheme="minorEastAsia"/>
                <w:b w:val="0"/>
                <w:bCs/>
                <w:color w:val="auto"/>
                <w:kern w:val="2"/>
                <w:sz w:val="18"/>
                <w:szCs w:val="18"/>
                <w:vertAlign w:val="baseline"/>
                <w:lang w:val="en-US" w:eastAsia="zh-CN" w:bidi="ar-SA"/>
              </w:rPr>
            </w:pPr>
            <w:r>
              <w:rPr>
                <w:rFonts w:hint="eastAsia" w:ascii="Times New Roman" w:hAnsi="Times New Roman" w:cs="Times New Roman" w:eastAsiaTheme="minorEastAsia"/>
                <w:b w:val="0"/>
                <w:bCs/>
                <w:color w:val="auto"/>
                <w:kern w:val="2"/>
                <w:sz w:val="18"/>
                <w:szCs w:val="18"/>
                <w:lang w:val="en-US" w:eastAsia="zh-CN" w:bidi="ar-SA"/>
              </w:rPr>
              <w:t>注：考虑进出口、过道等，有效存储面积按90%计算，约为</w:t>
            </w:r>
            <w:r>
              <w:rPr>
                <w:rFonts w:hint="eastAsia" w:cs="Times New Roman" w:eastAsiaTheme="minorEastAsia"/>
                <w:b w:val="0"/>
                <w:bCs/>
                <w:color w:val="auto"/>
                <w:kern w:val="2"/>
                <w:sz w:val="18"/>
                <w:szCs w:val="18"/>
                <w:lang w:val="en-US" w:eastAsia="zh-CN" w:bidi="ar-SA"/>
              </w:rPr>
              <w:t>9</w:t>
            </w:r>
            <w:r>
              <w:rPr>
                <w:rFonts w:hint="eastAsia" w:ascii="Times New Roman" w:hAnsi="Times New Roman" w:cs="Times New Roman" w:eastAsiaTheme="minorEastAsia"/>
                <w:b w:val="0"/>
                <w:bCs/>
                <w:color w:val="auto"/>
                <w:kern w:val="2"/>
                <w:sz w:val="18"/>
                <w:szCs w:val="18"/>
                <w:lang w:val="en-US" w:eastAsia="zh-CN" w:bidi="ar-SA"/>
              </w:rPr>
              <w:t>m</w:t>
            </w:r>
            <w:r>
              <w:rPr>
                <w:rFonts w:hint="eastAsia" w:ascii="Times New Roman" w:hAnsi="Times New Roman" w:cs="Times New Roman" w:eastAsiaTheme="minorEastAsia"/>
                <w:b w:val="0"/>
                <w:bCs/>
                <w:color w:val="auto"/>
                <w:kern w:val="2"/>
                <w:sz w:val="18"/>
                <w:szCs w:val="18"/>
                <w:vertAlign w:val="superscript"/>
                <w:lang w:val="en-US" w:eastAsia="zh-CN" w:bidi="ar-SA"/>
              </w:rPr>
              <w:t>2</w:t>
            </w:r>
            <w:r>
              <w:rPr>
                <w:rFonts w:hint="eastAsia" w:ascii="Times New Roman" w:hAnsi="Times New Roman" w:cs="Times New Roman" w:eastAsiaTheme="minorEastAsia"/>
                <w:b w:val="0"/>
                <w:bCs/>
                <w:color w:val="auto"/>
                <w:kern w:val="2"/>
                <w:sz w:val="18"/>
                <w:szCs w:val="18"/>
                <w:vertAlign w:val="baseline"/>
                <w:lang w:val="en-US" w:eastAsia="zh-CN" w:bidi="ar-SA"/>
              </w:rPr>
              <w:t>。</w:t>
            </w:r>
          </w:p>
          <w:p w14:paraId="25A8B5F1">
            <w:pPr>
              <w:snapToGrid w:val="0"/>
              <w:ind w:firstLine="200" w:firstLineChars="200"/>
              <w:rPr>
                <w:color w:val="auto"/>
                <w:sz w:val="10"/>
                <w:szCs w:val="10"/>
              </w:rPr>
            </w:pPr>
          </w:p>
          <w:p w14:paraId="38A15F65">
            <w:pPr>
              <w:snapToGrid w:val="0"/>
              <w:spacing w:line="360" w:lineRule="auto"/>
              <w:ind w:firstLine="480" w:firstLineChars="200"/>
              <w:rPr>
                <w:color w:val="auto"/>
                <w:sz w:val="24"/>
                <w:szCs w:val="24"/>
              </w:rPr>
            </w:pPr>
            <w:r>
              <w:rPr>
                <w:color w:val="auto"/>
                <w:sz w:val="24"/>
                <w:szCs w:val="24"/>
              </w:rPr>
              <w:t>根据上表核算，企业设置</w:t>
            </w:r>
            <w:r>
              <w:rPr>
                <w:rFonts w:hint="eastAsia"/>
                <w:color w:val="auto"/>
                <w:sz w:val="24"/>
                <w:szCs w:val="24"/>
                <w:lang w:val="en-US" w:eastAsia="zh-CN"/>
              </w:rPr>
              <w:t>的12m</w:t>
            </w:r>
            <w:r>
              <w:rPr>
                <w:color w:val="auto"/>
                <w:sz w:val="24"/>
                <w:szCs w:val="24"/>
                <w:vertAlign w:val="superscript"/>
              </w:rPr>
              <w:t>2</w:t>
            </w:r>
            <w:r>
              <w:rPr>
                <w:rFonts w:hint="eastAsia"/>
                <w:color w:val="auto"/>
                <w:sz w:val="24"/>
                <w:lang w:eastAsia="zh-CN"/>
              </w:rPr>
              <w:t>危废仓库</w:t>
            </w:r>
            <w:r>
              <w:rPr>
                <w:color w:val="auto"/>
                <w:sz w:val="24"/>
                <w:szCs w:val="24"/>
              </w:rPr>
              <w:t>可满足危废暂存需求。</w:t>
            </w:r>
          </w:p>
          <w:p w14:paraId="6F19BC06">
            <w:pPr>
              <w:snapToGrid w:val="0"/>
              <w:spacing w:line="360" w:lineRule="auto"/>
              <w:ind w:firstLine="480" w:firstLineChars="200"/>
              <w:rPr>
                <w:color w:val="auto"/>
                <w:sz w:val="24"/>
                <w:szCs w:val="24"/>
              </w:rPr>
            </w:pPr>
            <w:r>
              <w:rPr>
                <w:rFonts w:hint="eastAsia"/>
                <w:color w:val="auto"/>
                <w:sz w:val="24"/>
                <w:szCs w:val="24"/>
              </w:rPr>
              <w:t>&lt;2&gt;</w:t>
            </w:r>
            <w:r>
              <w:rPr>
                <w:color w:val="auto"/>
                <w:sz w:val="24"/>
                <w:szCs w:val="24"/>
              </w:rPr>
              <w:t>贮存场所（设施）污染防治措施</w:t>
            </w:r>
          </w:p>
          <w:p w14:paraId="15DE756B">
            <w:pPr>
              <w:tabs>
                <w:tab w:val="left" w:pos="1144"/>
              </w:tabs>
              <w:spacing w:line="360" w:lineRule="auto"/>
              <w:ind w:right="6"/>
              <w:jc w:val="center"/>
              <w:rPr>
                <w:rFonts w:hint="eastAsia"/>
                <w:b/>
                <w:bCs/>
                <w:color w:val="auto"/>
                <w:sz w:val="24"/>
                <w:szCs w:val="24"/>
              </w:rPr>
            </w:pPr>
            <w:r>
              <w:rPr>
                <w:rFonts w:hint="eastAsia"/>
                <w:b/>
                <w:bCs/>
                <w:color w:val="auto"/>
                <w:sz w:val="24"/>
                <w:szCs w:val="24"/>
              </w:rPr>
              <w:t>表4</w:t>
            </w:r>
            <w:r>
              <w:rPr>
                <w:rFonts w:hint="eastAsia"/>
                <w:b/>
                <w:bCs/>
                <w:color w:val="auto"/>
                <w:sz w:val="24"/>
                <w:szCs w:val="24"/>
                <w:lang w:val="en-US" w:eastAsia="zh-CN"/>
              </w:rPr>
              <w:t>-27</w:t>
            </w:r>
            <w:r>
              <w:rPr>
                <w:rFonts w:hint="eastAsia"/>
                <w:b/>
                <w:bCs/>
                <w:color w:val="auto"/>
                <w:sz w:val="24"/>
                <w:szCs w:val="24"/>
              </w:rPr>
              <w:t>危险废物贮存场所（设施）基本情况表</w:t>
            </w:r>
          </w:p>
          <w:tbl>
            <w:tblPr>
              <w:tblStyle w:val="35"/>
              <w:tblW w:w="79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7"/>
              <w:gridCol w:w="859"/>
              <w:gridCol w:w="998"/>
              <w:gridCol w:w="1060"/>
              <w:gridCol w:w="1300"/>
              <w:gridCol w:w="758"/>
              <w:gridCol w:w="686"/>
              <w:gridCol w:w="592"/>
              <w:gridCol w:w="713"/>
              <w:gridCol w:w="643"/>
            </w:tblGrid>
            <w:tr w14:paraId="69B86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 w:type="pct"/>
                  <w:vAlign w:val="center"/>
                </w:tcPr>
                <w:p w14:paraId="20DA5DFB">
                  <w:pPr>
                    <w:widowControl/>
                    <w:topLinePunct/>
                    <w:adjustRightInd w:val="0"/>
                    <w:snapToGrid w:val="0"/>
                    <w:ind w:left="-105" w:leftChars="-50" w:right="-105" w:rightChars="-50"/>
                    <w:jc w:val="center"/>
                    <w:rPr>
                      <w:b/>
                      <w:color w:val="auto"/>
                      <w:kern w:val="0"/>
                      <w:szCs w:val="21"/>
                    </w:rPr>
                  </w:pPr>
                  <w:r>
                    <w:rPr>
                      <w:b/>
                      <w:color w:val="auto"/>
                      <w:kern w:val="0"/>
                      <w:szCs w:val="21"/>
                    </w:rPr>
                    <w:t>序号</w:t>
                  </w:r>
                </w:p>
              </w:tc>
              <w:tc>
                <w:tcPr>
                  <w:tcW w:w="541" w:type="pct"/>
                  <w:vAlign w:val="center"/>
                </w:tcPr>
                <w:p w14:paraId="1E3F4899">
                  <w:pPr>
                    <w:widowControl/>
                    <w:topLinePunct/>
                    <w:adjustRightInd w:val="0"/>
                    <w:snapToGrid w:val="0"/>
                    <w:ind w:left="-105" w:leftChars="-50" w:right="-105" w:rightChars="-50"/>
                    <w:jc w:val="center"/>
                    <w:rPr>
                      <w:b/>
                      <w:color w:val="auto"/>
                      <w:kern w:val="0"/>
                      <w:szCs w:val="21"/>
                    </w:rPr>
                  </w:pPr>
                  <w:r>
                    <w:rPr>
                      <w:b/>
                      <w:color w:val="auto"/>
                      <w:kern w:val="0"/>
                      <w:szCs w:val="21"/>
                    </w:rPr>
                    <w:t>贮存场所（设施）</w:t>
                  </w:r>
                </w:p>
                <w:p w14:paraId="0F4802AE">
                  <w:pPr>
                    <w:widowControl/>
                    <w:topLinePunct/>
                    <w:adjustRightInd w:val="0"/>
                    <w:snapToGrid w:val="0"/>
                    <w:ind w:left="-105" w:leftChars="-50" w:right="-105" w:rightChars="-50"/>
                    <w:jc w:val="center"/>
                    <w:rPr>
                      <w:b/>
                      <w:color w:val="auto"/>
                      <w:kern w:val="0"/>
                      <w:szCs w:val="21"/>
                    </w:rPr>
                  </w:pPr>
                  <w:r>
                    <w:rPr>
                      <w:b/>
                      <w:color w:val="auto"/>
                      <w:kern w:val="0"/>
                      <w:szCs w:val="21"/>
                    </w:rPr>
                    <w:t>名称</w:t>
                  </w:r>
                </w:p>
              </w:tc>
              <w:tc>
                <w:tcPr>
                  <w:tcW w:w="628" w:type="pct"/>
                  <w:vAlign w:val="center"/>
                </w:tcPr>
                <w:p w14:paraId="4EBB21FD">
                  <w:pPr>
                    <w:widowControl/>
                    <w:topLinePunct/>
                    <w:adjustRightInd w:val="0"/>
                    <w:snapToGrid w:val="0"/>
                    <w:ind w:left="-105" w:leftChars="-50" w:right="-105" w:rightChars="-50"/>
                    <w:jc w:val="center"/>
                    <w:rPr>
                      <w:b/>
                      <w:color w:val="auto"/>
                      <w:kern w:val="0"/>
                      <w:szCs w:val="21"/>
                    </w:rPr>
                  </w:pPr>
                  <w:r>
                    <w:rPr>
                      <w:b/>
                      <w:color w:val="auto"/>
                      <w:kern w:val="0"/>
                      <w:szCs w:val="21"/>
                    </w:rPr>
                    <w:t>危险废物名称</w:t>
                  </w:r>
                </w:p>
              </w:tc>
              <w:tc>
                <w:tcPr>
                  <w:tcW w:w="667" w:type="pct"/>
                  <w:vAlign w:val="center"/>
                </w:tcPr>
                <w:p w14:paraId="27E3F9DA">
                  <w:pPr>
                    <w:widowControl/>
                    <w:topLinePunct/>
                    <w:adjustRightInd w:val="0"/>
                    <w:snapToGrid w:val="0"/>
                    <w:ind w:left="-105" w:leftChars="-50" w:right="-105" w:rightChars="-50"/>
                    <w:jc w:val="center"/>
                    <w:rPr>
                      <w:b/>
                      <w:color w:val="auto"/>
                      <w:kern w:val="0"/>
                      <w:szCs w:val="21"/>
                    </w:rPr>
                  </w:pPr>
                  <w:r>
                    <w:rPr>
                      <w:b/>
                      <w:color w:val="auto"/>
                      <w:kern w:val="0"/>
                      <w:szCs w:val="21"/>
                    </w:rPr>
                    <w:t>危险废物类别</w:t>
                  </w:r>
                </w:p>
              </w:tc>
              <w:tc>
                <w:tcPr>
                  <w:tcW w:w="819" w:type="pct"/>
                  <w:vAlign w:val="center"/>
                </w:tcPr>
                <w:p w14:paraId="52795DB1">
                  <w:pPr>
                    <w:widowControl/>
                    <w:topLinePunct/>
                    <w:adjustRightInd w:val="0"/>
                    <w:snapToGrid w:val="0"/>
                    <w:ind w:left="-105" w:leftChars="-50" w:right="-105" w:rightChars="-50"/>
                    <w:jc w:val="center"/>
                    <w:rPr>
                      <w:b/>
                      <w:color w:val="auto"/>
                      <w:kern w:val="0"/>
                      <w:szCs w:val="21"/>
                    </w:rPr>
                  </w:pPr>
                  <w:r>
                    <w:rPr>
                      <w:b/>
                      <w:color w:val="auto"/>
                      <w:kern w:val="0"/>
                      <w:szCs w:val="21"/>
                    </w:rPr>
                    <w:t>危险废物代码</w:t>
                  </w:r>
                </w:p>
              </w:tc>
              <w:tc>
                <w:tcPr>
                  <w:tcW w:w="477" w:type="pct"/>
                  <w:vAlign w:val="center"/>
                </w:tcPr>
                <w:p w14:paraId="058A9BD4">
                  <w:pPr>
                    <w:widowControl/>
                    <w:topLinePunct/>
                    <w:adjustRightInd w:val="0"/>
                    <w:snapToGrid w:val="0"/>
                    <w:ind w:left="-105" w:leftChars="-50" w:right="-105" w:rightChars="-50"/>
                    <w:jc w:val="center"/>
                    <w:rPr>
                      <w:b/>
                      <w:color w:val="auto"/>
                      <w:kern w:val="0"/>
                      <w:szCs w:val="21"/>
                    </w:rPr>
                  </w:pPr>
                  <w:r>
                    <w:rPr>
                      <w:b/>
                      <w:color w:val="auto"/>
                      <w:kern w:val="0"/>
                      <w:szCs w:val="21"/>
                    </w:rPr>
                    <w:t>位置</w:t>
                  </w:r>
                </w:p>
              </w:tc>
              <w:tc>
                <w:tcPr>
                  <w:tcW w:w="432" w:type="pct"/>
                  <w:vAlign w:val="center"/>
                </w:tcPr>
                <w:p w14:paraId="21D86C81">
                  <w:pPr>
                    <w:widowControl/>
                    <w:topLinePunct/>
                    <w:adjustRightInd w:val="0"/>
                    <w:snapToGrid w:val="0"/>
                    <w:ind w:left="-105" w:leftChars="-50" w:right="-105" w:rightChars="-50"/>
                    <w:jc w:val="center"/>
                    <w:rPr>
                      <w:b/>
                      <w:color w:val="auto"/>
                      <w:kern w:val="0"/>
                      <w:szCs w:val="21"/>
                    </w:rPr>
                  </w:pPr>
                  <w:r>
                    <w:rPr>
                      <w:b/>
                      <w:color w:val="auto"/>
                      <w:kern w:val="0"/>
                      <w:szCs w:val="21"/>
                    </w:rPr>
                    <w:t>占地面积</w:t>
                  </w:r>
                </w:p>
              </w:tc>
              <w:tc>
                <w:tcPr>
                  <w:tcW w:w="372" w:type="pct"/>
                  <w:vAlign w:val="center"/>
                </w:tcPr>
                <w:p w14:paraId="351CEBC8">
                  <w:pPr>
                    <w:widowControl/>
                    <w:topLinePunct/>
                    <w:adjustRightInd w:val="0"/>
                    <w:snapToGrid w:val="0"/>
                    <w:ind w:left="-105" w:leftChars="-50" w:right="-105" w:rightChars="-50"/>
                    <w:jc w:val="center"/>
                    <w:rPr>
                      <w:b/>
                      <w:color w:val="auto"/>
                      <w:kern w:val="0"/>
                      <w:szCs w:val="21"/>
                    </w:rPr>
                  </w:pPr>
                  <w:r>
                    <w:rPr>
                      <w:b/>
                      <w:color w:val="auto"/>
                      <w:kern w:val="0"/>
                      <w:szCs w:val="21"/>
                    </w:rPr>
                    <w:t>贮存方式</w:t>
                  </w:r>
                </w:p>
              </w:tc>
              <w:tc>
                <w:tcPr>
                  <w:tcW w:w="449" w:type="pct"/>
                  <w:vAlign w:val="center"/>
                </w:tcPr>
                <w:p w14:paraId="79A00033">
                  <w:pPr>
                    <w:widowControl/>
                    <w:topLinePunct/>
                    <w:adjustRightInd w:val="0"/>
                    <w:snapToGrid w:val="0"/>
                    <w:ind w:left="-105" w:leftChars="-50" w:right="-105" w:rightChars="-50"/>
                    <w:jc w:val="center"/>
                    <w:rPr>
                      <w:b/>
                      <w:color w:val="auto"/>
                      <w:kern w:val="0"/>
                      <w:szCs w:val="21"/>
                    </w:rPr>
                  </w:pPr>
                  <w:r>
                    <w:rPr>
                      <w:b/>
                      <w:color w:val="auto"/>
                      <w:kern w:val="0"/>
                      <w:szCs w:val="21"/>
                    </w:rPr>
                    <w:t>贮存</w:t>
                  </w:r>
                </w:p>
                <w:p w14:paraId="469FDA6D">
                  <w:pPr>
                    <w:widowControl/>
                    <w:topLinePunct/>
                    <w:adjustRightInd w:val="0"/>
                    <w:snapToGrid w:val="0"/>
                    <w:ind w:left="-105" w:leftChars="-50" w:right="-105" w:rightChars="-50"/>
                    <w:jc w:val="center"/>
                    <w:rPr>
                      <w:b/>
                      <w:color w:val="auto"/>
                      <w:kern w:val="0"/>
                      <w:szCs w:val="21"/>
                    </w:rPr>
                  </w:pPr>
                  <w:r>
                    <w:rPr>
                      <w:b/>
                      <w:color w:val="auto"/>
                      <w:kern w:val="0"/>
                      <w:szCs w:val="21"/>
                    </w:rPr>
                    <w:t>能力</w:t>
                  </w:r>
                  <w:r>
                    <w:rPr>
                      <w:rFonts w:hint="eastAsia"/>
                      <w:b/>
                      <w:color w:val="auto"/>
                      <w:kern w:val="0"/>
                      <w:szCs w:val="21"/>
                    </w:rPr>
                    <w:t>（吨）</w:t>
                  </w:r>
                </w:p>
              </w:tc>
              <w:tc>
                <w:tcPr>
                  <w:tcW w:w="405" w:type="pct"/>
                  <w:vAlign w:val="center"/>
                </w:tcPr>
                <w:p w14:paraId="1552A148">
                  <w:pPr>
                    <w:widowControl/>
                    <w:topLinePunct/>
                    <w:adjustRightInd w:val="0"/>
                    <w:snapToGrid w:val="0"/>
                    <w:ind w:left="-105" w:leftChars="-50" w:right="-105" w:rightChars="-50"/>
                    <w:jc w:val="center"/>
                    <w:rPr>
                      <w:b/>
                      <w:color w:val="auto"/>
                      <w:kern w:val="0"/>
                      <w:szCs w:val="21"/>
                    </w:rPr>
                  </w:pPr>
                  <w:r>
                    <w:rPr>
                      <w:b/>
                      <w:color w:val="auto"/>
                      <w:kern w:val="0"/>
                      <w:szCs w:val="21"/>
                    </w:rPr>
                    <w:t>贮存</w:t>
                  </w:r>
                </w:p>
                <w:p w14:paraId="51134B10">
                  <w:pPr>
                    <w:widowControl/>
                    <w:topLinePunct/>
                    <w:adjustRightInd w:val="0"/>
                    <w:snapToGrid w:val="0"/>
                    <w:ind w:left="-105" w:leftChars="-50" w:right="-105" w:rightChars="-50"/>
                    <w:jc w:val="center"/>
                    <w:rPr>
                      <w:b/>
                      <w:color w:val="auto"/>
                      <w:kern w:val="0"/>
                      <w:szCs w:val="21"/>
                    </w:rPr>
                  </w:pPr>
                  <w:r>
                    <w:rPr>
                      <w:b/>
                      <w:color w:val="auto"/>
                      <w:kern w:val="0"/>
                      <w:szCs w:val="21"/>
                    </w:rPr>
                    <w:t>周期</w:t>
                  </w:r>
                </w:p>
              </w:tc>
            </w:tr>
            <w:tr w14:paraId="016BF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 w:type="pct"/>
                  <w:shd w:val="clear" w:color="auto" w:fill="auto"/>
                  <w:vAlign w:val="center"/>
                </w:tcPr>
                <w:p w14:paraId="556B361A">
                  <w:pPr>
                    <w:snapToGrid w:val="0"/>
                    <w:jc w:val="center"/>
                    <w:rPr>
                      <w:rFonts w:hint="eastAsia" w:eastAsia="宋体"/>
                      <w:color w:val="auto"/>
                      <w:szCs w:val="21"/>
                      <w:lang w:val="en-US" w:eastAsia="zh-CN"/>
                    </w:rPr>
                  </w:pPr>
                  <w:r>
                    <w:rPr>
                      <w:rFonts w:hint="eastAsia"/>
                      <w:color w:val="auto"/>
                      <w:szCs w:val="21"/>
                      <w:lang w:val="en-US" w:eastAsia="zh-CN"/>
                    </w:rPr>
                    <w:t>1</w:t>
                  </w:r>
                </w:p>
              </w:tc>
              <w:tc>
                <w:tcPr>
                  <w:tcW w:w="541" w:type="pct"/>
                  <w:vMerge w:val="restart"/>
                  <w:vAlign w:val="center"/>
                </w:tcPr>
                <w:p w14:paraId="66511100">
                  <w:pPr>
                    <w:widowControl/>
                    <w:adjustRightInd w:val="0"/>
                    <w:snapToGrid w:val="0"/>
                    <w:jc w:val="center"/>
                    <w:rPr>
                      <w:rFonts w:hint="eastAsia"/>
                      <w:color w:val="auto"/>
                      <w:szCs w:val="21"/>
                    </w:rPr>
                  </w:pPr>
                  <w:r>
                    <w:rPr>
                      <w:color w:val="auto"/>
                      <w:szCs w:val="21"/>
                    </w:rPr>
                    <w:t>危</w:t>
                  </w:r>
                  <w:r>
                    <w:rPr>
                      <w:rFonts w:hint="eastAsia"/>
                      <w:color w:val="auto"/>
                      <w:szCs w:val="21"/>
                    </w:rPr>
                    <w:t>废</w:t>
                  </w:r>
                </w:p>
                <w:p w14:paraId="2F6D0FDF">
                  <w:pPr>
                    <w:widowControl/>
                    <w:adjustRightInd w:val="0"/>
                    <w:snapToGrid w:val="0"/>
                    <w:jc w:val="center"/>
                    <w:rPr>
                      <w:color w:val="auto"/>
                      <w:szCs w:val="21"/>
                    </w:rPr>
                  </w:pPr>
                  <w:r>
                    <w:rPr>
                      <w:rFonts w:hint="eastAsia"/>
                      <w:color w:val="auto"/>
                      <w:szCs w:val="21"/>
                    </w:rPr>
                    <w:t>仓库</w:t>
                  </w:r>
                </w:p>
              </w:tc>
              <w:tc>
                <w:tcPr>
                  <w:tcW w:w="628" w:type="pct"/>
                  <w:shd w:val="clear" w:color="auto" w:fill="auto"/>
                  <w:vAlign w:val="center"/>
                </w:tcPr>
                <w:p w14:paraId="0340664B">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废抹布、手套</w:t>
                  </w:r>
                </w:p>
                <w:p w14:paraId="7FC53D96">
                  <w:pPr>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（含酒精）</w:t>
                  </w:r>
                </w:p>
              </w:tc>
              <w:tc>
                <w:tcPr>
                  <w:tcW w:w="667" w:type="pct"/>
                  <w:shd w:val="clear" w:color="auto" w:fill="auto"/>
                  <w:vAlign w:val="center"/>
                </w:tcPr>
                <w:p w14:paraId="715EECCF">
                  <w:pPr>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HW49其他废物</w:t>
                  </w:r>
                </w:p>
              </w:tc>
              <w:tc>
                <w:tcPr>
                  <w:tcW w:w="819" w:type="pct"/>
                  <w:shd w:val="clear" w:color="auto" w:fill="auto"/>
                  <w:vAlign w:val="center"/>
                </w:tcPr>
                <w:p w14:paraId="582C2225">
                  <w:pPr>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900-041-49</w:t>
                  </w:r>
                </w:p>
              </w:tc>
              <w:tc>
                <w:tcPr>
                  <w:tcW w:w="477" w:type="pct"/>
                  <w:vMerge w:val="restart"/>
                  <w:vAlign w:val="center"/>
                </w:tcPr>
                <w:p w14:paraId="44122683">
                  <w:pPr>
                    <w:widowControl/>
                    <w:topLinePunct/>
                    <w:adjustRightInd w:val="0"/>
                    <w:snapToGrid w:val="0"/>
                    <w:ind w:left="-105" w:leftChars="-50" w:right="-105" w:rightChars="-50"/>
                    <w:jc w:val="center"/>
                    <w:rPr>
                      <w:rFonts w:hint="eastAsia" w:cs="Times New Roman"/>
                      <w:color w:val="auto"/>
                      <w:kern w:val="0"/>
                      <w:szCs w:val="21"/>
                      <w:lang w:val="en-US" w:eastAsia="zh-CN"/>
                    </w:rPr>
                  </w:pPr>
                  <w:r>
                    <w:rPr>
                      <w:rFonts w:hint="eastAsia" w:cs="Times New Roman"/>
                      <w:color w:val="auto"/>
                      <w:kern w:val="0"/>
                      <w:szCs w:val="21"/>
                      <w:lang w:val="en-US" w:eastAsia="zh-CN"/>
                    </w:rPr>
                    <w:t>生产</w:t>
                  </w:r>
                </w:p>
                <w:p w14:paraId="161FFCFB">
                  <w:pPr>
                    <w:widowControl/>
                    <w:topLinePunct/>
                    <w:adjustRightInd w:val="0"/>
                    <w:snapToGrid w:val="0"/>
                    <w:ind w:left="-105" w:leftChars="-50" w:right="-105" w:rightChars="-5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车间</w:t>
                  </w:r>
                </w:p>
              </w:tc>
              <w:tc>
                <w:tcPr>
                  <w:tcW w:w="432" w:type="pct"/>
                  <w:vMerge w:val="restart"/>
                  <w:vAlign w:val="center"/>
                </w:tcPr>
                <w:p w14:paraId="2168AAAE">
                  <w:pPr>
                    <w:widowControl/>
                    <w:topLinePunct/>
                    <w:adjustRightInd w:val="0"/>
                    <w:snapToGrid w:val="0"/>
                    <w:ind w:left="-105" w:leftChars="-50" w:right="-105" w:rightChars="-50"/>
                    <w:jc w:val="center"/>
                    <w:rPr>
                      <w:color w:val="auto"/>
                      <w:kern w:val="0"/>
                      <w:szCs w:val="21"/>
                    </w:rPr>
                  </w:pPr>
                  <w:r>
                    <w:rPr>
                      <w:rFonts w:hint="eastAsia"/>
                      <w:color w:val="auto"/>
                      <w:kern w:val="0"/>
                      <w:szCs w:val="21"/>
                      <w:lang w:val="en-US" w:eastAsia="zh-CN"/>
                    </w:rPr>
                    <w:t>10</w:t>
                  </w:r>
                  <w:r>
                    <w:rPr>
                      <w:rFonts w:hint="eastAsia"/>
                      <w:color w:val="auto"/>
                      <w:kern w:val="0"/>
                      <w:szCs w:val="21"/>
                    </w:rPr>
                    <w:t>m</w:t>
                  </w:r>
                  <w:r>
                    <w:rPr>
                      <w:rFonts w:hint="eastAsia"/>
                      <w:color w:val="auto"/>
                      <w:kern w:val="0"/>
                      <w:szCs w:val="21"/>
                      <w:vertAlign w:val="superscript"/>
                    </w:rPr>
                    <w:t>2</w:t>
                  </w:r>
                </w:p>
              </w:tc>
              <w:tc>
                <w:tcPr>
                  <w:tcW w:w="372" w:type="pct"/>
                  <w:shd w:val="clear" w:color="auto" w:fill="auto"/>
                  <w:vAlign w:val="center"/>
                </w:tcPr>
                <w:p w14:paraId="26811FC2">
                  <w:pPr>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袋装</w:t>
                  </w:r>
                </w:p>
              </w:tc>
              <w:tc>
                <w:tcPr>
                  <w:tcW w:w="449" w:type="pct"/>
                  <w:shd w:val="clear" w:color="auto" w:fill="auto"/>
                  <w:vAlign w:val="center"/>
                </w:tcPr>
                <w:p w14:paraId="3D00C880">
                  <w:pPr>
                    <w:jc w:val="center"/>
                    <w:rPr>
                      <w:rFonts w:hint="eastAsia"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0.05</w:t>
                  </w:r>
                </w:p>
              </w:tc>
              <w:tc>
                <w:tcPr>
                  <w:tcW w:w="405" w:type="pct"/>
                  <w:shd w:val="clear" w:color="auto" w:fill="auto"/>
                  <w:vAlign w:val="center"/>
                </w:tcPr>
                <w:p w14:paraId="5A22180C">
                  <w:pPr>
                    <w:snapToGrid w:val="0"/>
                    <w:jc w:val="center"/>
                    <w:rPr>
                      <w:rFonts w:hint="default" w:ascii="Times New Roman" w:hAnsi="Times New Roman" w:eastAsia="宋体" w:cs="Times New Roman"/>
                      <w:color w:val="auto"/>
                      <w:kern w:val="2"/>
                      <w:sz w:val="21"/>
                      <w:szCs w:val="21"/>
                      <w:lang w:val="en-US" w:eastAsia="zh-CN" w:bidi="ar-SA"/>
                    </w:rPr>
                  </w:pPr>
                  <w:r>
                    <w:rPr>
                      <w:color w:val="auto"/>
                      <w:szCs w:val="21"/>
                    </w:rPr>
                    <w:t>3个月</w:t>
                  </w:r>
                </w:p>
              </w:tc>
            </w:tr>
            <w:tr w14:paraId="58CC3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 w:type="pct"/>
                  <w:shd w:val="clear" w:color="auto" w:fill="auto"/>
                  <w:vAlign w:val="center"/>
                </w:tcPr>
                <w:p w14:paraId="4E08F957">
                  <w:pPr>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2</w:t>
                  </w:r>
                </w:p>
              </w:tc>
              <w:tc>
                <w:tcPr>
                  <w:tcW w:w="541" w:type="pct"/>
                  <w:vMerge w:val="continue"/>
                  <w:vAlign w:val="center"/>
                </w:tcPr>
                <w:p w14:paraId="24DA90F7">
                  <w:pPr>
                    <w:widowControl/>
                    <w:adjustRightInd w:val="0"/>
                    <w:snapToGrid w:val="0"/>
                    <w:jc w:val="center"/>
                    <w:rPr>
                      <w:color w:val="auto"/>
                      <w:szCs w:val="21"/>
                    </w:rPr>
                  </w:pPr>
                </w:p>
              </w:tc>
              <w:tc>
                <w:tcPr>
                  <w:tcW w:w="628" w:type="pct"/>
                  <w:shd w:val="clear" w:color="auto" w:fill="auto"/>
                  <w:vAlign w:val="center"/>
                </w:tcPr>
                <w:p w14:paraId="40512CAA">
                  <w:pPr>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废活性炭</w:t>
                  </w:r>
                </w:p>
              </w:tc>
              <w:tc>
                <w:tcPr>
                  <w:tcW w:w="667" w:type="pct"/>
                  <w:shd w:val="clear" w:color="auto" w:fill="auto"/>
                  <w:vAlign w:val="center"/>
                </w:tcPr>
                <w:p w14:paraId="0CF98419">
                  <w:pPr>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HW49其他废物</w:t>
                  </w:r>
                </w:p>
              </w:tc>
              <w:tc>
                <w:tcPr>
                  <w:tcW w:w="819" w:type="pct"/>
                  <w:shd w:val="clear" w:color="auto" w:fill="auto"/>
                  <w:vAlign w:val="center"/>
                </w:tcPr>
                <w:p w14:paraId="3CE6267F">
                  <w:pPr>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900-039-49</w:t>
                  </w:r>
                </w:p>
              </w:tc>
              <w:tc>
                <w:tcPr>
                  <w:tcW w:w="477" w:type="pct"/>
                  <w:vMerge w:val="continue"/>
                  <w:vAlign w:val="center"/>
                </w:tcPr>
                <w:p w14:paraId="13E674E0">
                  <w:pPr>
                    <w:widowControl/>
                    <w:topLinePunct/>
                    <w:adjustRightInd w:val="0"/>
                    <w:snapToGrid w:val="0"/>
                    <w:ind w:left="-105" w:leftChars="-50" w:right="-105" w:rightChars="-50"/>
                    <w:jc w:val="center"/>
                    <w:rPr>
                      <w:rFonts w:hint="default" w:ascii="Times New Roman" w:hAnsi="Times New Roman" w:eastAsia="宋体" w:cs="Times New Roman"/>
                      <w:color w:val="auto"/>
                      <w:kern w:val="0"/>
                      <w:szCs w:val="21"/>
                      <w:lang w:val="en-US" w:eastAsia="zh-CN"/>
                    </w:rPr>
                  </w:pPr>
                </w:p>
              </w:tc>
              <w:tc>
                <w:tcPr>
                  <w:tcW w:w="432" w:type="pct"/>
                  <w:vMerge w:val="continue"/>
                  <w:vAlign w:val="center"/>
                </w:tcPr>
                <w:p w14:paraId="4F4A7B0F">
                  <w:pPr>
                    <w:widowControl/>
                    <w:topLinePunct/>
                    <w:adjustRightInd w:val="0"/>
                    <w:snapToGrid w:val="0"/>
                    <w:ind w:left="-105" w:leftChars="-50" w:right="-105" w:rightChars="-50"/>
                    <w:jc w:val="center"/>
                    <w:rPr>
                      <w:color w:val="auto"/>
                      <w:kern w:val="0"/>
                      <w:szCs w:val="21"/>
                    </w:rPr>
                  </w:pPr>
                </w:p>
              </w:tc>
              <w:tc>
                <w:tcPr>
                  <w:tcW w:w="372" w:type="pct"/>
                  <w:shd w:val="clear" w:color="auto" w:fill="auto"/>
                  <w:vAlign w:val="center"/>
                </w:tcPr>
                <w:p w14:paraId="31BCEA5F">
                  <w:pPr>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袋装</w:t>
                  </w:r>
                </w:p>
              </w:tc>
              <w:tc>
                <w:tcPr>
                  <w:tcW w:w="449" w:type="pct"/>
                  <w:shd w:val="clear" w:color="auto" w:fill="auto"/>
                  <w:vAlign w:val="center"/>
                </w:tcPr>
                <w:p w14:paraId="2BA159AA">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0.8</w:t>
                  </w:r>
                </w:p>
              </w:tc>
              <w:tc>
                <w:tcPr>
                  <w:tcW w:w="405" w:type="pct"/>
                  <w:shd w:val="clear" w:color="auto" w:fill="auto"/>
                  <w:vAlign w:val="center"/>
                </w:tcPr>
                <w:p w14:paraId="4EDDDA34">
                  <w:pPr>
                    <w:snapToGrid w:val="0"/>
                    <w:jc w:val="center"/>
                    <w:rPr>
                      <w:rFonts w:ascii="Times New Roman" w:hAnsi="Times New Roman" w:eastAsia="宋体" w:cs="Times New Roman"/>
                      <w:color w:val="auto"/>
                      <w:kern w:val="2"/>
                      <w:sz w:val="21"/>
                      <w:szCs w:val="21"/>
                      <w:lang w:val="en-US" w:eastAsia="zh-CN" w:bidi="ar-SA"/>
                    </w:rPr>
                  </w:pPr>
                  <w:r>
                    <w:rPr>
                      <w:color w:val="auto"/>
                      <w:szCs w:val="21"/>
                    </w:rPr>
                    <w:t>3个月</w:t>
                  </w:r>
                </w:p>
              </w:tc>
            </w:tr>
            <w:tr w14:paraId="74B42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06" w:type="pct"/>
                  <w:shd w:val="clear" w:color="auto" w:fill="auto"/>
                  <w:vAlign w:val="center"/>
                </w:tcPr>
                <w:p w14:paraId="64E4D497">
                  <w:pPr>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3</w:t>
                  </w:r>
                </w:p>
              </w:tc>
              <w:tc>
                <w:tcPr>
                  <w:tcW w:w="541" w:type="pct"/>
                  <w:vMerge w:val="continue"/>
                  <w:vAlign w:val="center"/>
                </w:tcPr>
                <w:p w14:paraId="746F7E1A">
                  <w:pPr>
                    <w:widowControl/>
                    <w:adjustRightInd w:val="0"/>
                    <w:snapToGrid w:val="0"/>
                    <w:jc w:val="center"/>
                    <w:rPr>
                      <w:rFonts w:hint="eastAsia"/>
                      <w:color w:val="FF0000"/>
                      <w:szCs w:val="21"/>
                    </w:rPr>
                  </w:pPr>
                </w:p>
              </w:tc>
              <w:tc>
                <w:tcPr>
                  <w:tcW w:w="628" w:type="pct"/>
                  <w:shd w:val="clear" w:color="auto" w:fill="auto"/>
                  <w:vAlign w:val="center"/>
                </w:tcPr>
                <w:p w14:paraId="49B197AA">
                  <w:pPr>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废包装容器</w:t>
                  </w:r>
                </w:p>
              </w:tc>
              <w:tc>
                <w:tcPr>
                  <w:tcW w:w="667" w:type="pct"/>
                  <w:shd w:val="clear" w:color="auto" w:fill="auto"/>
                  <w:vAlign w:val="center"/>
                </w:tcPr>
                <w:p w14:paraId="11AA9069">
                  <w:pPr>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HW49其他废物</w:t>
                  </w:r>
                </w:p>
              </w:tc>
              <w:tc>
                <w:tcPr>
                  <w:tcW w:w="819" w:type="pct"/>
                  <w:shd w:val="clear" w:color="auto" w:fill="auto"/>
                  <w:vAlign w:val="center"/>
                </w:tcPr>
                <w:p w14:paraId="27D9BC42">
                  <w:pPr>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900-041-49</w:t>
                  </w:r>
                </w:p>
              </w:tc>
              <w:tc>
                <w:tcPr>
                  <w:tcW w:w="477" w:type="pct"/>
                  <w:vMerge w:val="continue"/>
                  <w:vAlign w:val="center"/>
                </w:tcPr>
                <w:p w14:paraId="4F7E4F20">
                  <w:pPr>
                    <w:widowControl/>
                    <w:topLinePunct/>
                    <w:adjustRightInd w:val="0"/>
                    <w:snapToGrid w:val="0"/>
                    <w:ind w:left="-105" w:leftChars="-50" w:right="-105" w:rightChars="-50"/>
                    <w:jc w:val="center"/>
                    <w:rPr>
                      <w:rFonts w:hint="eastAsia" w:cs="Times New Roman"/>
                      <w:color w:val="FF0000"/>
                      <w:kern w:val="0"/>
                      <w:szCs w:val="21"/>
                      <w:lang w:val="en-US" w:eastAsia="zh-CN"/>
                    </w:rPr>
                  </w:pPr>
                </w:p>
              </w:tc>
              <w:tc>
                <w:tcPr>
                  <w:tcW w:w="432" w:type="pct"/>
                  <w:vMerge w:val="continue"/>
                  <w:vAlign w:val="center"/>
                </w:tcPr>
                <w:p w14:paraId="078FA93A">
                  <w:pPr>
                    <w:widowControl/>
                    <w:topLinePunct/>
                    <w:adjustRightInd w:val="0"/>
                    <w:snapToGrid w:val="0"/>
                    <w:ind w:left="-105" w:leftChars="-50" w:right="-105" w:rightChars="-50"/>
                    <w:jc w:val="center"/>
                    <w:rPr>
                      <w:rFonts w:hint="eastAsia"/>
                      <w:color w:val="FF0000"/>
                      <w:kern w:val="0"/>
                      <w:szCs w:val="21"/>
                      <w:lang w:val="en-US" w:eastAsia="zh-CN"/>
                    </w:rPr>
                  </w:pPr>
                </w:p>
              </w:tc>
              <w:tc>
                <w:tcPr>
                  <w:tcW w:w="372" w:type="pct"/>
                  <w:shd w:val="clear" w:color="auto" w:fill="auto"/>
                  <w:vAlign w:val="center"/>
                </w:tcPr>
                <w:p w14:paraId="292EB344">
                  <w:pPr>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堆放</w:t>
                  </w:r>
                </w:p>
              </w:tc>
              <w:tc>
                <w:tcPr>
                  <w:tcW w:w="449" w:type="pct"/>
                  <w:shd w:val="clear" w:color="auto" w:fill="auto"/>
                  <w:vAlign w:val="center"/>
                </w:tcPr>
                <w:p w14:paraId="506221F2">
                  <w:pPr>
                    <w:jc w:val="center"/>
                    <w:rPr>
                      <w:rFonts w:hint="eastAsia"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0.3</w:t>
                  </w:r>
                </w:p>
              </w:tc>
              <w:tc>
                <w:tcPr>
                  <w:tcW w:w="405" w:type="pct"/>
                  <w:shd w:val="clear" w:color="auto" w:fill="auto"/>
                  <w:vAlign w:val="center"/>
                </w:tcPr>
                <w:p w14:paraId="325180EC">
                  <w:pPr>
                    <w:snapToGrid w:val="0"/>
                    <w:jc w:val="center"/>
                    <w:rPr>
                      <w:rFonts w:ascii="Times New Roman" w:hAnsi="Times New Roman" w:eastAsia="宋体" w:cs="Times New Roman"/>
                      <w:color w:val="auto"/>
                      <w:kern w:val="2"/>
                      <w:sz w:val="21"/>
                      <w:szCs w:val="21"/>
                      <w:lang w:val="en-US" w:eastAsia="zh-CN" w:bidi="ar-SA"/>
                    </w:rPr>
                  </w:pPr>
                  <w:r>
                    <w:rPr>
                      <w:color w:val="auto"/>
                      <w:szCs w:val="21"/>
                    </w:rPr>
                    <w:t>3个月</w:t>
                  </w:r>
                </w:p>
              </w:tc>
            </w:tr>
          </w:tbl>
          <w:p w14:paraId="266F171B">
            <w:pPr>
              <w:widowControl/>
              <w:snapToGrid w:val="0"/>
              <w:jc w:val="left"/>
              <w:rPr>
                <w:color w:val="FF0000"/>
                <w:sz w:val="10"/>
                <w:szCs w:val="10"/>
              </w:rPr>
            </w:pPr>
          </w:p>
          <w:p w14:paraId="02321DC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color w:val="auto"/>
                <w:sz w:val="24"/>
              </w:rPr>
            </w:pPr>
            <w:r>
              <w:rPr>
                <w:rFonts w:hint="eastAsia"/>
                <w:color w:val="auto"/>
                <w:sz w:val="24"/>
              </w:rPr>
              <w:t>本项目</w:t>
            </w:r>
            <w:r>
              <w:rPr>
                <w:color w:val="auto"/>
                <w:sz w:val="24"/>
              </w:rPr>
              <w:t>危废</w:t>
            </w:r>
            <w:r>
              <w:rPr>
                <w:rFonts w:hint="eastAsia"/>
                <w:color w:val="auto"/>
                <w:sz w:val="24"/>
                <w:lang w:val="en-US" w:eastAsia="zh-CN"/>
              </w:rPr>
              <w:t>仓库</w:t>
            </w:r>
            <w:r>
              <w:rPr>
                <w:color w:val="auto"/>
                <w:sz w:val="24"/>
              </w:rPr>
              <w:t>必须按《危险废物贮存污染控制</w:t>
            </w:r>
            <w:r>
              <w:rPr>
                <w:rFonts w:hint="eastAsia"/>
                <w:color w:val="auto"/>
                <w:sz w:val="24"/>
                <w:lang w:eastAsia="zh-CN"/>
              </w:rPr>
              <w:t>标准</w:t>
            </w:r>
            <w:r>
              <w:rPr>
                <w:color w:val="auto"/>
                <w:sz w:val="24"/>
              </w:rPr>
              <w:t>》（GB18597-20</w:t>
            </w:r>
            <w:r>
              <w:rPr>
                <w:rFonts w:hint="eastAsia"/>
                <w:color w:val="auto"/>
                <w:sz w:val="24"/>
                <w:lang w:val="en-US" w:eastAsia="zh-CN"/>
              </w:rPr>
              <w:t>23</w:t>
            </w:r>
            <w:r>
              <w:rPr>
                <w:color w:val="auto"/>
                <w:sz w:val="24"/>
              </w:rPr>
              <w:t>）的要求进行设置，并做到以下几点：</w:t>
            </w:r>
          </w:p>
          <w:p w14:paraId="02A9C5AB">
            <w:pPr>
              <w:widowControl/>
              <w:snapToGrid w:val="0"/>
              <w:spacing w:line="360" w:lineRule="auto"/>
              <w:ind w:firstLine="480" w:firstLineChars="200"/>
              <w:jc w:val="left"/>
              <w:rPr>
                <w:rFonts w:hint="eastAsia"/>
                <w:color w:val="auto"/>
                <w:sz w:val="24"/>
                <w:lang w:eastAsia="zh-CN"/>
              </w:rPr>
            </w:pPr>
            <w:r>
              <w:rPr>
                <w:color w:val="auto"/>
                <w:sz w:val="24"/>
              </w:rPr>
              <w:t>●</w:t>
            </w:r>
            <w:r>
              <w:rPr>
                <w:rFonts w:hint="eastAsia"/>
                <w:color w:val="auto"/>
                <w:sz w:val="24"/>
              </w:rPr>
              <w:t>产生、收集、贮存、利用、处置危险废物的单位应建造危险废物贮存设施或设置贮存场所，并根据需要选择贮存设施类型</w:t>
            </w:r>
            <w:r>
              <w:rPr>
                <w:rFonts w:hint="eastAsia"/>
                <w:color w:val="auto"/>
                <w:sz w:val="24"/>
                <w:lang w:eastAsia="zh-CN"/>
              </w:rPr>
              <w:t>；</w:t>
            </w:r>
          </w:p>
          <w:p w14:paraId="5DE2837E">
            <w:pPr>
              <w:widowControl/>
              <w:snapToGrid w:val="0"/>
              <w:spacing w:line="360" w:lineRule="auto"/>
              <w:ind w:firstLine="480" w:firstLineChars="200"/>
              <w:jc w:val="left"/>
              <w:rPr>
                <w:rFonts w:hint="eastAsia"/>
                <w:color w:val="auto"/>
                <w:sz w:val="24"/>
                <w:lang w:eastAsia="zh-CN"/>
              </w:rPr>
            </w:pPr>
            <w:r>
              <w:rPr>
                <w:color w:val="auto"/>
                <w:sz w:val="24"/>
              </w:rPr>
              <w:t>●</w:t>
            </w:r>
            <w:r>
              <w:rPr>
                <w:rFonts w:hint="eastAsia"/>
                <w:color w:val="auto"/>
                <w:sz w:val="24"/>
              </w:rPr>
              <w:t>贮存危险废物应根据危险废物的类别、数量、形态、物理化学性质和环境风险等因素，确定贮存设施或场所类型和规模</w:t>
            </w:r>
            <w:r>
              <w:rPr>
                <w:rFonts w:hint="eastAsia"/>
                <w:color w:val="auto"/>
                <w:sz w:val="24"/>
                <w:lang w:eastAsia="zh-CN"/>
              </w:rPr>
              <w:t>；</w:t>
            </w:r>
          </w:p>
          <w:p w14:paraId="5443B6FC">
            <w:pPr>
              <w:widowControl/>
              <w:snapToGrid w:val="0"/>
              <w:spacing w:line="360" w:lineRule="auto"/>
              <w:ind w:firstLine="480" w:firstLineChars="200"/>
              <w:jc w:val="left"/>
              <w:rPr>
                <w:rFonts w:hint="eastAsia"/>
                <w:color w:val="auto"/>
                <w:sz w:val="24"/>
                <w:lang w:eastAsia="zh-CN"/>
              </w:rPr>
            </w:pPr>
            <w:r>
              <w:rPr>
                <w:color w:val="auto"/>
                <w:sz w:val="24"/>
              </w:rPr>
              <w:t>●</w:t>
            </w:r>
            <w:r>
              <w:rPr>
                <w:rFonts w:hint="eastAsia"/>
                <w:color w:val="auto"/>
                <w:sz w:val="24"/>
              </w:rPr>
              <w:t>贮存危险废物应根据危险废物的类别、形态、物理化学性质和污染防治要求进行分类贮存，且应避免危险废物与不相容的物质或材料接触</w:t>
            </w:r>
            <w:r>
              <w:rPr>
                <w:rFonts w:hint="eastAsia"/>
                <w:color w:val="auto"/>
                <w:sz w:val="24"/>
                <w:lang w:eastAsia="zh-CN"/>
              </w:rPr>
              <w:t>；</w:t>
            </w:r>
          </w:p>
          <w:p w14:paraId="1DAA4DC4">
            <w:pPr>
              <w:widowControl/>
              <w:snapToGrid w:val="0"/>
              <w:spacing w:line="360" w:lineRule="auto"/>
              <w:ind w:firstLine="480" w:firstLineChars="200"/>
              <w:jc w:val="left"/>
              <w:rPr>
                <w:rFonts w:hint="eastAsia"/>
                <w:color w:val="auto"/>
                <w:sz w:val="24"/>
                <w:lang w:eastAsia="zh-CN"/>
              </w:rPr>
            </w:pPr>
            <w:r>
              <w:rPr>
                <w:color w:val="auto"/>
                <w:sz w:val="24"/>
              </w:rPr>
              <w:t>●</w:t>
            </w:r>
            <w:r>
              <w:rPr>
                <w:rFonts w:hint="eastAsia"/>
                <w:color w:val="auto"/>
                <w:sz w:val="24"/>
                <w:lang w:eastAsia="zh-CN"/>
              </w:rPr>
              <w:t>贮存危险废物应根据危险废物的形态、物理化学性质、包装形式和污染物迁移途径，采取措施减少渗滤液及其衍生废物、渗漏的液态废物（简称渗漏液）、</w:t>
            </w:r>
            <w:r>
              <w:rPr>
                <w:rFonts w:hint="eastAsia"/>
                <w:color w:val="auto"/>
                <w:sz w:val="24"/>
                <w:lang w:val="en-US" w:eastAsia="zh-CN"/>
              </w:rPr>
              <w:t>颗粒物</w:t>
            </w:r>
            <w:r>
              <w:rPr>
                <w:rFonts w:hint="eastAsia"/>
                <w:color w:val="auto"/>
                <w:sz w:val="24"/>
                <w:lang w:eastAsia="zh-CN"/>
              </w:rPr>
              <w:t>、VOCs、酸雾、有毒有害大气污染物和刺激性气味气体等污染物的产生，防止其污染环境；</w:t>
            </w:r>
          </w:p>
          <w:p w14:paraId="7E7EC759">
            <w:pPr>
              <w:widowControl/>
              <w:snapToGrid w:val="0"/>
              <w:spacing w:line="360" w:lineRule="auto"/>
              <w:ind w:firstLine="480" w:firstLineChars="200"/>
              <w:jc w:val="left"/>
              <w:rPr>
                <w:rFonts w:hint="eastAsia"/>
                <w:color w:val="auto"/>
                <w:sz w:val="24"/>
                <w:lang w:eastAsia="zh-CN"/>
              </w:rPr>
            </w:pPr>
            <w:r>
              <w:rPr>
                <w:color w:val="auto"/>
                <w:sz w:val="24"/>
              </w:rPr>
              <w:t>●</w:t>
            </w:r>
            <w:r>
              <w:rPr>
                <w:rFonts w:hint="eastAsia"/>
                <w:color w:val="auto"/>
                <w:sz w:val="24"/>
                <w:lang w:eastAsia="zh-CN"/>
              </w:rPr>
              <w:t>危险废物贮存过程产生的液态废物和固态废物应分类收集，按其环境管理要求妥善处理；</w:t>
            </w:r>
          </w:p>
          <w:p w14:paraId="34E16707">
            <w:pPr>
              <w:widowControl/>
              <w:snapToGrid w:val="0"/>
              <w:spacing w:line="360" w:lineRule="auto"/>
              <w:ind w:firstLine="480" w:firstLineChars="200"/>
              <w:jc w:val="left"/>
              <w:rPr>
                <w:color w:val="auto"/>
                <w:sz w:val="24"/>
              </w:rPr>
            </w:pPr>
            <w:r>
              <w:rPr>
                <w:color w:val="auto"/>
                <w:sz w:val="24"/>
              </w:rPr>
              <w:t>●</w:t>
            </w:r>
            <w:r>
              <w:rPr>
                <w:rFonts w:hint="eastAsia"/>
                <w:color w:val="auto"/>
                <w:sz w:val="24"/>
              </w:rPr>
              <w:t>贮存设施或场所、容器和包装物应按</w:t>
            </w:r>
            <w:r>
              <w:rPr>
                <w:rFonts w:hint="eastAsia"/>
                <w:color w:val="auto"/>
                <w:sz w:val="24"/>
                <w:lang w:eastAsia="zh-CN"/>
              </w:rPr>
              <w:t>《危险废物识别标志设置技术规范》（</w:t>
            </w:r>
            <w:r>
              <w:rPr>
                <w:rFonts w:hint="eastAsia"/>
                <w:color w:val="auto"/>
                <w:sz w:val="24"/>
              </w:rPr>
              <w:t>HJ1276</w:t>
            </w:r>
            <w:r>
              <w:rPr>
                <w:rFonts w:hint="eastAsia"/>
                <w:color w:val="auto"/>
                <w:sz w:val="24"/>
                <w:lang w:val="en-US" w:eastAsia="zh-CN"/>
              </w:rPr>
              <w:t>-2022</w:t>
            </w:r>
            <w:r>
              <w:rPr>
                <w:rFonts w:hint="eastAsia"/>
                <w:color w:val="auto"/>
                <w:sz w:val="24"/>
                <w:lang w:eastAsia="zh-CN"/>
              </w:rPr>
              <w:t>）</w:t>
            </w:r>
            <w:r>
              <w:rPr>
                <w:rFonts w:hint="eastAsia"/>
                <w:color w:val="auto"/>
                <w:sz w:val="24"/>
              </w:rPr>
              <w:t>要求设置危险废物贮存设施或场所标志、危险废物贮存分区标志和危险废物标签等危险废物识别标志</w:t>
            </w:r>
            <w:r>
              <w:rPr>
                <w:rFonts w:hint="eastAsia"/>
                <w:color w:val="auto"/>
                <w:sz w:val="24"/>
                <w:lang w:eastAsia="zh-CN"/>
              </w:rPr>
              <w:t>；</w:t>
            </w:r>
          </w:p>
          <w:p w14:paraId="4ECE1E93">
            <w:pPr>
              <w:widowControl/>
              <w:snapToGrid w:val="0"/>
              <w:spacing w:line="360" w:lineRule="auto"/>
              <w:ind w:firstLine="480" w:firstLineChars="200"/>
              <w:jc w:val="left"/>
              <w:rPr>
                <w:rFonts w:hint="eastAsia"/>
                <w:color w:val="auto"/>
                <w:sz w:val="24"/>
                <w:lang w:eastAsia="zh-CN"/>
              </w:rPr>
            </w:pPr>
            <w:r>
              <w:rPr>
                <w:color w:val="auto"/>
                <w:sz w:val="24"/>
              </w:rPr>
              <w:t>●</w:t>
            </w:r>
            <w:r>
              <w:rPr>
                <w:rFonts w:hint="eastAsia"/>
                <w:color w:val="auto"/>
                <w:sz w:val="24"/>
              </w:rPr>
              <w:t>贮存设施应根据危险废物的形态、物理化学性质、包装形式和污染物迁移途径，采取必要的防风、防晒、防雨、防漏、防渗、防腐以及其他环境污染防治措施，不应露天堆放危险废物</w:t>
            </w:r>
            <w:r>
              <w:rPr>
                <w:rFonts w:hint="eastAsia"/>
                <w:color w:val="auto"/>
                <w:sz w:val="24"/>
                <w:lang w:eastAsia="zh-CN"/>
              </w:rPr>
              <w:t>；</w:t>
            </w:r>
          </w:p>
          <w:p w14:paraId="5887325E">
            <w:pPr>
              <w:widowControl/>
              <w:snapToGrid w:val="0"/>
              <w:spacing w:line="360" w:lineRule="auto"/>
              <w:ind w:firstLine="480" w:firstLineChars="200"/>
              <w:jc w:val="left"/>
              <w:rPr>
                <w:rFonts w:hint="eastAsia"/>
                <w:color w:val="auto"/>
                <w:sz w:val="24"/>
                <w:lang w:eastAsia="zh-CN"/>
              </w:rPr>
            </w:pPr>
            <w:r>
              <w:rPr>
                <w:color w:val="auto"/>
                <w:sz w:val="24"/>
              </w:rPr>
              <w:t>●</w:t>
            </w:r>
            <w:r>
              <w:rPr>
                <w:rFonts w:hint="eastAsia"/>
                <w:color w:val="auto"/>
                <w:sz w:val="24"/>
              </w:rPr>
              <w:t>贮存设施应根据危险废物的类别、数量、形态、物理化学性质和污染防治等要求设置必要的贮存分区，避免不相容的危险废物接触、混合</w:t>
            </w:r>
            <w:r>
              <w:rPr>
                <w:rFonts w:hint="eastAsia"/>
                <w:color w:val="auto"/>
                <w:sz w:val="24"/>
                <w:lang w:eastAsia="zh-CN"/>
              </w:rPr>
              <w:t>；</w:t>
            </w:r>
          </w:p>
          <w:p w14:paraId="700223DC">
            <w:pPr>
              <w:widowControl/>
              <w:snapToGrid w:val="0"/>
              <w:spacing w:line="360" w:lineRule="auto"/>
              <w:ind w:firstLine="480" w:firstLineChars="200"/>
              <w:jc w:val="left"/>
              <w:rPr>
                <w:rFonts w:hint="eastAsia"/>
                <w:color w:val="auto"/>
                <w:sz w:val="24"/>
                <w:lang w:eastAsia="zh-CN"/>
              </w:rPr>
            </w:pPr>
            <w:r>
              <w:rPr>
                <w:color w:val="auto"/>
                <w:sz w:val="24"/>
              </w:rPr>
              <w:t>●</w:t>
            </w:r>
            <w:r>
              <w:rPr>
                <w:rFonts w:hint="eastAsia"/>
                <w:color w:val="auto"/>
                <w:sz w:val="24"/>
              </w:rPr>
              <w:t>贮存设施或贮存分区内地面、墙面裙脚、堵截泄漏的围堰、接触危险废物的隔板和墙体等应采用坚固的材料建造，表面无裂缝</w:t>
            </w:r>
            <w:r>
              <w:rPr>
                <w:rFonts w:hint="eastAsia"/>
                <w:color w:val="auto"/>
                <w:sz w:val="24"/>
                <w:lang w:eastAsia="zh-CN"/>
              </w:rPr>
              <w:t>；</w:t>
            </w:r>
          </w:p>
          <w:p w14:paraId="6B67D7E7">
            <w:pPr>
              <w:widowControl/>
              <w:snapToGrid w:val="0"/>
              <w:spacing w:line="360" w:lineRule="auto"/>
              <w:ind w:firstLine="480" w:firstLineChars="200"/>
              <w:jc w:val="left"/>
              <w:rPr>
                <w:rFonts w:hint="eastAsia"/>
                <w:color w:val="auto"/>
                <w:sz w:val="24"/>
                <w:lang w:eastAsia="zh-CN"/>
              </w:rPr>
            </w:pPr>
            <w:r>
              <w:rPr>
                <w:color w:val="auto"/>
                <w:sz w:val="24"/>
              </w:rPr>
              <w:t>●</w:t>
            </w:r>
            <w:r>
              <w:rPr>
                <w:rFonts w:hint="eastAsia"/>
                <w:color w:val="auto"/>
                <w:sz w:val="24"/>
              </w:rPr>
              <w:t>贮存设施地面与裙脚应采取表面防渗措施；表面防渗材料应与所接触的物料或污染物相容，可采用抗渗混凝土、高密度聚乙烯膜、钠基膨润土防水毯或其他防渗性能等效的材料</w:t>
            </w:r>
            <w:r>
              <w:rPr>
                <w:rFonts w:hint="eastAsia"/>
                <w:color w:val="auto"/>
                <w:sz w:val="24"/>
                <w:lang w:eastAsia="zh-CN"/>
              </w:rPr>
              <w:t>；</w:t>
            </w:r>
          </w:p>
          <w:p w14:paraId="31FCB806">
            <w:pPr>
              <w:widowControl/>
              <w:snapToGrid w:val="0"/>
              <w:spacing w:line="360" w:lineRule="auto"/>
              <w:ind w:firstLine="480" w:firstLineChars="200"/>
              <w:jc w:val="left"/>
              <w:rPr>
                <w:color w:val="auto"/>
                <w:sz w:val="24"/>
                <w:szCs w:val="24"/>
              </w:rPr>
            </w:pPr>
            <w:r>
              <w:rPr>
                <w:color w:val="auto"/>
                <w:sz w:val="24"/>
              </w:rPr>
              <w:t>●</w:t>
            </w:r>
            <w:r>
              <w:rPr>
                <w:rFonts w:hint="eastAsia"/>
                <w:color w:val="auto"/>
                <w:sz w:val="24"/>
                <w:lang w:eastAsia="zh-CN"/>
              </w:rPr>
              <w:t>同一贮存设施宜采用相同的防渗、防腐工艺（包括防渗、防腐结构或材料），防渗、防腐材料应覆盖所有可能与废物及其渗滤液、渗漏液等接触的构筑物表面；采用不同防渗、防腐工艺应分别建设贮存分区；</w:t>
            </w:r>
          </w:p>
          <w:p w14:paraId="01F9DBCC">
            <w:pPr>
              <w:widowControl/>
              <w:snapToGrid w:val="0"/>
              <w:spacing w:line="360" w:lineRule="auto"/>
              <w:ind w:firstLine="480" w:firstLineChars="200"/>
              <w:jc w:val="left"/>
              <w:rPr>
                <w:color w:val="auto"/>
                <w:sz w:val="24"/>
                <w:szCs w:val="24"/>
              </w:rPr>
            </w:pPr>
            <w:r>
              <w:rPr>
                <w:color w:val="auto"/>
                <w:sz w:val="24"/>
                <w:szCs w:val="24"/>
              </w:rPr>
              <w:t>危险废物收集、贮存、运输应按《危险废物收集贮存运输技术规范》（HJ2025-2012）要求设置，并做到以下几点：</w:t>
            </w:r>
          </w:p>
          <w:p w14:paraId="218A0C8B">
            <w:pPr>
              <w:widowControl/>
              <w:snapToGrid w:val="0"/>
              <w:spacing w:line="360" w:lineRule="auto"/>
              <w:ind w:firstLine="480" w:firstLineChars="200"/>
              <w:jc w:val="left"/>
              <w:rPr>
                <w:color w:val="auto"/>
                <w:sz w:val="24"/>
                <w:szCs w:val="24"/>
              </w:rPr>
            </w:pPr>
            <w:r>
              <w:rPr>
                <w:color w:val="auto"/>
                <w:sz w:val="24"/>
                <w:szCs w:val="24"/>
              </w:rPr>
              <w:t>●危险废物的收集应根据危险废物产生的工艺特征、排放周期、危险废物特性、废物管理计划等因素制定收集计划。</w:t>
            </w:r>
          </w:p>
          <w:p w14:paraId="59F67066">
            <w:pPr>
              <w:widowControl/>
              <w:snapToGrid w:val="0"/>
              <w:spacing w:line="360" w:lineRule="auto"/>
              <w:ind w:firstLine="480" w:firstLineChars="200"/>
              <w:jc w:val="left"/>
              <w:rPr>
                <w:color w:val="auto"/>
                <w:sz w:val="24"/>
                <w:szCs w:val="24"/>
              </w:rPr>
            </w:pPr>
            <w:r>
              <w:rPr>
                <w:color w:val="auto"/>
                <w:sz w:val="24"/>
                <w:szCs w:val="24"/>
              </w:rPr>
              <w:t>●在危险废物的收集和转运过程中，应采取相应的安全防护和污染防治措施，包括防爆、防火、防中毒、防感染、防</w:t>
            </w:r>
            <w:r>
              <w:rPr>
                <w:rFonts w:hint="eastAsia"/>
                <w:color w:val="auto"/>
                <w:sz w:val="24"/>
                <w:szCs w:val="24"/>
                <w:lang w:eastAsia="zh-CN"/>
              </w:rPr>
              <w:t>泄漏</w:t>
            </w:r>
            <w:r>
              <w:rPr>
                <w:color w:val="auto"/>
                <w:sz w:val="24"/>
                <w:szCs w:val="24"/>
              </w:rPr>
              <w:t>、防飞扬、防雨或其它防止污染环境的措施。</w:t>
            </w:r>
          </w:p>
          <w:p w14:paraId="6B8B717D">
            <w:pPr>
              <w:widowControl/>
              <w:snapToGrid w:val="0"/>
              <w:spacing w:line="360" w:lineRule="auto"/>
              <w:ind w:firstLine="480" w:firstLineChars="200"/>
              <w:jc w:val="left"/>
              <w:rPr>
                <w:color w:val="auto"/>
                <w:sz w:val="24"/>
                <w:szCs w:val="24"/>
              </w:rPr>
            </w:pPr>
            <w:r>
              <w:rPr>
                <w:color w:val="auto"/>
                <w:sz w:val="24"/>
                <w:szCs w:val="24"/>
              </w:rPr>
              <w:t>●危险废物收集时应根据危险废物的种类、数量、危险特性、物理形态、运输要求等因素确定包装形式。</w:t>
            </w:r>
          </w:p>
          <w:p w14:paraId="67EA8CBD">
            <w:pPr>
              <w:widowControl/>
              <w:snapToGrid w:val="0"/>
              <w:spacing w:line="360" w:lineRule="auto"/>
              <w:ind w:firstLine="480" w:firstLineChars="200"/>
              <w:jc w:val="left"/>
              <w:rPr>
                <w:color w:val="auto"/>
                <w:sz w:val="24"/>
                <w:szCs w:val="24"/>
              </w:rPr>
            </w:pPr>
            <w:r>
              <w:rPr>
                <w:color w:val="auto"/>
                <w:sz w:val="24"/>
                <w:szCs w:val="24"/>
              </w:rPr>
              <w:t>●危险废物贮存设施应配备通讯设备、照明设施和消防设施。</w:t>
            </w:r>
          </w:p>
          <w:p w14:paraId="67252D30">
            <w:pPr>
              <w:widowControl/>
              <w:snapToGrid w:val="0"/>
              <w:spacing w:line="360" w:lineRule="auto"/>
              <w:ind w:firstLine="480" w:firstLineChars="200"/>
              <w:jc w:val="left"/>
              <w:rPr>
                <w:color w:val="auto"/>
                <w:sz w:val="24"/>
                <w:szCs w:val="24"/>
              </w:rPr>
            </w:pPr>
            <w:r>
              <w:rPr>
                <w:color w:val="auto"/>
                <w:sz w:val="24"/>
                <w:szCs w:val="24"/>
              </w:rPr>
              <w:t>●贮存危险废物时应按危险废物的种类和特性进行分区贮存，每个贮存区域之间宜设置挡墙间隔，并应设置防雨、防火、防雷、防扬尘装置。</w:t>
            </w:r>
          </w:p>
          <w:p w14:paraId="41966C03">
            <w:pPr>
              <w:snapToGrid w:val="0"/>
              <w:spacing w:line="360" w:lineRule="auto"/>
              <w:ind w:firstLine="480" w:firstLineChars="200"/>
              <w:rPr>
                <w:color w:val="auto"/>
                <w:sz w:val="24"/>
                <w:szCs w:val="24"/>
              </w:rPr>
            </w:pPr>
            <w:r>
              <w:rPr>
                <w:rFonts w:hint="eastAsia" w:ascii="宋体" w:hAnsi="宋体" w:cs="宋体"/>
                <w:color w:val="auto"/>
                <w:sz w:val="24"/>
                <w:szCs w:val="24"/>
              </w:rPr>
              <w:t>③</w:t>
            </w:r>
            <w:r>
              <w:rPr>
                <w:color w:val="auto"/>
                <w:sz w:val="24"/>
                <w:szCs w:val="24"/>
              </w:rPr>
              <w:t>运输过程的污染防治措施</w:t>
            </w:r>
          </w:p>
          <w:p w14:paraId="27EDDAEC">
            <w:pPr>
              <w:snapToGrid w:val="0"/>
              <w:spacing w:line="360" w:lineRule="auto"/>
              <w:ind w:firstLine="480" w:firstLineChars="200"/>
              <w:rPr>
                <w:color w:val="auto"/>
                <w:sz w:val="24"/>
                <w:szCs w:val="24"/>
              </w:rPr>
            </w:pPr>
            <w:r>
              <w:rPr>
                <w:rFonts w:hint="eastAsia"/>
                <w:color w:val="auto"/>
                <w:sz w:val="24"/>
                <w:szCs w:val="24"/>
              </w:rPr>
              <w:t>&lt;1&gt;</w:t>
            </w:r>
            <w:r>
              <w:rPr>
                <w:color w:val="auto"/>
                <w:sz w:val="24"/>
                <w:szCs w:val="24"/>
              </w:rPr>
              <w:t>危废内部转运作业应满足以下要求：</w:t>
            </w:r>
          </w:p>
          <w:p w14:paraId="1EFEBE61">
            <w:pPr>
              <w:snapToGrid w:val="0"/>
              <w:spacing w:line="360" w:lineRule="auto"/>
              <w:ind w:firstLine="480" w:firstLineChars="200"/>
              <w:rPr>
                <w:color w:val="auto"/>
                <w:sz w:val="24"/>
                <w:szCs w:val="24"/>
              </w:rPr>
            </w:pPr>
            <w:r>
              <w:rPr>
                <w:color w:val="auto"/>
                <w:sz w:val="24"/>
                <w:szCs w:val="24"/>
              </w:rPr>
              <w:t>●在危险废物的收集和转运过程中，应采取相应的安全防护和污染防治措施，包括防爆、防火、防中毒、防感染、防</w:t>
            </w:r>
            <w:r>
              <w:rPr>
                <w:rFonts w:hint="eastAsia"/>
                <w:color w:val="auto"/>
                <w:sz w:val="24"/>
                <w:szCs w:val="24"/>
                <w:lang w:eastAsia="zh-CN"/>
              </w:rPr>
              <w:t>泄漏</w:t>
            </w:r>
            <w:r>
              <w:rPr>
                <w:color w:val="auto"/>
                <w:sz w:val="24"/>
                <w:szCs w:val="24"/>
              </w:rPr>
              <w:t>、防飞扬、防雨或其它防止污染环境的措施。</w:t>
            </w:r>
          </w:p>
          <w:p w14:paraId="5DC04794">
            <w:pPr>
              <w:snapToGrid w:val="0"/>
              <w:spacing w:line="360" w:lineRule="auto"/>
              <w:ind w:firstLine="480" w:firstLineChars="200"/>
              <w:rPr>
                <w:color w:val="auto"/>
                <w:sz w:val="24"/>
                <w:szCs w:val="24"/>
              </w:rPr>
            </w:pPr>
            <w:r>
              <w:rPr>
                <w:color w:val="auto"/>
                <w:sz w:val="24"/>
                <w:szCs w:val="24"/>
              </w:rPr>
              <w:t>●危废内部转运应综合考虑</w:t>
            </w:r>
            <w:r>
              <w:rPr>
                <w:rFonts w:hint="eastAsia" w:eastAsiaTheme="minorEastAsia"/>
                <w:color w:val="auto"/>
                <w:sz w:val="24"/>
                <w:szCs w:val="24"/>
                <w:lang w:val="en-US" w:eastAsia="zh-CN"/>
              </w:rPr>
              <w:t>厂区</w:t>
            </w:r>
            <w:r>
              <w:rPr>
                <w:color w:val="auto"/>
                <w:sz w:val="24"/>
                <w:szCs w:val="24"/>
              </w:rPr>
              <w:t>的实际情况确定转运路线，尽量避开办公区和生活区。</w:t>
            </w:r>
          </w:p>
          <w:p w14:paraId="2EA95711">
            <w:pPr>
              <w:snapToGrid w:val="0"/>
              <w:spacing w:line="360" w:lineRule="auto"/>
              <w:ind w:firstLine="480" w:firstLineChars="200"/>
              <w:rPr>
                <w:color w:val="auto"/>
                <w:sz w:val="24"/>
                <w:szCs w:val="24"/>
              </w:rPr>
            </w:pPr>
            <w:r>
              <w:rPr>
                <w:color w:val="auto"/>
                <w:sz w:val="24"/>
                <w:szCs w:val="24"/>
              </w:rPr>
              <w:t>●危废内部转运作业应采用专用的工具，参照《危险废物收集贮存运输技术规范》（HJ2025）附录B填写《危险废物厂内转运记录表》。</w:t>
            </w:r>
          </w:p>
          <w:p w14:paraId="3A13DFDA">
            <w:pPr>
              <w:snapToGrid w:val="0"/>
              <w:spacing w:line="360" w:lineRule="auto"/>
              <w:ind w:firstLine="480" w:firstLineChars="200"/>
              <w:rPr>
                <w:color w:val="auto"/>
                <w:sz w:val="24"/>
                <w:szCs w:val="24"/>
              </w:rPr>
            </w:pPr>
            <w:r>
              <w:rPr>
                <w:rFonts w:hint="eastAsia"/>
                <w:color w:val="auto"/>
                <w:sz w:val="24"/>
                <w:szCs w:val="24"/>
              </w:rPr>
              <w:t>&lt;2&gt;</w:t>
            </w:r>
            <w:r>
              <w:rPr>
                <w:color w:val="auto"/>
                <w:sz w:val="24"/>
                <w:szCs w:val="24"/>
              </w:rPr>
              <w:t>危废运输</w:t>
            </w:r>
          </w:p>
          <w:p w14:paraId="25E464E6">
            <w:pPr>
              <w:snapToGrid w:val="0"/>
              <w:spacing w:line="360" w:lineRule="auto"/>
              <w:ind w:firstLine="480" w:firstLineChars="200"/>
              <w:rPr>
                <w:color w:val="auto"/>
                <w:sz w:val="24"/>
                <w:szCs w:val="24"/>
              </w:rPr>
            </w:pPr>
            <w:r>
              <w:rPr>
                <w:color w:val="auto"/>
                <w:sz w:val="24"/>
                <w:szCs w:val="24"/>
              </w:rPr>
              <w:t>●危险废物运输应由持有危险废物经营许可证的单位按照其许可证的经营范围组织实施，承担危险废物运输的单位应获得交通运输部门颁发的危险货物运输资质。</w:t>
            </w:r>
          </w:p>
          <w:p w14:paraId="08923F47">
            <w:pPr>
              <w:snapToGrid w:val="0"/>
              <w:spacing w:line="360" w:lineRule="auto"/>
              <w:ind w:firstLine="480" w:firstLineChars="200"/>
              <w:rPr>
                <w:color w:val="auto"/>
                <w:sz w:val="24"/>
                <w:szCs w:val="24"/>
              </w:rPr>
            </w:pPr>
            <w:r>
              <w:rPr>
                <w:color w:val="auto"/>
                <w:sz w:val="24"/>
                <w:szCs w:val="24"/>
              </w:rPr>
              <w:t>●</w:t>
            </w:r>
            <w:r>
              <w:rPr>
                <w:rFonts w:hint="eastAsia"/>
                <w:color w:val="auto"/>
                <w:sz w:val="24"/>
                <w:szCs w:val="24"/>
              </w:rPr>
              <w:t>危险废物公路运输应按照《道路危险货物运输管理规定》（交通运输部令2023年第13号）、JT617以及JT618执行</w:t>
            </w:r>
            <w:r>
              <w:rPr>
                <w:color w:val="auto"/>
                <w:sz w:val="24"/>
                <w:szCs w:val="24"/>
              </w:rPr>
              <w:t>。</w:t>
            </w:r>
          </w:p>
          <w:p w14:paraId="4BBCA67E">
            <w:pPr>
              <w:snapToGrid w:val="0"/>
              <w:spacing w:line="360" w:lineRule="auto"/>
              <w:ind w:firstLine="480" w:firstLineChars="200"/>
              <w:rPr>
                <w:color w:val="auto"/>
                <w:sz w:val="24"/>
                <w:szCs w:val="24"/>
              </w:rPr>
            </w:pPr>
            <w:r>
              <w:rPr>
                <w:color w:val="auto"/>
                <w:sz w:val="24"/>
                <w:szCs w:val="24"/>
              </w:rPr>
              <w:t>●运输单位在承运危险废物时，应在危险废物包装上按照GB18597附录A设置标志。</w:t>
            </w:r>
          </w:p>
          <w:p w14:paraId="78F4D20F">
            <w:pPr>
              <w:snapToGrid w:val="0"/>
              <w:spacing w:line="360" w:lineRule="auto"/>
              <w:ind w:firstLine="480" w:firstLineChars="200"/>
              <w:rPr>
                <w:color w:val="auto"/>
                <w:sz w:val="24"/>
                <w:szCs w:val="24"/>
              </w:rPr>
            </w:pPr>
            <w:r>
              <w:rPr>
                <w:color w:val="auto"/>
                <w:sz w:val="24"/>
                <w:szCs w:val="24"/>
              </w:rPr>
              <w:t>●危险废物公路运输时，运输车辆按GB13392设置车辆标志。铁路运输和水路运输危险废物时应在集装箱外按GB190规定悬挂标志。</w:t>
            </w:r>
          </w:p>
          <w:p w14:paraId="150CB257">
            <w:pPr>
              <w:snapToGrid w:val="0"/>
              <w:spacing w:line="360" w:lineRule="auto"/>
              <w:ind w:firstLine="480" w:firstLineChars="200"/>
              <w:rPr>
                <w:color w:val="auto"/>
                <w:sz w:val="24"/>
                <w:szCs w:val="24"/>
              </w:rPr>
            </w:pPr>
            <w:r>
              <w:rPr>
                <w:color w:val="auto"/>
                <w:sz w:val="24"/>
                <w:szCs w:val="24"/>
              </w:rPr>
              <w:t>●危险废物运输时的中转、装卸过程应遵守如下技术要求：</w:t>
            </w:r>
          </w:p>
          <w:p w14:paraId="06EB30EE">
            <w:pPr>
              <w:snapToGrid w:val="0"/>
              <w:spacing w:line="360" w:lineRule="auto"/>
              <w:ind w:firstLine="480" w:firstLineChars="200"/>
              <w:rPr>
                <w:color w:val="auto"/>
                <w:sz w:val="24"/>
                <w:szCs w:val="24"/>
              </w:rPr>
            </w:pPr>
            <w:r>
              <w:rPr>
                <w:color w:val="auto"/>
                <w:sz w:val="24"/>
                <w:szCs w:val="24"/>
              </w:rPr>
              <w:t>装卸区的工作人员应熟悉废物的危险特性，并配备适当的个人防护装备，装卸剧毒废物应配备特殊的防护装备；</w:t>
            </w:r>
          </w:p>
          <w:p w14:paraId="00680F4E">
            <w:pPr>
              <w:snapToGrid w:val="0"/>
              <w:spacing w:line="360" w:lineRule="auto"/>
              <w:ind w:firstLine="480" w:firstLineChars="200"/>
              <w:rPr>
                <w:color w:val="auto"/>
                <w:sz w:val="24"/>
                <w:szCs w:val="24"/>
              </w:rPr>
            </w:pPr>
            <w:r>
              <w:rPr>
                <w:color w:val="auto"/>
                <w:sz w:val="24"/>
                <w:szCs w:val="24"/>
              </w:rPr>
              <w:t>装卸区应配备必要的消防设备和设施，并设置明显的指示标志；</w:t>
            </w:r>
          </w:p>
          <w:p w14:paraId="375B9205">
            <w:pPr>
              <w:snapToGrid w:val="0"/>
              <w:spacing w:line="360" w:lineRule="auto"/>
              <w:ind w:firstLine="480" w:firstLineChars="200"/>
              <w:rPr>
                <w:color w:val="auto"/>
                <w:sz w:val="24"/>
                <w:szCs w:val="24"/>
              </w:rPr>
            </w:pPr>
            <w:r>
              <w:rPr>
                <w:color w:val="auto"/>
                <w:sz w:val="24"/>
                <w:szCs w:val="24"/>
              </w:rPr>
              <w:t>危险废物装卸区应设置隔离设施，液态废物装卸区应设置收集槽和缓冲罐。</w:t>
            </w:r>
          </w:p>
          <w:p w14:paraId="3AC51823">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bCs/>
                <w:color w:val="auto"/>
                <w:sz w:val="24"/>
                <w:szCs w:val="24"/>
              </w:rPr>
            </w:pPr>
            <w:r>
              <w:rPr>
                <w:color w:val="auto"/>
                <w:sz w:val="24"/>
                <w:szCs w:val="24"/>
              </w:rPr>
              <w:t>（</w:t>
            </w:r>
            <w:r>
              <w:rPr>
                <w:rFonts w:hint="eastAsia"/>
                <w:color w:val="auto"/>
                <w:sz w:val="24"/>
                <w:szCs w:val="24"/>
                <w:lang w:val="en-US" w:eastAsia="zh-CN"/>
              </w:rPr>
              <w:t>2</w:t>
            </w:r>
            <w:r>
              <w:rPr>
                <w:color w:val="auto"/>
                <w:sz w:val="24"/>
                <w:szCs w:val="24"/>
              </w:rPr>
              <w:t>）</w:t>
            </w:r>
            <w:r>
              <w:rPr>
                <w:bCs/>
                <w:color w:val="auto"/>
                <w:sz w:val="24"/>
                <w:szCs w:val="24"/>
              </w:rPr>
              <w:t>一般</w:t>
            </w:r>
            <w:r>
              <w:rPr>
                <w:rFonts w:hint="eastAsia"/>
                <w:bCs/>
                <w:color w:val="auto"/>
                <w:sz w:val="24"/>
                <w:szCs w:val="24"/>
              </w:rPr>
              <w:t>工业</w:t>
            </w:r>
            <w:r>
              <w:rPr>
                <w:bCs/>
                <w:color w:val="auto"/>
                <w:sz w:val="24"/>
                <w:szCs w:val="24"/>
              </w:rPr>
              <w:t>固体废物</w:t>
            </w:r>
          </w:p>
          <w:p w14:paraId="36E424BE">
            <w:pPr>
              <w:adjustRightInd w:val="0"/>
              <w:snapToGrid w:val="0"/>
              <w:spacing w:line="360" w:lineRule="auto"/>
              <w:ind w:firstLine="480" w:firstLineChars="200"/>
              <w:rPr>
                <w:bCs/>
                <w:color w:val="auto"/>
                <w:sz w:val="24"/>
                <w:szCs w:val="24"/>
              </w:rPr>
            </w:pPr>
            <w:r>
              <w:rPr>
                <w:bCs/>
                <w:color w:val="auto"/>
                <w:sz w:val="24"/>
                <w:szCs w:val="24"/>
              </w:rPr>
              <w:t>本项目一般</w:t>
            </w:r>
            <w:r>
              <w:rPr>
                <w:rFonts w:hint="eastAsia"/>
                <w:bCs/>
                <w:color w:val="auto"/>
                <w:sz w:val="24"/>
                <w:szCs w:val="24"/>
              </w:rPr>
              <w:t>工业</w:t>
            </w:r>
            <w:r>
              <w:rPr>
                <w:rFonts w:hint="eastAsia" w:ascii="Times New Roman" w:hAnsi="Times New Roman" w:eastAsia="宋体" w:cs="Times New Roman"/>
                <w:color w:val="auto"/>
                <w:sz w:val="24"/>
                <w:szCs w:val="24"/>
              </w:rPr>
              <w:t>固</w:t>
            </w:r>
            <w:r>
              <w:rPr>
                <w:rFonts w:hint="eastAsia" w:ascii="Times New Roman" w:hAnsi="Times New Roman" w:eastAsia="宋体" w:cs="Times New Roman"/>
                <w:bCs/>
                <w:color w:val="auto"/>
                <w:sz w:val="24"/>
                <w:szCs w:val="24"/>
              </w:rPr>
              <w:t>废为</w:t>
            </w:r>
            <w:r>
              <w:rPr>
                <w:rFonts w:hint="eastAsia" w:cs="Times New Roman"/>
                <w:bCs/>
                <w:color w:val="auto"/>
                <w:sz w:val="24"/>
                <w:szCs w:val="24"/>
                <w:lang w:val="en-US" w:eastAsia="zh-CN"/>
              </w:rPr>
              <w:t>焊渣（SW59其他工业固体废物）、废滤芯（SW59其他工业固体废物）</w:t>
            </w:r>
            <w:r>
              <w:rPr>
                <w:bCs/>
                <w:color w:val="auto"/>
                <w:sz w:val="24"/>
                <w:szCs w:val="24"/>
              </w:rPr>
              <w:t>，</w:t>
            </w:r>
            <w:r>
              <w:rPr>
                <w:color w:val="auto"/>
                <w:sz w:val="24"/>
                <w:szCs w:val="24"/>
              </w:rPr>
              <w:t>定</w:t>
            </w:r>
            <w:r>
              <w:rPr>
                <w:rFonts w:eastAsiaTheme="minorEastAsia"/>
                <w:color w:val="auto"/>
                <w:sz w:val="24"/>
                <w:szCs w:val="24"/>
              </w:rPr>
              <w:t>期外售综合利用处理</w:t>
            </w:r>
            <w:r>
              <w:rPr>
                <w:bCs/>
                <w:color w:val="auto"/>
                <w:sz w:val="24"/>
                <w:szCs w:val="24"/>
              </w:rPr>
              <w:t>，</w:t>
            </w:r>
            <w:r>
              <w:rPr>
                <w:rFonts w:hint="eastAsia"/>
                <w:color w:val="auto"/>
                <w:sz w:val="24"/>
                <w:lang w:val="en-US" w:eastAsia="zh-CN"/>
              </w:rPr>
              <w:t>本</w:t>
            </w:r>
            <w:r>
              <w:rPr>
                <w:color w:val="auto"/>
                <w:sz w:val="24"/>
              </w:rPr>
              <w:t>项目</w:t>
            </w:r>
            <w:r>
              <w:rPr>
                <w:rFonts w:hint="eastAsia"/>
                <w:color w:val="auto"/>
                <w:sz w:val="24"/>
                <w:lang w:eastAsia="zh-CN"/>
              </w:rPr>
              <w:t>拟</w:t>
            </w:r>
            <w:r>
              <w:rPr>
                <w:color w:val="auto"/>
                <w:sz w:val="24"/>
              </w:rPr>
              <w:t>在</w:t>
            </w:r>
            <w:r>
              <w:rPr>
                <w:rFonts w:hint="eastAsia"/>
                <w:color w:val="auto"/>
                <w:sz w:val="24"/>
                <w:lang w:val="en-US" w:eastAsia="zh-CN"/>
              </w:rPr>
              <w:t>生产车间内</w:t>
            </w:r>
            <w:r>
              <w:rPr>
                <w:color w:val="auto"/>
                <w:sz w:val="24"/>
              </w:rPr>
              <w:t>设1个</w:t>
            </w:r>
            <w:r>
              <w:rPr>
                <w:rFonts w:hint="eastAsia"/>
                <w:color w:val="auto"/>
                <w:sz w:val="24"/>
                <w:lang w:val="en-US" w:eastAsia="zh-CN"/>
              </w:rPr>
              <w:t>一般固废堆场</w:t>
            </w:r>
            <w:r>
              <w:rPr>
                <w:color w:val="auto"/>
                <w:sz w:val="24"/>
              </w:rPr>
              <w:t>，占地面积约</w:t>
            </w:r>
            <w:r>
              <w:rPr>
                <w:rFonts w:hint="eastAsia"/>
                <w:color w:val="auto"/>
                <w:sz w:val="24"/>
                <w:lang w:val="en-US" w:eastAsia="zh-CN"/>
              </w:rPr>
              <w:t>10</w:t>
            </w:r>
            <w:r>
              <w:rPr>
                <w:color w:val="auto"/>
                <w:sz w:val="24"/>
              </w:rPr>
              <w:t>m</w:t>
            </w:r>
            <w:r>
              <w:rPr>
                <w:color w:val="auto"/>
                <w:sz w:val="24"/>
                <w:vertAlign w:val="superscript"/>
              </w:rPr>
              <w:t>2</w:t>
            </w:r>
            <w:r>
              <w:rPr>
                <w:rFonts w:hint="eastAsia"/>
                <w:color w:val="auto"/>
                <w:sz w:val="24"/>
                <w:szCs w:val="24"/>
                <w:lang w:eastAsia="zh-CN"/>
              </w:rPr>
              <w:t>，</w:t>
            </w:r>
            <w:r>
              <w:rPr>
                <w:color w:val="auto"/>
                <w:sz w:val="24"/>
                <w:szCs w:val="24"/>
              </w:rPr>
              <w:t>可满足</w:t>
            </w:r>
            <w:r>
              <w:rPr>
                <w:rFonts w:hint="eastAsia"/>
                <w:color w:val="auto"/>
                <w:sz w:val="24"/>
                <w:szCs w:val="24"/>
              </w:rPr>
              <w:t>一般</w:t>
            </w:r>
            <w:r>
              <w:rPr>
                <w:rFonts w:hint="eastAsia"/>
                <w:bCs/>
                <w:color w:val="auto"/>
                <w:sz w:val="24"/>
                <w:szCs w:val="24"/>
              </w:rPr>
              <w:t>工业</w:t>
            </w:r>
            <w:r>
              <w:rPr>
                <w:rFonts w:hint="eastAsia"/>
                <w:color w:val="auto"/>
                <w:sz w:val="24"/>
                <w:szCs w:val="24"/>
              </w:rPr>
              <w:t>固体废物</w:t>
            </w:r>
            <w:r>
              <w:rPr>
                <w:color w:val="auto"/>
                <w:sz w:val="24"/>
                <w:szCs w:val="24"/>
              </w:rPr>
              <w:t>暂存需求。</w:t>
            </w:r>
            <w:r>
              <w:rPr>
                <w:rFonts w:hint="eastAsia"/>
                <w:color w:val="auto"/>
                <w:sz w:val="24"/>
                <w:szCs w:val="24"/>
              </w:rPr>
              <w:t>根据</w:t>
            </w:r>
            <w:r>
              <w:rPr>
                <w:color w:val="auto"/>
                <w:sz w:val="24"/>
                <w:szCs w:val="24"/>
              </w:rPr>
              <w:t>《一般工业固体废物贮存和填埋污染控制标准》（GB18599-2020）</w:t>
            </w:r>
            <w:r>
              <w:rPr>
                <w:rFonts w:hint="eastAsia"/>
                <w:color w:val="auto"/>
                <w:sz w:val="24"/>
                <w:szCs w:val="24"/>
              </w:rPr>
              <w:t>中明确采用库房、包装工具（罐、桶、包装袋等）贮存一般工业固体废物过程的污染控制，不适用本标准，</w:t>
            </w:r>
            <w:r>
              <w:rPr>
                <w:rFonts w:hint="eastAsia"/>
                <w:color w:val="auto"/>
                <w:sz w:val="24"/>
                <w:szCs w:val="24"/>
                <w:lang w:val="en-US" w:eastAsia="zh-CN"/>
              </w:rPr>
              <w:t>一般固废堆场</w:t>
            </w:r>
            <w:r>
              <w:rPr>
                <w:rFonts w:hint="eastAsia"/>
                <w:color w:val="auto"/>
                <w:sz w:val="24"/>
                <w:szCs w:val="24"/>
              </w:rPr>
              <w:t>贮存过程应满足相应防渗漏、防雨淋、防扬尘等环境保护要求，委托他人运输、利用、处置工业固体废物时，应当对受托方的主体资格和技术能力进行核实。</w:t>
            </w:r>
          </w:p>
          <w:p w14:paraId="2EBDAB49">
            <w:pPr>
              <w:adjustRightInd w:val="0"/>
              <w:snapToGrid w:val="0"/>
              <w:spacing w:line="360" w:lineRule="auto"/>
              <w:ind w:firstLine="360" w:firstLineChars="150"/>
              <w:rPr>
                <w:rFonts w:eastAsiaTheme="minorEastAsia"/>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（3）生活垃圾</w:t>
            </w:r>
          </w:p>
          <w:p w14:paraId="0A454CF8">
            <w:pPr>
              <w:pStyle w:val="18"/>
              <w:snapToGrid w:val="0"/>
              <w:ind w:left="420" w:leftChars="200" w:firstLine="0"/>
              <w:rPr>
                <w:rFonts w:eastAsiaTheme="minorEastAsia"/>
                <w:bCs/>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生活垃圾由环卫部门定期清运，可得到有效处置。</w:t>
            </w:r>
          </w:p>
          <w:p w14:paraId="440DA34D">
            <w:pPr>
              <w:pStyle w:val="18"/>
              <w:keepNext w:val="0"/>
              <w:keepLines w:val="0"/>
              <w:pageBreakBefore w:val="0"/>
              <w:widowControl w:val="0"/>
              <w:kinsoku/>
              <w:wordWrap/>
              <w:overflowPunct/>
              <w:topLinePunct w:val="0"/>
              <w:autoSpaceDE/>
              <w:autoSpaceDN/>
              <w:bidi w:val="0"/>
              <w:snapToGrid w:val="0"/>
              <w:ind w:left="0" w:leftChars="0" w:firstLine="482" w:firstLineChars="200"/>
              <w:textAlignment w:val="auto"/>
              <w:rPr>
                <w:rFonts w:eastAsiaTheme="minorEastAsia"/>
                <w:b/>
                <w:color w:val="auto"/>
                <w:szCs w:val="24"/>
              </w:rPr>
            </w:pPr>
            <w:r>
              <w:rPr>
                <w:rFonts w:hint="eastAsia" w:eastAsiaTheme="minorEastAsia"/>
                <w:b/>
                <w:color w:val="auto"/>
                <w:szCs w:val="24"/>
              </w:rPr>
              <w:t>4.3</w:t>
            </w:r>
            <w:r>
              <w:rPr>
                <w:rFonts w:eastAsiaTheme="minorEastAsia"/>
                <w:b/>
                <w:color w:val="auto"/>
                <w:szCs w:val="24"/>
              </w:rPr>
              <w:t>固</w:t>
            </w:r>
            <w:r>
              <w:rPr>
                <w:rFonts w:hint="eastAsia" w:eastAsiaTheme="minorEastAsia"/>
                <w:b/>
                <w:color w:val="auto"/>
                <w:szCs w:val="24"/>
              </w:rPr>
              <w:t>体</w:t>
            </w:r>
            <w:r>
              <w:rPr>
                <w:rFonts w:eastAsiaTheme="minorEastAsia"/>
                <w:b/>
                <w:color w:val="auto"/>
                <w:szCs w:val="24"/>
              </w:rPr>
              <w:t>废</w:t>
            </w:r>
            <w:r>
              <w:rPr>
                <w:rFonts w:hint="eastAsia" w:eastAsiaTheme="minorEastAsia"/>
                <w:b/>
                <w:color w:val="auto"/>
                <w:szCs w:val="24"/>
              </w:rPr>
              <w:t>物</w:t>
            </w:r>
            <w:r>
              <w:rPr>
                <w:rFonts w:eastAsiaTheme="minorEastAsia"/>
                <w:b/>
                <w:color w:val="auto"/>
                <w:szCs w:val="24"/>
              </w:rPr>
              <w:t>环境</w:t>
            </w:r>
            <w:r>
              <w:rPr>
                <w:rFonts w:hint="eastAsia" w:eastAsiaTheme="minorEastAsia"/>
                <w:b/>
                <w:color w:val="auto"/>
                <w:szCs w:val="24"/>
              </w:rPr>
              <w:t>管理要求</w:t>
            </w:r>
          </w:p>
          <w:p w14:paraId="1EB7DABB">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bCs/>
                <w:color w:val="auto"/>
                <w:sz w:val="24"/>
              </w:rPr>
            </w:pPr>
            <w:r>
              <w:rPr>
                <w:bCs/>
                <w:color w:val="auto"/>
                <w:sz w:val="24"/>
              </w:rPr>
              <w:t>（1）危险固废</w:t>
            </w:r>
          </w:p>
          <w:p w14:paraId="035754E2">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color w:val="auto"/>
                <w:sz w:val="24"/>
              </w:rPr>
            </w:pPr>
            <w:r>
              <w:rPr>
                <w:color w:val="auto"/>
                <w:sz w:val="24"/>
              </w:rPr>
              <w:t>1）危险废物贮存场所（设施）环境影响分析</w:t>
            </w:r>
          </w:p>
          <w:p w14:paraId="66FCEEE6">
            <w:pPr>
              <w:snapToGrid w:val="0"/>
              <w:spacing w:line="360" w:lineRule="auto"/>
              <w:ind w:firstLine="480" w:firstLineChars="200"/>
              <w:rPr>
                <w:color w:val="auto"/>
                <w:sz w:val="24"/>
              </w:rPr>
            </w:pPr>
            <w:r>
              <w:rPr>
                <w:rFonts w:hint="eastAsia"/>
                <w:color w:val="auto"/>
                <w:sz w:val="24"/>
                <w:lang w:val="en-US" w:eastAsia="zh-CN"/>
              </w:rPr>
              <w:t>本</w:t>
            </w:r>
            <w:r>
              <w:rPr>
                <w:color w:val="auto"/>
                <w:sz w:val="24"/>
              </w:rPr>
              <w:t>项目</w:t>
            </w:r>
            <w:r>
              <w:rPr>
                <w:rFonts w:hint="eastAsia"/>
                <w:color w:val="auto"/>
                <w:sz w:val="24"/>
                <w:lang w:val="en-US" w:eastAsia="zh-CN"/>
              </w:rPr>
              <w:t>拟于生产车间内设置</w:t>
            </w:r>
            <w:r>
              <w:rPr>
                <w:color w:val="auto"/>
                <w:sz w:val="24"/>
              </w:rPr>
              <w:t>1个</w:t>
            </w:r>
            <w:r>
              <w:rPr>
                <w:rFonts w:hint="eastAsia"/>
                <w:color w:val="auto"/>
                <w:sz w:val="24"/>
              </w:rPr>
              <w:t>危废仓库</w:t>
            </w:r>
            <w:r>
              <w:rPr>
                <w:color w:val="auto"/>
                <w:sz w:val="24"/>
              </w:rPr>
              <w:t>，占地面积约</w:t>
            </w:r>
            <w:r>
              <w:rPr>
                <w:rFonts w:hint="eastAsia"/>
                <w:color w:val="auto"/>
                <w:sz w:val="24"/>
                <w:lang w:val="en-US" w:eastAsia="zh-CN"/>
              </w:rPr>
              <w:t>12m</w:t>
            </w:r>
            <w:r>
              <w:rPr>
                <w:color w:val="auto"/>
                <w:sz w:val="24"/>
                <w:vertAlign w:val="superscript"/>
              </w:rPr>
              <w:t>2</w:t>
            </w:r>
            <w:r>
              <w:rPr>
                <w:rFonts w:hint="eastAsia"/>
                <w:color w:val="auto"/>
                <w:sz w:val="24"/>
              </w:rPr>
              <w:t>，可满足危废暂存需求</w:t>
            </w:r>
            <w:r>
              <w:rPr>
                <w:color w:val="auto"/>
                <w:sz w:val="24"/>
              </w:rPr>
              <w:t>。危废</w:t>
            </w:r>
            <w:r>
              <w:rPr>
                <w:rFonts w:hint="eastAsia"/>
                <w:color w:val="auto"/>
                <w:sz w:val="24"/>
                <w:lang w:val="en-US" w:eastAsia="zh-CN"/>
              </w:rPr>
              <w:t>仓库</w:t>
            </w:r>
            <w:r>
              <w:rPr>
                <w:color w:val="auto"/>
                <w:sz w:val="24"/>
              </w:rPr>
              <w:t>按《危险废物贮存污染控制</w:t>
            </w:r>
            <w:r>
              <w:rPr>
                <w:rFonts w:hint="eastAsia"/>
                <w:color w:val="auto"/>
                <w:sz w:val="24"/>
                <w:lang w:eastAsia="zh-CN"/>
              </w:rPr>
              <w:t>标准</w:t>
            </w:r>
            <w:r>
              <w:rPr>
                <w:color w:val="auto"/>
                <w:sz w:val="24"/>
              </w:rPr>
              <w:t>》（GB18597-20</w:t>
            </w:r>
            <w:r>
              <w:rPr>
                <w:rFonts w:hint="eastAsia"/>
                <w:color w:val="auto"/>
                <w:sz w:val="24"/>
                <w:lang w:val="en-US" w:eastAsia="zh-CN"/>
              </w:rPr>
              <w:t>23</w:t>
            </w:r>
            <w:r>
              <w:rPr>
                <w:color w:val="auto"/>
                <w:sz w:val="24"/>
              </w:rPr>
              <w:t>）的要求设置，做到</w:t>
            </w:r>
            <w:r>
              <w:rPr>
                <w:rFonts w:hint="eastAsia"/>
                <w:color w:val="auto"/>
                <w:sz w:val="24"/>
                <w:lang w:eastAsia="zh-CN"/>
              </w:rPr>
              <w:t>“</w:t>
            </w:r>
            <w:r>
              <w:rPr>
                <w:color w:val="auto"/>
                <w:sz w:val="24"/>
              </w:rPr>
              <w:t>防风、防雨、防晒、防渗</w:t>
            </w:r>
            <w:r>
              <w:rPr>
                <w:rFonts w:hint="eastAsia"/>
                <w:color w:val="auto"/>
                <w:sz w:val="24"/>
                <w:lang w:eastAsia="zh-CN"/>
              </w:rPr>
              <w:t>”</w:t>
            </w:r>
            <w:r>
              <w:rPr>
                <w:bCs/>
                <w:color w:val="auto"/>
                <w:sz w:val="24"/>
                <w:szCs w:val="24"/>
              </w:rPr>
              <w:t>，且贮存场所大小满足危废暂存及周转要求，对周围环境影响较小。</w:t>
            </w:r>
          </w:p>
          <w:p w14:paraId="073F3C4C">
            <w:pPr>
              <w:snapToGrid w:val="0"/>
              <w:spacing w:line="360" w:lineRule="auto"/>
              <w:ind w:firstLine="480" w:firstLineChars="200"/>
              <w:rPr>
                <w:color w:val="auto"/>
                <w:sz w:val="24"/>
                <w:szCs w:val="24"/>
              </w:rPr>
            </w:pPr>
            <w:r>
              <w:rPr>
                <w:color w:val="auto"/>
                <w:sz w:val="24"/>
              </w:rPr>
              <w:t>2）运输过程的环境影响分析</w:t>
            </w:r>
          </w:p>
          <w:p w14:paraId="4FF12CB7">
            <w:pPr>
              <w:snapToGrid w:val="0"/>
              <w:spacing w:line="360" w:lineRule="auto"/>
              <w:ind w:firstLine="480" w:firstLineChars="200"/>
              <w:rPr>
                <w:color w:val="auto"/>
                <w:sz w:val="24"/>
              </w:rPr>
            </w:pPr>
            <w:r>
              <w:rPr>
                <w:color w:val="auto"/>
                <w:sz w:val="24"/>
              </w:rPr>
              <w:t>建设项目强化废物产生、收集、贮运、各环节的管理，采取有效措施杜绝固废在包装、运输过程中在</w:t>
            </w:r>
            <w:r>
              <w:rPr>
                <w:rFonts w:hint="eastAsia" w:eastAsiaTheme="minorEastAsia"/>
                <w:color w:val="auto"/>
                <w:sz w:val="24"/>
                <w:szCs w:val="24"/>
                <w:lang w:val="en-US" w:eastAsia="zh-CN"/>
              </w:rPr>
              <w:t>园区</w:t>
            </w:r>
            <w:r>
              <w:rPr>
                <w:color w:val="auto"/>
                <w:sz w:val="24"/>
              </w:rPr>
              <w:t>内的散失、渗漏。同时建立完善的规章制度，以降低危险固体废物散落对周围环境的影响。</w:t>
            </w:r>
          </w:p>
          <w:p w14:paraId="2A04B2D1">
            <w:pPr>
              <w:snapToGrid w:val="0"/>
              <w:spacing w:line="360" w:lineRule="auto"/>
              <w:ind w:firstLine="480" w:firstLineChars="200"/>
              <w:rPr>
                <w:bCs/>
                <w:color w:val="auto"/>
                <w:sz w:val="24"/>
                <w:szCs w:val="24"/>
              </w:rPr>
            </w:pPr>
            <w:r>
              <w:rPr>
                <w:bCs/>
                <w:color w:val="auto"/>
                <w:sz w:val="24"/>
                <w:szCs w:val="24"/>
              </w:rPr>
              <w:t>危废</w:t>
            </w:r>
            <w:r>
              <w:rPr>
                <w:color w:val="auto"/>
                <w:spacing w:val="-4"/>
                <w:sz w:val="24"/>
                <w:szCs w:val="24"/>
              </w:rPr>
              <w:t>运输由持有危险废物经营许可证的单位承运，并按照《道路危险货物运输管理规</w:t>
            </w:r>
            <w:r>
              <w:rPr>
                <w:bCs/>
                <w:color w:val="auto"/>
                <w:sz w:val="24"/>
                <w:szCs w:val="24"/>
              </w:rPr>
              <w:t>定》</w:t>
            </w:r>
            <w:r>
              <w:rPr>
                <w:rFonts w:hint="eastAsia"/>
                <w:bCs/>
                <w:color w:val="auto"/>
                <w:sz w:val="24"/>
                <w:szCs w:val="24"/>
                <w:lang w:eastAsia="zh-CN"/>
              </w:rPr>
              <w:t>（交通运输部令2023年第13号）</w:t>
            </w:r>
            <w:r>
              <w:rPr>
                <w:bCs/>
                <w:color w:val="auto"/>
                <w:sz w:val="24"/>
                <w:szCs w:val="24"/>
              </w:rPr>
              <w:t>、JT617以及JT618执行，发生散落和泄漏的可能性极小，对运输沿线的环境敏感保护目标影响较小。</w:t>
            </w:r>
          </w:p>
          <w:p w14:paraId="217DC5BB">
            <w:pPr>
              <w:snapToGrid w:val="0"/>
              <w:spacing w:line="360" w:lineRule="auto"/>
              <w:ind w:firstLine="480" w:firstLineChars="200"/>
              <w:rPr>
                <w:bCs/>
                <w:color w:val="auto"/>
                <w:sz w:val="24"/>
                <w:szCs w:val="24"/>
              </w:rPr>
            </w:pPr>
            <w:r>
              <w:rPr>
                <w:rFonts w:hint="eastAsia"/>
                <w:bCs/>
                <w:color w:val="auto"/>
                <w:sz w:val="24"/>
                <w:szCs w:val="24"/>
              </w:rPr>
              <w:t>3）</w:t>
            </w:r>
            <w:r>
              <w:rPr>
                <w:bCs/>
                <w:color w:val="auto"/>
                <w:sz w:val="24"/>
                <w:szCs w:val="24"/>
              </w:rPr>
              <w:t>委托利用或者处置的环境影响分析</w:t>
            </w:r>
          </w:p>
          <w:p w14:paraId="6447D0B7">
            <w:pPr>
              <w:snapToGrid w:val="0"/>
              <w:spacing w:line="360" w:lineRule="auto"/>
              <w:ind w:firstLine="480" w:firstLineChars="200"/>
              <w:rPr>
                <w:color w:val="auto"/>
                <w:sz w:val="24"/>
              </w:rPr>
            </w:pPr>
            <w:r>
              <w:rPr>
                <w:color w:val="auto"/>
                <w:sz w:val="24"/>
                <w:szCs w:val="24"/>
              </w:rPr>
              <w:t>根据</w:t>
            </w:r>
            <w:r>
              <w:rPr>
                <w:rFonts w:hint="eastAsia"/>
                <w:color w:val="auto"/>
                <w:sz w:val="24"/>
                <w:szCs w:val="24"/>
              </w:rPr>
              <w:t>《国家危险废物名录》（202</w:t>
            </w:r>
            <w:r>
              <w:rPr>
                <w:rFonts w:hint="eastAsia"/>
                <w:color w:val="auto"/>
                <w:sz w:val="24"/>
                <w:szCs w:val="24"/>
                <w:lang w:val="en-US" w:eastAsia="zh-CN"/>
              </w:rPr>
              <w:t>5</w:t>
            </w:r>
            <w:r>
              <w:rPr>
                <w:rFonts w:hint="eastAsia"/>
                <w:color w:val="auto"/>
                <w:sz w:val="24"/>
                <w:szCs w:val="24"/>
              </w:rPr>
              <w:t>年版）</w:t>
            </w:r>
            <w:r>
              <w:rPr>
                <w:color w:val="auto"/>
                <w:sz w:val="24"/>
                <w:szCs w:val="24"/>
              </w:rPr>
              <w:t>进行鉴别，本项目危险废物为：</w:t>
            </w:r>
            <w:r>
              <w:rPr>
                <w:rFonts w:hint="eastAsia" w:ascii="Times New Roman" w:hAnsi="Times New Roman" w:cs="Times New Roman" w:eastAsiaTheme="minorEastAsia"/>
                <w:color w:val="auto"/>
                <w:sz w:val="24"/>
                <w:szCs w:val="24"/>
                <w:lang w:val="en-US" w:eastAsia="zh-CN"/>
              </w:rPr>
              <w:t>废抹布、手套（含酒精）（HW49其他废物）、废活性炭（HW49其他废物）、废包装容器（HW49其他废物）</w:t>
            </w:r>
            <w:r>
              <w:rPr>
                <w:rFonts w:hint="eastAsia"/>
                <w:color w:val="auto"/>
                <w:sz w:val="24"/>
                <w:lang w:eastAsia="zh-CN"/>
              </w:rPr>
              <w:t>，</w:t>
            </w:r>
            <w:r>
              <w:rPr>
                <w:rFonts w:hint="eastAsia" w:asciiTheme="minorEastAsia" w:hAnsiTheme="minorEastAsia" w:eastAsiaTheme="minorEastAsia" w:cstheme="minorEastAsia"/>
                <w:color w:val="auto"/>
                <w:sz w:val="24"/>
                <w:szCs w:val="24"/>
              </w:rPr>
              <w:t>需要委托有资质的单位进行安全、无害化处置，在项目投产前落实危险废物处置途径，签订危废处理合同。</w:t>
            </w:r>
          </w:p>
          <w:p w14:paraId="71AE6F70">
            <w:pPr>
              <w:pStyle w:val="18"/>
              <w:snapToGrid w:val="0"/>
              <w:ind w:firstLineChars="200"/>
              <w:rPr>
                <w:rFonts w:hint="default" w:eastAsiaTheme="minorEastAsia"/>
                <w:bCs/>
                <w:color w:val="auto"/>
                <w:szCs w:val="24"/>
                <w:lang w:val="en-US" w:eastAsia="zh-CN"/>
              </w:rPr>
            </w:pPr>
            <w:r>
              <w:rPr>
                <w:color w:val="auto"/>
                <w:szCs w:val="24"/>
              </w:rPr>
              <w:t>（2）</w:t>
            </w:r>
            <w:r>
              <w:rPr>
                <w:rFonts w:eastAsiaTheme="minorEastAsia"/>
                <w:bCs/>
                <w:color w:val="auto"/>
                <w:szCs w:val="24"/>
              </w:rPr>
              <w:t>一般固废</w:t>
            </w:r>
            <w:r>
              <w:rPr>
                <w:rFonts w:hint="eastAsia" w:eastAsiaTheme="minorEastAsia"/>
                <w:bCs/>
                <w:color w:val="auto"/>
                <w:szCs w:val="24"/>
                <w:lang w:val="en-US" w:eastAsia="zh-CN"/>
              </w:rPr>
              <w:t>及生活垃圾</w:t>
            </w:r>
          </w:p>
          <w:p w14:paraId="20C3011F">
            <w:pPr>
              <w:pStyle w:val="18"/>
              <w:snapToGrid w:val="0"/>
              <w:ind w:firstLineChars="200"/>
              <w:rPr>
                <w:rFonts w:eastAsiaTheme="minorEastAsia"/>
                <w:color w:val="FF0000"/>
                <w:szCs w:val="24"/>
              </w:rPr>
            </w:pPr>
            <w:r>
              <w:rPr>
                <w:bCs/>
                <w:color w:val="auto"/>
                <w:szCs w:val="24"/>
              </w:rPr>
              <w:t>本项目一般</w:t>
            </w:r>
            <w:r>
              <w:rPr>
                <w:rFonts w:hint="eastAsia"/>
                <w:bCs/>
                <w:color w:val="auto"/>
                <w:szCs w:val="24"/>
              </w:rPr>
              <w:t>工业</w:t>
            </w:r>
            <w:r>
              <w:rPr>
                <w:bCs/>
                <w:color w:val="auto"/>
                <w:szCs w:val="24"/>
              </w:rPr>
              <w:t>固废为</w:t>
            </w:r>
            <w:r>
              <w:rPr>
                <w:rFonts w:hint="eastAsia"/>
                <w:bCs/>
                <w:color w:val="auto"/>
                <w:szCs w:val="24"/>
                <w:lang w:val="en-US" w:eastAsia="zh-CN"/>
              </w:rPr>
              <w:t>焊渣</w:t>
            </w:r>
            <w:r>
              <w:rPr>
                <w:rFonts w:hint="eastAsia" w:cs="Times New Roman"/>
                <w:bCs/>
                <w:color w:val="auto"/>
                <w:sz w:val="24"/>
                <w:szCs w:val="24"/>
                <w:lang w:val="en-US" w:eastAsia="zh-CN"/>
              </w:rPr>
              <w:t>（SW59其他工业固体废物）、废滤芯（SW59其他工业固体废物），</w:t>
            </w:r>
            <w:r>
              <w:rPr>
                <w:rFonts w:eastAsiaTheme="minorEastAsia"/>
                <w:color w:val="auto"/>
                <w:szCs w:val="24"/>
              </w:rPr>
              <w:t>定期外售综合利用处理</w:t>
            </w:r>
            <w:r>
              <w:rPr>
                <w:rFonts w:eastAsiaTheme="minorEastAsia"/>
                <w:bCs/>
                <w:color w:val="auto"/>
                <w:szCs w:val="24"/>
              </w:rPr>
              <w:t>；</w:t>
            </w:r>
            <w:r>
              <w:rPr>
                <w:rFonts w:eastAsiaTheme="minorEastAsia"/>
                <w:color w:val="auto"/>
                <w:szCs w:val="24"/>
              </w:rPr>
              <w:t>员工生活</w:t>
            </w:r>
            <w:r>
              <w:rPr>
                <w:rFonts w:eastAsiaTheme="minorEastAsia"/>
                <w:color w:val="000000" w:themeColor="text1"/>
                <w:szCs w:val="24"/>
                <w14:textFill>
                  <w14:solidFill>
                    <w14:schemeClr w14:val="tx1"/>
                  </w14:solidFill>
                </w14:textFill>
              </w:rPr>
              <w:t>产生的生活垃圾，由环卫部门负责定期清运，可得到有效处置。</w:t>
            </w:r>
          </w:p>
          <w:p w14:paraId="2B1F9C8A">
            <w:pPr>
              <w:pStyle w:val="18"/>
              <w:snapToGrid w:val="0"/>
              <w:ind w:firstLineChars="200"/>
              <w:rPr>
                <w:rFonts w:eastAsiaTheme="minorEastAsia"/>
                <w:color w:val="auto"/>
                <w:szCs w:val="24"/>
              </w:rPr>
            </w:pPr>
            <w:r>
              <w:rPr>
                <w:rFonts w:eastAsiaTheme="minorEastAsia"/>
                <w:color w:val="auto"/>
                <w:szCs w:val="24"/>
              </w:rPr>
              <w:t>根据</w:t>
            </w:r>
            <w:r>
              <w:rPr>
                <w:rFonts w:hint="eastAsia" w:eastAsiaTheme="minorEastAsia"/>
                <w:color w:val="auto"/>
                <w:szCs w:val="24"/>
                <w:lang w:eastAsia="zh-CN"/>
              </w:rPr>
              <w:t>“</w:t>
            </w:r>
            <w:r>
              <w:rPr>
                <w:rFonts w:eastAsiaTheme="minorEastAsia"/>
                <w:color w:val="auto"/>
                <w:szCs w:val="24"/>
              </w:rPr>
              <w:t>污染防治措施</w:t>
            </w:r>
            <w:r>
              <w:rPr>
                <w:rFonts w:hint="eastAsia" w:eastAsiaTheme="minorEastAsia"/>
                <w:color w:val="auto"/>
                <w:szCs w:val="24"/>
                <w:lang w:eastAsia="zh-CN"/>
              </w:rPr>
              <w:t>”</w:t>
            </w:r>
            <w:r>
              <w:rPr>
                <w:rFonts w:eastAsiaTheme="minorEastAsia"/>
                <w:color w:val="auto"/>
                <w:szCs w:val="24"/>
              </w:rPr>
              <w:t>，建设项目产生的各项固废均可得到有效处置，固废处置率达100％，固废污染防治措施可行，对周围环境影响较小。</w:t>
            </w:r>
          </w:p>
          <w:p w14:paraId="44D600AA">
            <w:pPr>
              <w:pStyle w:val="2"/>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综上，本项目已评价产生的固体废物种类、数量、来源和属性，论述贮存、转移和利用处置方式合规性、合理性，提出切实可行的污染防治对策措施，与《江苏省固体废物全过程环境监管工作意见》</w:t>
            </w:r>
            <w:r>
              <w:rPr>
                <w:rFonts w:hint="eastAsia"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苏环办〔2024]16号</w:t>
            </w:r>
            <w:r>
              <w:rPr>
                <w:rFonts w:hint="eastAsia"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相符。</w:t>
            </w:r>
          </w:p>
          <w:p w14:paraId="2BEBE693">
            <w:pPr>
              <w:snapToGrid w:val="0"/>
              <w:spacing w:line="360" w:lineRule="auto"/>
              <w:ind w:firstLine="482" w:firstLineChars="200"/>
              <w:rPr>
                <w:rFonts w:hint="eastAsia" w:ascii="Times New Roman" w:hAnsi="Times New Roman" w:cs="Times New Roman" w:eastAsiaTheme="minorEastAsia"/>
                <w:b/>
                <w:color w:val="auto"/>
                <w:kern w:val="2"/>
                <w:sz w:val="24"/>
                <w:szCs w:val="24"/>
                <w:lang w:val="en-US" w:eastAsia="zh-CN" w:bidi="ar-SA"/>
              </w:rPr>
            </w:pPr>
            <w:r>
              <w:rPr>
                <w:rFonts w:hint="eastAsia" w:ascii="Times New Roman" w:hAnsi="Times New Roman" w:cs="Times New Roman" w:eastAsiaTheme="minorEastAsia"/>
                <w:b/>
                <w:color w:val="auto"/>
                <w:kern w:val="2"/>
                <w:sz w:val="24"/>
                <w:szCs w:val="24"/>
                <w:lang w:val="en-US" w:eastAsia="zh-CN" w:bidi="ar-SA"/>
              </w:rPr>
              <w:t>4.4固体废物环境管理要求</w:t>
            </w:r>
          </w:p>
          <w:p w14:paraId="538CF794">
            <w:pPr>
              <w:snapToGrid w:val="0"/>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根据《省生态环境厅关于印发&lt;江苏省固体废物全过程环境监管工作意见&gt;的通知》（苏环办〔2024〕16号）中要求，</w:t>
            </w:r>
            <w:r>
              <w:rPr>
                <w:rFonts w:hint="eastAsia"/>
                <w:color w:val="auto"/>
                <w:sz w:val="24"/>
                <w:szCs w:val="24"/>
                <w:lang w:val="en-US" w:eastAsia="zh-CN"/>
              </w:rPr>
              <w:t>本项目</w:t>
            </w:r>
            <w:r>
              <w:rPr>
                <w:rFonts w:hint="eastAsia" w:ascii="Times New Roman" w:hAnsi="Times New Roman" w:eastAsia="宋体" w:cs="Times New Roman"/>
                <w:color w:val="auto"/>
                <w:kern w:val="2"/>
                <w:sz w:val="24"/>
                <w:szCs w:val="24"/>
                <w:lang w:val="en-US" w:eastAsia="zh-CN" w:bidi="ar-SA"/>
              </w:rPr>
              <w:t>在后续固废管理中需做到如下几点：</w:t>
            </w:r>
          </w:p>
          <w:p w14:paraId="353C5E78">
            <w:pPr>
              <w:snapToGrid w:val="0"/>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落实排污许可制度。企业要在排污许可管理系统中全面、准确申报工业固体废物产生种类，以及贮存设施和利用处置等相关情况，并对其真实性负责。实际产生、转移、贮存和利用处置情况对照项目环评发生变动的，要根据变动情况及时采取重新报批环评、纳入环境保护竣工验收等手续，并及时变更排污许可。</w:t>
            </w:r>
          </w:p>
          <w:p w14:paraId="5DDD0876">
            <w:pPr>
              <w:snapToGrid w:val="0"/>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6.规范贮存管理要求。根据《危险废物贮存污染控制标准》（GB 18597—2023），企业可根据实际情况选择采用危险废物贮存设施或贮存点两类方式进行贮存，符合相应的污染控制标准；不具备建设贮存设施条件、选用贮存点方式的，除符合国家关于贮存点控制要求外，还要执行《江苏省危险废物集中收集体系建设工作方案（试行）》（苏环办〔2021〕290号）中关于贮存周期和贮存量的要求，I级、II级、III级危险废物贮存时间分别不得超过30天、60天、90天，最大贮存量不得超过1吨。</w:t>
            </w:r>
          </w:p>
          <w:p w14:paraId="06D54DB7">
            <w:pPr>
              <w:snapToGrid w:val="0"/>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8.强化转移过程管理。全面落实危险废物转移电子联单制度，实行省内全域扫描“二维码”转移。加强与危险货物道路运输电子运单数据共享，实现运输轨迹可溯可查。危险废物产生单位须依法核实经营单位主体资格和技术能力，直接签订委托合同，并向经营单位提供相关危险废物产生工艺、具体成分，以及是否易燃易爆等信息，违法委托的，应当与造成环境污染和生态破坏的受托方承担连带责任；经营单位须按合同及包装物扫码签收危险废物，签收人、车辆信息等须拍照上传至系统，严禁“空转”二维码。积极推行一般工业固体废物转移电子联单制度，优先选择环境风险较大的污泥、矿渣等固体废物试行。</w:t>
            </w:r>
          </w:p>
          <w:p w14:paraId="0EB58C40">
            <w:pPr>
              <w:snapToGrid w:val="0"/>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9.落实信息公开制度。危险废物环境重点监管单位要在出入口、设施内部、危险废物运输车辆通道等关键位置设置视频监控并与中控室联网，通过设立公开栏、标志牌等方式，主动公开危险废物产生和利用处置等有关信息。”</w:t>
            </w:r>
          </w:p>
          <w:p w14:paraId="0B744A52">
            <w:pPr>
              <w:snapToGrid w:val="0"/>
              <w:spacing w:line="360" w:lineRule="auto"/>
              <w:ind w:firstLine="482" w:firstLineChars="200"/>
              <w:rPr>
                <w:rFonts w:eastAsiaTheme="minorEastAsia"/>
                <w:b/>
                <w:bCs/>
                <w:color w:val="auto"/>
                <w:sz w:val="24"/>
                <w:szCs w:val="24"/>
              </w:rPr>
            </w:pPr>
            <w:r>
              <w:rPr>
                <w:rFonts w:hint="eastAsia" w:eastAsiaTheme="minorEastAsia"/>
                <w:b/>
                <w:bCs/>
                <w:color w:val="auto"/>
                <w:sz w:val="24"/>
                <w:szCs w:val="24"/>
              </w:rPr>
              <w:t>5、地下水、土壤</w:t>
            </w:r>
          </w:p>
          <w:p w14:paraId="23B6ACA6">
            <w:pPr>
              <w:snapToGrid w:val="0"/>
              <w:spacing w:line="360" w:lineRule="auto"/>
              <w:ind w:firstLine="482" w:firstLineChars="200"/>
              <w:rPr>
                <w:color w:val="auto"/>
                <w:sz w:val="24"/>
                <w:szCs w:val="24"/>
              </w:rPr>
            </w:pPr>
            <w:r>
              <w:rPr>
                <w:rFonts w:hint="eastAsia"/>
                <w:b/>
                <w:bCs/>
                <w:color w:val="auto"/>
                <w:sz w:val="24"/>
                <w:szCs w:val="24"/>
              </w:rPr>
              <w:t>5.1</w:t>
            </w:r>
            <w:r>
              <w:rPr>
                <w:b/>
                <w:bCs/>
                <w:color w:val="auto"/>
                <w:sz w:val="24"/>
                <w:szCs w:val="24"/>
              </w:rPr>
              <w:t>地下水环境影响评价</w:t>
            </w:r>
          </w:p>
          <w:p w14:paraId="4227F052">
            <w:pPr>
              <w:pStyle w:val="2"/>
              <w:spacing w:after="0" w:line="360" w:lineRule="auto"/>
              <w:ind w:firstLine="480" w:firstLineChars="200"/>
              <w:rPr>
                <w:color w:val="auto"/>
                <w:sz w:val="24"/>
                <w:szCs w:val="24"/>
              </w:rPr>
            </w:pPr>
            <w:r>
              <w:rPr>
                <w:color w:val="auto"/>
                <w:sz w:val="24"/>
                <w:szCs w:val="24"/>
              </w:rPr>
              <w:t>本项目从</w:t>
            </w:r>
            <w:r>
              <w:rPr>
                <w:rFonts w:ascii="Times New Roman" w:hAnsi="Times New Roman" w:eastAsia="宋体" w:cs="Times New Roman"/>
                <w:color w:val="auto"/>
                <w:sz w:val="24"/>
                <w:szCs w:val="24"/>
              </w:rPr>
              <w:t>事</w:t>
            </w:r>
            <w:r>
              <w:rPr>
                <w:rFonts w:hint="eastAsia" w:cs="Times New Roman"/>
                <w:color w:val="auto"/>
                <w:sz w:val="24"/>
                <w:szCs w:val="24"/>
                <w:lang w:val="en-US" w:eastAsia="zh-CN"/>
              </w:rPr>
              <w:t>高端医用设备</w:t>
            </w:r>
            <w:r>
              <w:rPr>
                <w:rFonts w:ascii="Times New Roman" w:hAnsi="Times New Roman" w:eastAsia="宋体" w:cs="Times New Roman"/>
                <w:color w:val="auto"/>
                <w:sz w:val="24"/>
                <w:szCs w:val="24"/>
              </w:rPr>
              <w:t>的生产</w:t>
            </w:r>
            <w:r>
              <w:rPr>
                <w:color w:val="auto"/>
                <w:sz w:val="24"/>
                <w:szCs w:val="24"/>
              </w:rPr>
              <w:t>，对照《环境影响评价技术导则</w:t>
            </w:r>
            <w:r>
              <w:rPr>
                <w:rFonts w:hint="eastAsia"/>
                <w:color w:val="auto"/>
                <w:sz w:val="24"/>
                <w:szCs w:val="24"/>
                <w:lang w:val="en-US" w:eastAsia="zh-CN"/>
              </w:rPr>
              <w:t xml:space="preserve"> </w:t>
            </w:r>
            <w:r>
              <w:rPr>
                <w:color w:val="auto"/>
                <w:sz w:val="24"/>
                <w:szCs w:val="24"/>
              </w:rPr>
              <w:t>地下水环境》（HJ</w:t>
            </w:r>
            <w:r>
              <w:rPr>
                <w:rFonts w:hint="eastAsia"/>
                <w:color w:val="auto"/>
                <w:sz w:val="24"/>
                <w:szCs w:val="24"/>
                <w:lang w:val="en-US" w:eastAsia="zh-CN"/>
              </w:rPr>
              <w:t xml:space="preserve"> </w:t>
            </w:r>
            <w:r>
              <w:rPr>
                <w:color w:val="auto"/>
                <w:sz w:val="24"/>
                <w:szCs w:val="24"/>
              </w:rPr>
              <w:t>610-2016），本项目属于</w:t>
            </w:r>
            <w:r>
              <w:rPr>
                <w:rFonts w:ascii="宋体"/>
                <w:color w:val="auto"/>
                <w:sz w:val="24"/>
                <w:szCs w:val="24"/>
              </w:rPr>
              <w:t>Ⅳ</w:t>
            </w:r>
            <w:r>
              <w:rPr>
                <w:color w:val="auto"/>
                <w:sz w:val="24"/>
                <w:szCs w:val="24"/>
              </w:rPr>
              <w:t>类项目，无需开展地下水环境影响评价。</w:t>
            </w:r>
          </w:p>
          <w:p w14:paraId="7ECA5FAD">
            <w:pPr>
              <w:tabs>
                <w:tab w:val="left" w:pos="1002"/>
              </w:tabs>
              <w:adjustRightInd w:val="0"/>
              <w:snapToGrid w:val="0"/>
              <w:spacing w:line="360" w:lineRule="auto"/>
              <w:ind w:firstLine="480" w:firstLineChars="200"/>
              <w:rPr>
                <w:color w:val="auto"/>
                <w:sz w:val="24"/>
                <w:szCs w:val="24"/>
              </w:rPr>
            </w:pPr>
            <w:r>
              <w:rPr>
                <w:color w:val="auto"/>
                <w:sz w:val="24"/>
                <w:szCs w:val="24"/>
              </w:rPr>
              <w:t>为了保护地下水，采取措施从源头上控制对其污染。从设计、管理中防止和减少污染物料的跑、冒、滴、漏而采取的各种措施，主要措施包括工艺、管道、设备、土建、给排水、总图布置等防止污染物泄漏的措施。</w:t>
            </w:r>
          </w:p>
          <w:p w14:paraId="02E82F75">
            <w:pPr>
              <w:pStyle w:val="32"/>
              <w:adjustRightInd w:val="0"/>
              <w:snapToGrid w:val="0"/>
              <w:spacing w:before="0" w:beforeAutospacing="0" w:after="0" w:afterAutospacing="0" w:line="360" w:lineRule="auto"/>
              <w:ind w:firstLine="530" w:firstLineChars="221"/>
              <w:rPr>
                <w:rFonts w:ascii="Times New Roman" w:hAnsi="Times New Roman" w:cs="Times New Roman"/>
                <w:color w:val="auto"/>
                <w:kern w:val="2"/>
                <w:sz w:val="24"/>
                <w:szCs w:val="24"/>
              </w:rPr>
            </w:pPr>
            <w:r>
              <w:rPr>
                <w:rFonts w:ascii="Times New Roman" w:hAnsi="Times New Roman" w:cs="Times New Roman"/>
                <w:color w:val="auto"/>
                <w:kern w:val="2"/>
                <w:sz w:val="24"/>
                <w:szCs w:val="24"/>
              </w:rPr>
              <w:t>运行期严格管理，加强巡检，及时发现液态物料泄漏；一旦出现泄漏及时处理，检查检修设备，将泄漏的环境风险事故降到最低。</w:t>
            </w:r>
          </w:p>
          <w:p w14:paraId="5B7AE230">
            <w:pPr>
              <w:spacing w:line="360" w:lineRule="auto"/>
              <w:ind w:firstLine="480" w:firstLineChars="200"/>
              <w:rPr>
                <w:rFonts w:ascii="Times New Roman" w:hAnsi="Times New Roman" w:cs="Times New Roman"/>
                <w:color w:val="auto"/>
                <w:kern w:val="2"/>
                <w:sz w:val="24"/>
                <w:szCs w:val="24"/>
              </w:rPr>
            </w:pPr>
            <w:r>
              <w:rPr>
                <w:rFonts w:ascii="Times New Roman" w:hAnsi="Times New Roman" w:cs="Times New Roman"/>
                <w:color w:val="auto"/>
                <w:kern w:val="2"/>
                <w:sz w:val="24"/>
                <w:szCs w:val="24"/>
              </w:rPr>
              <w:t>针对可能对地下水造成影响的各环节，按照</w:t>
            </w:r>
            <w:r>
              <w:rPr>
                <w:rFonts w:hint="eastAsia" w:cs="Times New Roman"/>
                <w:color w:val="auto"/>
                <w:kern w:val="2"/>
                <w:sz w:val="24"/>
                <w:szCs w:val="24"/>
                <w:lang w:eastAsia="zh-CN"/>
              </w:rPr>
              <w:t>“</w:t>
            </w:r>
            <w:r>
              <w:rPr>
                <w:rFonts w:ascii="Times New Roman" w:hAnsi="Times New Roman" w:cs="Times New Roman"/>
                <w:color w:val="auto"/>
                <w:kern w:val="2"/>
                <w:sz w:val="24"/>
                <w:szCs w:val="24"/>
              </w:rPr>
              <w:t>考虑重点，辐射全面</w:t>
            </w:r>
            <w:r>
              <w:rPr>
                <w:rFonts w:hint="eastAsia" w:cs="Times New Roman"/>
                <w:color w:val="auto"/>
                <w:kern w:val="2"/>
                <w:sz w:val="24"/>
                <w:szCs w:val="24"/>
                <w:lang w:eastAsia="zh-CN"/>
              </w:rPr>
              <w:t>”</w:t>
            </w:r>
            <w:r>
              <w:rPr>
                <w:rFonts w:ascii="Times New Roman" w:hAnsi="Times New Roman" w:cs="Times New Roman"/>
                <w:color w:val="auto"/>
                <w:kern w:val="2"/>
                <w:sz w:val="24"/>
                <w:szCs w:val="24"/>
              </w:rPr>
              <w:t>的防腐防渗原则，</w:t>
            </w:r>
            <w:r>
              <w:rPr>
                <w:rFonts w:hint="eastAsia" w:cs="Times New Roman"/>
                <w:color w:val="auto"/>
                <w:kern w:val="2"/>
                <w:sz w:val="24"/>
                <w:szCs w:val="24"/>
                <w:lang w:val="en-US" w:eastAsia="zh-CN"/>
              </w:rPr>
              <w:t>原料仓库、生产车间、</w:t>
            </w:r>
            <w:r>
              <w:rPr>
                <w:rFonts w:hint="eastAsia" w:cs="Times New Roman"/>
                <w:color w:val="auto"/>
                <w:kern w:val="2"/>
                <w:sz w:val="24"/>
                <w:szCs w:val="24"/>
                <w:lang w:eastAsia="zh-CN"/>
              </w:rPr>
              <w:t>危废仓库</w:t>
            </w:r>
            <w:r>
              <w:rPr>
                <w:rFonts w:ascii="Times New Roman" w:hAnsi="Times New Roman" w:cs="Times New Roman"/>
                <w:color w:val="auto"/>
                <w:kern w:val="2"/>
                <w:sz w:val="24"/>
                <w:szCs w:val="24"/>
              </w:rPr>
              <w:t>等设置为</w:t>
            </w:r>
            <w:r>
              <w:rPr>
                <w:rFonts w:hint="eastAsia" w:ascii="Times New Roman" w:hAnsi="Times New Roman" w:cs="Times New Roman"/>
                <w:color w:val="auto"/>
                <w:kern w:val="2"/>
                <w:sz w:val="24"/>
                <w:szCs w:val="24"/>
              </w:rPr>
              <w:t>重点</w:t>
            </w:r>
            <w:r>
              <w:rPr>
                <w:rFonts w:ascii="Times New Roman" w:hAnsi="Times New Roman" w:cs="Times New Roman"/>
                <w:color w:val="auto"/>
                <w:kern w:val="2"/>
                <w:sz w:val="24"/>
                <w:szCs w:val="24"/>
              </w:rPr>
              <w:t>防渗区，防渗系数小于1×10</w:t>
            </w:r>
            <w:r>
              <w:rPr>
                <w:rFonts w:ascii="Times New Roman" w:hAnsi="Times New Roman" w:cs="Times New Roman"/>
                <w:color w:val="auto"/>
                <w:kern w:val="2"/>
                <w:sz w:val="24"/>
                <w:szCs w:val="24"/>
                <w:vertAlign w:val="superscript"/>
              </w:rPr>
              <w:t>-</w:t>
            </w:r>
            <w:r>
              <w:rPr>
                <w:rFonts w:hint="eastAsia" w:ascii="Times New Roman" w:hAnsi="Times New Roman" w:cs="Times New Roman"/>
                <w:color w:val="auto"/>
                <w:kern w:val="2"/>
                <w:sz w:val="24"/>
                <w:szCs w:val="24"/>
                <w:vertAlign w:val="superscript"/>
              </w:rPr>
              <w:t>10</w:t>
            </w:r>
            <w:r>
              <w:rPr>
                <w:rFonts w:ascii="Times New Roman" w:hAnsi="Times New Roman" w:cs="Times New Roman"/>
                <w:color w:val="auto"/>
                <w:kern w:val="2"/>
                <w:sz w:val="24"/>
                <w:szCs w:val="24"/>
              </w:rPr>
              <w:t>cm/s，其余为简单防渗区。生产装置选择耐腐蚀的设备、管道及阀门，避免废水、废液的跑冒滴漏；固废堆场在做好地面防渗、耐腐蚀处理的同时，需设置隔离设施以及防风、防晒和防雨设施。</w:t>
            </w:r>
          </w:p>
          <w:p w14:paraId="4E91CD77">
            <w:pPr>
              <w:spacing w:line="360" w:lineRule="auto"/>
              <w:ind w:firstLine="480" w:firstLineChars="200"/>
              <w:rPr>
                <w:color w:val="auto"/>
                <w:sz w:val="24"/>
                <w:szCs w:val="24"/>
              </w:rPr>
            </w:pPr>
            <w:r>
              <w:rPr>
                <w:color w:val="auto"/>
                <w:sz w:val="24"/>
                <w:szCs w:val="24"/>
              </w:rPr>
              <w:t>综上所述，采取以上污染防治措施后，建设项目对地下水环境影响可得到有效控制。</w:t>
            </w:r>
          </w:p>
          <w:p w14:paraId="00F504B5">
            <w:pPr>
              <w:snapToGrid w:val="0"/>
              <w:spacing w:line="360" w:lineRule="auto"/>
              <w:ind w:firstLine="482" w:firstLineChars="200"/>
              <w:rPr>
                <w:rFonts w:eastAsiaTheme="minorEastAsia"/>
                <w:b/>
                <w:bCs/>
                <w:color w:val="auto"/>
                <w:sz w:val="24"/>
                <w:szCs w:val="24"/>
              </w:rPr>
            </w:pPr>
            <w:r>
              <w:rPr>
                <w:rFonts w:hint="eastAsia"/>
                <w:b/>
                <w:bCs/>
                <w:color w:val="auto"/>
                <w:sz w:val="24"/>
                <w:szCs w:val="24"/>
              </w:rPr>
              <w:t>5.2</w:t>
            </w:r>
            <w:r>
              <w:rPr>
                <w:rFonts w:eastAsiaTheme="minorEastAsia"/>
                <w:b/>
                <w:bCs/>
                <w:color w:val="auto"/>
                <w:sz w:val="24"/>
                <w:szCs w:val="24"/>
              </w:rPr>
              <w:t>土壤</w:t>
            </w:r>
            <w:r>
              <w:rPr>
                <w:rFonts w:hint="eastAsia" w:eastAsiaTheme="minorEastAsia"/>
                <w:b/>
                <w:bCs/>
                <w:color w:val="auto"/>
                <w:sz w:val="24"/>
                <w:szCs w:val="24"/>
              </w:rPr>
              <w:t>环境</w:t>
            </w:r>
            <w:r>
              <w:rPr>
                <w:rFonts w:eastAsiaTheme="minorEastAsia"/>
                <w:b/>
                <w:bCs/>
                <w:color w:val="auto"/>
                <w:sz w:val="24"/>
                <w:szCs w:val="24"/>
              </w:rPr>
              <w:t>影响分析</w:t>
            </w:r>
          </w:p>
          <w:p w14:paraId="15E22CFB">
            <w:pPr>
              <w:spacing w:line="360" w:lineRule="auto"/>
              <w:ind w:firstLine="480" w:firstLineChars="200"/>
              <w:rPr>
                <w:rFonts w:hint="eastAsia" w:ascii="Times New Roman" w:hAnsi="Times New Roman" w:eastAsia="宋体" w:cs="Times New Roman"/>
                <w:color w:val="auto"/>
                <w:sz w:val="24"/>
              </w:rPr>
            </w:pPr>
            <w:r>
              <w:rPr>
                <w:rFonts w:hint="eastAsia"/>
                <w:color w:val="auto"/>
                <w:sz w:val="24"/>
              </w:rPr>
              <w:t>根据土壤污染物的来源不同，可将土壤污染物分为废水污染型、废气污染型、固体</w:t>
            </w:r>
            <w:r>
              <w:rPr>
                <w:rFonts w:hint="eastAsia" w:ascii="Times New Roman" w:hAnsi="Times New Roman" w:eastAsia="宋体" w:cs="Times New Roman"/>
                <w:color w:val="auto"/>
                <w:sz w:val="24"/>
              </w:rPr>
              <w:t>废物污染型、农业污染型和生物污染型。</w:t>
            </w:r>
          </w:p>
          <w:p w14:paraId="40A501BE">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（1）本项目</w:t>
            </w:r>
            <w:r>
              <w:rPr>
                <w:rFonts w:hint="eastAsia" w:cs="Times New Roman"/>
                <w:color w:val="auto"/>
                <w:sz w:val="24"/>
                <w:lang w:eastAsia="zh-CN"/>
              </w:rPr>
              <w:t>无生产废水产生及排放</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生活污水依托</w:t>
            </w:r>
            <w:r>
              <w:rPr>
                <w:rFonts w:hint="eastAsia" w:cs="Times New Roman"/>
                <w:color w:val="auto"/>
                <w:sz w:val="24"/>
                <w:lang w:val="en-US" w:eastAsia="zh-CN"/>
              </w:rPr>
              <w:t>园区</w:t>
            </w:r>
            <w:r>
              <w:rPr>
                <w:rFonts w:hint="eastAsia" w:ascii="Times New Roman" w:hAnsi="Times New Roman" w:eastAsia="宋体" w:cs="Times New Roman"/>
                <w:color w:val="auto"/>
                <w:sz w:val="24"/>
              </w:rPr>
              <w:t>现有化粪池预处理达接管要求后，接管至</w:t>
            </w:r>
            <w:r>
              <w:rPr>
                <w:rFonts w:hint="eastAsia" w:cs="Times New Roman"/>
                <w:color w:val="auto"/>
                <w:sz w:val="24"/>
                <w:lang w:eastAsia="zh-CN"/>
              </w:rPr>
              <w:t>常州市江边污水处理厂</w:t>
            </w:r>
            <w:r>
              <w:rPr>
                <w:rFonts w:hint="eastAsia" w:ascii="Times New Roman" w:hAnsi="Times New Roman" w:eastAsia="宋体" w:cs="Times New Roman"/>
                <w:color w:val="auto"/>
                <w:sz w:val="24"/>
              </w:rPr>
              <w:t>集中处理，尾水最终排入</w:t>
            </w:r>
            <w:r>
              <w:rPr>
                <w:rFonts w:hint="eastAsia" w:cs="Times New Roman"/>
                <w:color w:val="auto"/>
                <w:sz w:val="24"/>
                <w:lang w:val="en-US" w:eastAsia="zh-CN"/>
              </w:rPr>
              <w:t>长江</w:t>
            </w:r>
            <w:r>
              <w:rPr>
                <w:rFonts w:hint="eastAsia" w:ascii="Times New Roman" w:hAnsi="Times New Roman" w:eastAsia="宋体" w:cs="Times New Roman"/>
                <w:color w:val="auto"/>
                <w:sz w:val="24"/>
              </w:rPr>
              <w:t>，因此不涉及地面漫流影响。</w:t>
            </w:r>
          </w:p>
          <w:p w14:paraId="6B8FD846">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2）大气沉降主要考虑重点重金属、持久性有机污染物（特别是二噁英，典型行业有铅蓄电池和危废焚烧等）、难降解有机污染物（苯系物等）以及最高法司法解释中规定的（主要有危废、剧毒化合物、重金属、农药等持久性有机污染物）。本项目营运期产生的废气主要是</w:t>
            </w:r>
            <w:r>
              <w:rPr>
                <w:rFonts w:hint="eastAsia" w:cs="Times New Roman"/>
                <w:color w:val="auto"/>
                <w:sz w:val="24"/>
                <w:lang w:val="en-US" w:eastAsia="zh-CN"/>
              </w:rPr>
              <w:t>颗粒物、非甲烷总烃</w:t>
            </w:r>
            <w:r>
              <w:rPr>
                <w:rFonts w:hint="eastAsia" w:ascii="Times New Roman" w:hAnsi="Times New Roman" w:eastAsia="宋体" w:cs="Times New Roman"/>
                <w:color w:val="auto"/>
                <w:sz w:val="24"/>
                <w:lang w:val="en-US" w:eastAsia="zh-CN"/>
              </w:rPr>
              <w:t>等</w:t>
            </w:r>
            <w:r>
              <w:rPr>
                <w:rFonts w:hint="eastAsia" w:ascii="Times New Roman" w:hAnsi="Times New Roman" w:eastAsia="宋体" w:cs="Times New Roman"/>
                <w:color w:val="auto"/>
                <w:sz w:val="24"/>
              </w:rPr>
              <w:t>，故可能以大气沉降的形式对周围土壤环境造成影响，项目产生的</w:t>
            </w:r>
            <w:r>
              <w:rPr>
                <w:rFonts w:hint="eastAsia" w:cs="Times New Roman"/>
                <w:color w:val="auto"/>
                <w:sz w:val="24"/>
                <w:lang w:val="en-US" w:eastAsia="zh-CN"/>
              </w:rPr>
              <w:t>废气量</w:t>
            </w:r>
            <w:r>
              <w:rPr>
                <w:rFonts w:hint="eastAsia" w:ascii="Times New Roman" w:hAnsi="Times New Roman" w:eastAsia="宋体" w:cs="Times New Roman"/>
                <w:color w:val="auto"/>
                <w:sz w:val="24"/>
              </w:rPr>
              <w:t>较小，故对土壤环境影响极为有限，因此不考虑大气沉降影响。</w:t>
            </w:r>
          </w:p>
          <w:p w14:paraId="5EB6E7CB">
            <w:pPr>
              <w:spacing w:line="360" w:lineRule="auto"/>
              <w:ind w:firstLine="480" w:firstLineChars="200"/>
              <w:rPr>
                <w:color w:val="auto"/>
                <w:sz w:val="24"/>
              </w:rPr>
            </w:pPr>
            <w:r>
              <w:rPr>
                <w:rFonts w:hint="eastAsia" w:ascii="Times New Roman" w:hAnsi="Times New Roman" w:eastAsia="宋体" w:cs="Times New Roman"/>
                <w:color w:val="auto"/>
                <w:sz w:val="24"/>
              </w:rPr>
              <w:t>（3）本项目危险废物主要为</w:t>
            </w:r>
            <w:r>
              <w:rPr>
                <w:rFonts w:hint="eastAsia" w:ascii="Times New Roman" w:hAnsi="Times New Roman" w:eastAsia="宋体" w:cs="Times New Roman"/>
                <w:color w:val="auto"/>
                <w:sz w:val="24"/>
                <w:lang w:val="en-US" w:eastAsia="zh-CN"/>
              </w:rPr>
              <w:t>废抹布、手套（含酒精）、废活性炭、废包装容器</w:t>
            </w:r>
            <w:r>
              <w:rPr>
                <w:rFonts w:hint="eastAsia" w:ascii="Times New Roman" w:hAnsi="Times New Roman" w:eastAsia="宋体" w:cs="Times New Roman"/>
                <w:color w:val="auto"/>
                <w:sz w:val="24"/>
              </w:rPr>
              <w:t>。若固体废物不考虑设置废物堆放处或者没有适当的防漏措施，其中的有害组分很容易经过风化、雨水淋溶、</w:t>
            </w:r>
            <w:r>
              <w:rPr>
                <w:rFonts w:hint="eastAsia"/>
                <w:color w:val="auto"/>
                <w:sz w:val="24"/>
              </w:rPr>
              <w:t>地表径流的侵蚀，产生有毒液体渗入土壤，杀死土壤中的微生物，破坏微生物与周围环境构成系统的平衡，导致草木不生，对于耕地则造成大面积的减产。同时这些水分经土壤渗入地下水，对地下水水质也造成污染。</w:t>
            </w:r>
            <w:r>
              <w:rPr>
                <w:rFonts w:hint="eastAsia"/>
                <w:color w:val="auto"/>
                <w:sz w:val="24"/>
                <w:lang w:val="en-US" w:eastAsia="zh-CN"/>
              </w:rPr>
              <w:t>本项目</w:t>
            </w:r>
            <w:r>
              <w:rPr>
                <w:rFonts w:hint="eastAsia"/>
                <w:color w:val="auto"/>
                <w:sz w:val="24"/>
                <w:lang w:eastAsia="zh-CN"/>
              </w:rPr>
              <w:t>拟</w:t>
            </w:r>
            <w:r>
              <w:rPr>
                <w:color w:val="auto"/>
                <w:sz w:val="24"/>
              </w:rPr>
              <w:t>在</w:t>
            </w:r>
            <w:r>
              <w:rPr>
                <w:rFonts w:hint="eastAsia"/>
                <w:color w:val="auto"/>
                <w:sz w:val="24"/>
                <w:lang w:val="en-US" w:eastAsia="zh-CN"/>
              </w:rPr>
              <w:t>生产车间内</w:t>
            </w:r>
            <w:r>
              <w:rPr>
                <w:color w:val="auto"/>
                <w:sz w:val="24"/>
              </w:rPr>
              <w:t>设1个</w:t>
            </w:r>
            <w:r>
              <w:rPr>
                <w:rFonts w:hint="eastAsia"/>
                <w:color w:val="auto"/>
                <w:sz w:val="24"/>
                <w:lang w:val="en-US" w:eastAsia="zh-CN"/>
              </w:rPr>
              <w:t>12m</w:t>
            </w:r>
            <w:r>
              <w:rPr>
                <w:rFonts w:hint="eastAsia"/>
                <w:color w:val="auto"/>
                <w:sz w:val="24"/>
                <w:vertAlign w:val="superscript"/>
                <w:lang w:val="en-US" w:eastAsia="zh-CN"/>
              </w:rPr>
              <w:t>2</w:t>
            </w:r>
            <w:r>
              <w:rPr>
                <w:rFonts w:hint="eastAsia"/>
                <w:color w:val="auto"/>
                <w:sz w:val="24"/>
                <w:vertAlign w:val="baseline"/>
                <w:lang w:val="en-US" w:eastAsia="zh-CN"/>
              </w:rPr>
              <w:t>的</w:t>
            </w:r>
            <w:r>
              <w:rPr>
                <w:rFonts w:hint="eastAsia"/>
                <w:color w:val="auto"/>
                <w:sz w:val="24"/>
                <w:lang w:eastAsia="zh-CN"/>
              </w:rPr>
              <w:t>危废仓库</w:t>
            </w:r>
            <w:r>
              <w:rPr>
                <w:rFonts w:hint="eastAsia"/>
                <w:color w:val="auto"/>
                <w:sz w:val="24"/>
              </w:rPr>
              <w:t>，用于暂存本项目产生的危险废物，</w:t>
            </w:r>
            <w:r>
              <w:rPr>
                <w:rFonts w:hint="eastAsia"/>
                <w:color w:val="auto"/>
                <w:sz w:val="24"/>
                <w:lang w:eastAsia="zh-CN"/>
              </w:rPr>
              <w:t>危废仓库</w:t>
            </w:r>
            <w:r>
              <w:rPr>
                <w:rFonts w:hint="eastAsia"/>
                <w:color w:val="auto"/>
                <w:sz w:val="24"/>
              </w:rPr>
              <w:t>建设符合《危险废物贮存污染控制标准》（GB18597-20</w:t>
            </w:r>
            <w:r>
              <w:rPr>
                <w:rFonts w:hint="eastAsia"/>
                <w:color w:val="auto"/>
                <w:sz w:val="24"/>
                <w:lang w:val="en-US" w:eastAsia="zh-CN"/>
              </w:rPr>
              <w:t>23</w:t>
            </w:r>
            <w:r>
              <w:rPr>
                <w:rFonts w:hint="eastAsia"/>
                <w:color w:val="auto"/>
                <w:sz w:val="24"/>
              </w:rPr>
              <w:t>）中要求：</w:t>
            </w:r>
            <w:r>
              <w:rPr>
                <w:rFonts w:hint="eastAsia"/>
                <w:color w:val="auto"/>
                <w:sz w:val="24"/>
                <w:lang w:eastAsia="zh-CN"/>
              </w:rPr>
              <w:t>防扬散</w:t>
            </w:r>
            <w:r>
              <w:rPr>
                <w:rFonts w:hint="eastAsia"/>
                <w:color w:val="auto"/>
                <w:sz w:val="24"/>
              </w:rPr>
              <w:t>、防淋溶、防流散、防渗漏、防腐蚀。因此，项目运行期可有效避免由于固废的</w:t>
            </w:r>
            <w:r>
              <w:rPr>
                <w:rFonts w:hint="eastAsia"/>
                <w:color w:val="auto"/>
                <w:sz w:val="24"/>
                <w:lang w:eastAsia="zh-CN"/>
              </w:rPr>
              <w:t>泄漏</w:t>
            </w:r>
            <w:r>
              <w:rPr>
                <w:rFonts w:hint="eastAsia"/>
                <w:color w:val="auto"/>
                <w:sz w:val="24"/>
              </w:rPr>
              <w:t>而造成土壤环境的污染。</w:t>
            </w:r>
          </w:p>
          <w:p w14:paraId="2817BC73">
            <w:pPr>
              <w:spacing w:line="360" w:lineRule="auto"/>
              <w:ind w:firstLine="480" w:firstLineChars="200"/>
              <w:rPr>
                <w:color w:val="auto"/>
                <w:sz w:val="24"/>
              </w:rPr>
            </w:pPr>
            <w:r>
              <w:rPr>
                <w:rFonts w:hint="eastAsia"/>
                <w:color w:val="auto"/>
                <w:sz w:val="24"/>
              </w:rPr>
              <w:t>综上所述，项目对土壤环境影响较小。在本项目</w:t>
            </w:r>
            <w:r>
              <w:rPr>
                <w:rFonts w:hint="eastAsia"/>
                <w:color w:val="auto"/>
                <w:sz w:val="24"/>
                <w:lang w:eastAsia="zh-CN"/>
              </w:rPr>
              <w:t>危废仓库</w:t>
            </w:r>
            <w:r>
              <w:rPr>
                <w:rFonts w:hint="eastAsia"/>
                <w:color w:val="auto"/>
                <w:sz w:val="24"/>
              </w:rPr>
              <w:t>等区域采取防渗处理的情况下，不会对地块土壤产生直接污染，土壤环境影响可接受。企业应在项目建设和运营过程中，进一步完善生产车间及</w:t>
            </w:r>
            <w:r>
              <w:rPr>
                <w:rFonts w:hint="eastAsia"/>
                <w:color w:val="auto"/>
                <w:sz w:val="24"/>
                <w:lang w:eastAsia="zh-CN"/>
              </w:rPr>
              <w:t>危废仓库</w:t>
            </w:r>
            <w:r>
              <w:rPr>
                <w:rFonts w:hint="eastAsia"/>
                <w:color w:val="auto"/>
                <w:sz w:val="24"/>
              </w:rPr>
              <w:t>的地面的防腐防渗工作，设置</w:t>
            </w:r>
            <w:r>
              <w:rPr>
                <w:rFonts w:hint="eastAsia"/>
                <w:color w:val="auto"/>
                <w:sz w:val="24"/>
                <w:lang w:val="en-US" w:eastAsia="zh-CN"/>
              </w:rPr>
              <w:t>原料仓</w:t>
            </w:r>
            <w:r>
              <w:rPr>
                <w:rFonts w:hint="eastAsia" w:cs="Times New Roman"/>
                <w:color w:val="auto"/>
                <w:kern w:val="2"/>
                <w:sz w:val="24"/>
                <w:szCs w:val="24"/>
                <w:lang w:val="en-US" w:eastAsia="zh-CN"/>
              </w:rPr>
              <w:t>库、生产车间、</w:t>
            </w:r>
            <w:r>
              <w:rPr>
                <w:rFonts w:hint="eastAsia"/>
                <w:color w:val="auto"/>
                <w:sz w:val="24"/>
                <w:lang w:eastAsia="zh-CN"/>
              </w:rPr>
              <w:t>危废仓库</w:t>
            </w:r>
            <w:r>
              <w:rPr>
                <w:rFonts w:hint="eastAsia"/>
                <w:color w:val="auto"/>
                <w:sz w:val="24"/>
              </w:rPr>
              <w:t>为重点防渗区，其他区域为一般防渗区；</w:t>
            </w:r>
            <w:r>
              <w:rPr>
                <w:rFonts w:hint="eastAsia"/>
                <w:color w:val="auto"/>
                <w:sz w:val="24"/>
                <w:szCs w:val="24"/>
                <w:lang w:val="en-US" w:eastAsia="zh-CN"/>
              </w:rPr>
              <w:t>本项目</w:t>
            </w:r>
            <w:r>
              <w:rPr>
                <w:rFonts w:hint="eastAsia"/>
                <w:color w:val="auto"/>
                <w:sz w:val="24"/>
                <w:lang w:val="en-US" w:eastAsia="zh-CN"/>
              </w:rPr>
              <w:t>在正式投产后将及时</w:t>
            </w:r>
            <w:r>
              <w:rPr>
                <w:rFonts w:hint="eastAsia"/>
                <w:color w:val="auto"/>
                <w:sz w:val="24"/>
              </w:rPr>
              <w:t>建立应急管理机制，防止由于突发事件引发的土壤环境污染。</w:t>
            </w:r>
          </w:p>
          <w:p w14:paraId="75470785">
            <w:pPr>
              <w:snapToGrid w:val="0"/>
              <w:spacing w:line="360" w:lineRule="auto"/>
              <w:ind w:firstLine="482" w:firstLineChars="200"/>
              <w:rPr>
                <w:rFonts w:hint="eastAsia"/>
                <w:b/>
                <w:bCs/>
                <w:color w:val="auto"/>
                <w:sz w:val="24"/>
                <w:szCs w:val="24"/>
              </w:rPr>
            </w:pPr>
            <w:r>
              <w:rPr>
                <w:rFonts w:hint="eastAsia"/>
                <w:b/>
                <w:bCs/>
                <w:color w:val="auto"/>
                <w:sz w:val="24"/>
                <w:szCs w:val="24"/>
                <w:lang w:val="en-US" w:eastAsia="zh-CN"/>
              </w:rPr>
              <w:t>5.3</w:t>
            </w:r>
            <w:r>
              <w:rPr>
                <w:rFonts w:hint="eastAsia"/>
                <w:b/>
                <w:bCs/>
                <w:color w:val="auto"/>
                <w:sz w:val="24"/>
                <w:szCs w:val="24"/>
              </w:rPr>
              <w:t>地下水、土壤污染防治措施</w:t>
            </w:r>
          </w:p>
          <w:p w14:paraId="6A6E20C1">
            <w:pPr>
              <w:spacing w:line="360" w:lineRule="auto"/>
              <w:ind w:firstLine="480" w:firstLineChars="200"/>
              <w:rPr>
                <w:color w:val="auto"/>
                <w:sz w:val="24"/>
              </w:rPr>
            </w:pPr>
            <w:r>
              <w:rPr>
                <w:rFonts w:hint="eastAsia"/>
                <w:color w:val="auto"/>
                <w:sz w:val="24"/>
              </w:rPr>
              <w:t>（1）生产车间内应有防泄漏措施及应急处理设施，防止污染物的跑、冒、滴、漏，将污染物泄漏的可能性降到最低限度。危废</w:t>
            </w:r>
            <w:r>
              <w:rPr>
                <w:rFonts w:hint="eastAsia"/>
                <w:color w:val="auto"/>
                <w:sz w:val="24"/>
                <w:lang w:val="en-US" w:eastAsia="zh-CN"/>
              </w:rPr>
              <w:t>仓库</w:t>
            </w:r>
            <w:r>
              <w:rPr>
                <w:rFonts w:hint="eastAsia"/>
                <w:color w:val="auto"/>
                <w:sz w:val="24"/>
              </w:rPr>
              <w:t>建设符合《危险废物贮存污染控制标准》（GB18597-20</w:t>
            </w:r>
            <w:r>
              <w:rPr>
                <w:rFonts w:hint="eastAsia"/>
                <w:color w:val="auto"/>
                <w:sz w:val="24"/>
                <w:lang w:val="en-US" w:eastAsia="zh-CN"/>
              </w:rPr>
              <w:t>23</w:t>
            </w:r>
            <w:r>
              <w:rPr>
                <w:rFonts w:hint="eastAsia"/>
                <w:color w:val="auto"/>
                <w:sz w:val="24"/>
              </w:rPr>
              <w:t>）中要求：防扬散、防淋溶、防流散、防渗漏、防腐蚀。</w:t>
            </w:r>
            <w:r>
              <w:rPr>
                <w:rFonts w:hint="eastAsia"/>
                <w:color w:val="auto"/>
                <w:sz w:val="24"/>
                <w:lang w:val="en-US" w:eastAsia="zh-CN"/>
              </w:rPr>
              <w:t>园区</w:t>
            </w:r>
            <w:r>
              <w:rPr>
                <w:rFonts w:hint="eastAsia"/>
                <w:color w:val="auto"/>
                <w:sz w:val="24"/>
              </w:rPr>
              <w:t>道路进行地面硬化。</w:t>
            </w:r>
          </w:p>
          <w:p w14:paraId="45FDDFDC">
            <w:pPr>
              <w:spacing w:line="360" w:lineRule="auto"/>
              <w:ind w:firstLine="480" w:firstLineChars="200"/>
              <w:rPr>
                <w:color w:val="auto"/>
                <w:sz w:val="24"/>
              </w:rPr>
            </w:pPr>
            <w:r>
              <w:rPr>
                <w:rFonts w:hint="eastAsia"/>
                <w:color w:val="auto"/>
                <w:sz w:val="24"/>
              </w:rPr>
              <w:t>（2）运行期严格管理，加强巡检，及时发现液态物料泄漏；一旦出现泄漏及时处理，检查检修设备，将泄漏的环境风险事故降到最低。</w:t>
            </w:r>
          </w:p>
          <w:p w14:paraId="163CDACE">
            <w:pPr>
              <w:spacing w:line="360" w:lineRule="auto"/>
              <w:ind w:firstLine="480" w:firstLineChars="200"/>
              <w:rPr>
                <w:color w:val="auto"/>
                <w:sz w:val="24"/>
              </w:rPr>
            </w:pPr>
            <w:r>
              <w:rPr>
                <w:rFonts w:hint="eastAsia"/>
                <w:color w:val="auto"/>
                <w:sz w:val="24"/>
              </w:rPr>
              <w:t>（3）划分污染防治区，设置重点防渗区和一般防渗区，</w:t>
            </w:r>
            <w:r>
              <w:rPr>
                <w:rFonts w:hint="eastAsia" w:cs="Times New Roman"/>
                <w:color w:val="auto"/>
                <w:kern w:val="2"/>
                <w:sz w:val="24"/>
                <w:szCs w:val="24"/>
                <w:lang w:val="en-US" w:eastAsia="zh-CN"/>
              </w:rPr>
              <w:t>原料仓库、生产车间、</w:t>
            </w:r>
            <w:r>
              <w:rPr>
                <w:rFonts w:hint="eastAsia"/>
                <w:color w:val="auto"/>
                <w:sz w:val="24"/>
                <w:lang w:eastAsia="zh-CN"/>
              </w:rPr>
              <w:t>危废仓库</w:t>
            </w:r>
            <w:r>
              <w:rPr>
                <w:rFonts w:hint="eastAsia"/>
                <w:color w:val="auto"/>
                <w:sz w:val="24"/>
              </w:rPr>
              <w:t>为重点防渗区，其他区域为一般防渗区。</w:t>
            </w:r>
          </w:p>
          <w:p w14:paraId="19FA95EA">
            <w:pPr>
              <w:spacing w:line="360" w:lineRule="auto"/>
              <w:ind w:firstLine="480" w:firstLineChars="200"/>
              <w:rPr>
                <w:rFonts w:hint="eastAsia"/>
                <w:color w:val="auto"/>
                <w:sz w:val="24"/>
              </w:rPr>
            </w:pPr>
            <w:r>
              <w:rPr>
                <w:rFonts w:hint="eastAsia"/>
                <w:color w:val="auto"/>
                <w:sz w:val="24"/>
              </w:rPr>
              <w:t>重点防渗区防渗措施为：底层铺设10cm~50cm厚成品水泥混凝土，中层铺设1cm~5cm厚的成品普通防腐水泥，上层铺设0.1mm~0.2mm厚的环氧树脂涂层。通过上述措施可使重点污染区各单元防渗层防渗性能相当于2mm厚渗透系数为</w:t>
            </w:r>
            <w:r>
              <w:rPr>
                <w:color w:val="auto"/>
                <w:sz w:val="24"/>
              </w:rPr>
              <w:t>10</w:t>
            </w:r>
            <w:r>
              <w:rPr>
                <w:color w:val="auto"/>
                <w:sz w:val="24"/>
                <w:vertAlign w:val="superscript"/>
              </w:rPr>
              <w:t>-10</w:t>
            </w:r>
            <w:r>
              <w:rPr>
                <w:rFonts w:hint="eastAsia"/>
                <w:color w:val="auto"/>
                <w:sz w:val="24"/>
              </w:rPr>
              <w:t>cm/s的防渗层，保证防渗层渗透系数≤10</w:t>
            </w:r>
            <w:r>
              <w:rPr>
                <w:rFonts w:hint="eastAsia"/>
                <w:color w:val="auto"/>
                <w:sz w:val="24"/>
                <w:vertAlign w:val="superscript"/>
              </w:rPr>
              <w:t>-10</w:t>
            </w:r>
            <w:r>
              <w:rPr>
                <w:rFonts w:hint="eastAsia"/>
                <w:color w:val="auto"/>
                <w:sz w:val="24"/>
              </w:rPr>
              <w:t>cm/s。满足《环境影响评价技术导则</w:t>
            </w:r>
            <w:r>
              <w:rPr>
                <w:rFonts w:hint="eastAsia"/>
                <w:color w:val="auto"/>
                <w:sz w:val="24"/>
                <w:lang w:val="en-US" w:eastAsia="zh-CN"/>
              </w:rPr>
              <w:t xml:space="preserve"> </w:t>
            </w:r>
            <w:r>
              <w:rPr>
                <w:rFonts w:hint="eastAsia"/>
                <w:color w:val="auto"/>
                <w:sz w:val="24"/>
              </w:rPr>
              <w:t>地下水环境》（HJ</w:t>
            </w:r>
            <w:r>
              <w:rPr>
                <w:rFonts w:hint="eastAsia"/>
                <w:color w:val="auto"/>
                <w:sz w:val="24"/>
                <w:lang w:val="en-US" w:eastAsia="zh-CN"/>
              </w:rPr>
              <w:t xml:space="preserve"> </w:t>
            </w:r>
            <w:r>
              <w:rPr>
                <w:rFonts w:hint="eastAsia"/>
                <w:color w:val="auto"/>
                <w:sz w:val="24"/>
              </w:rPr>
              <w:t>610-2016）中重点防渗区防渗技术要求。防渗剖面见图4-</w:t>
            </w:r>
            <w:r>
              <w:rPr>
                <w:rFonts w:hint="eastAsia"/>
                <w:color w:val="auto"/>
                <w:sz w:val="24"/>
                <w:lang w:val="en-US" w:eastAsia="zh-CN"/>
              </w:rPr>
              <w:t>4</w:t>
            </w:r>
            <w:r>
              <w:rPr>
                <w:rFonts w:hint="eastAsia"/>
                <w:color w:val="auto"/>
                <w:sz w:val="24"/>
              </w:rPr>
              <w:t>。</w:t>
            </w:r>
          </w:p>
          <w:p w14:paraId="7047D0C4">
            <w:pPr>
              <w:spacing w:line="360" w:lineRule="auto"/>
              <w:rPr>
                <w:color w:val="auto"/>
                <w:sz w:val="24"/>
              </w:rPr>
            </w:pPr>
            <w:r>
              <w:rPr>
                <w:color w:val="auto"/>
                <w:sz w:val="24"/>
              </w:rPr>
              <mc:AlternateContent>
                <mc:Choice Requires="wpc">
                  <w:drawing>
                    <wp:inline distT="0" distB="0" distL="114300" distR="114300">
                      <wp:extent cx="5203190" cy="2306955"/>
                      <wp:effectExtent l="0" t="0" r="0" b="0"/>
                      <wp:docPr id="3"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文本框 16"/>
                              <wps:cNvSpPr txBox="1">
                                <a:spLocks noChangeArrowheads="1"/>
                              </wps:cNvSpPr>
                              <wps:spPr bwMode="auto">
                                <a:xfrm>
                                  <a:off x="980440" y="2040890"/>
                                  <a:ext cx="3280410" cy="275590"/>
                                </a:xfrm>
                                <a:prstGeom prst="rect">
                                  <a:avLst/>
                                </a:prstGeom>
                                <a:noFill/>
                                <a:ln>
                                  <a:noFill/>
                                </a:ln>
                                <a:effectLst/>
                              </wps:spPr>
                              <wps:txbx>
                                <w:txbxContent>
                                  <w:p w14:paraId="468F9CC5">
                                    <w:pPr>
                                      <w:jc w:val="center"/>
                                      <w:rPr>
                                        <w:b/>
                                        <w:sz w:val="24"/>
                                      </w:rPr>
                                    </w:pPr>
                                    <w:r>
                                      <w:rPr>
                                        <w:rFonts w:hAnsi="宋体"/>
                                        <w:b/>
                                        <w:sz w:val="24"/>
                                      </w:rPr>
                                      <w:t>图</w:t>
                                    </w:r>
                                    <w:r>
                                      <w:rPr>
                                        <w:rFonts w:hint="eastAsia" w:hAnsi="宋体"/>
                                        <w:b/>
                                        <w:sz w:val="24"/>
                                      </w:rPr>
                                      <w:t>4</w:t>
                                    </w:r>
                                    <w:r>
                                      <w:rPr>
                                        <w:rFonts w:hint="eastAsia" w:hAnsi="宋体"/>
                                        <w:b/>
                                        <w:sz w:val="24"/>
                                        <w:lang w:val="en-US" w:eastAsia="zh-CN"/>
                                      </w:rPr>
                                      <w:t>-4</w:t>
                                    </w:r>
                                    <w:r>
                                      <w:rPr>
                                        <w:rFonts w:hint="eastAsia"/>
                                        <w:b/>
                                        <w:color w:val="000000"/>
                                        <w:sz w:val="24"/>
                                      </w:rPr>
                                      <w:t>重点区域防渗层剖面图</w:t>
                                    </w:r>
                                  </w:p>
                                </w:txbxContent>
                              </wps:txbx>
                              <wps:bodyPr rot="0" vert="horz" wrap="square" lIns="91440" tIns="45720" rIns="91440" bIns="45720" anchor="t" anchorCtr="0" upright="1">
                                <a:noAutofit/>
                              </wps:bodyPr>
                            </wps:wsp>
                            <wps:wsp>
                              <wps:cNvPr id="31" name="文本框 31"/>
                              <wps:cNvSpPr txBox="1">
                                <a:spLocks noChangeArrowheads="1"/>
                              </wps:cNvSpPr>
                              <wps:spPr bwMode="auto">
                                <a:xfrm>
                                  <a:off x="4198620" y="916305"/>
                                  <a:ext cx="773430" cy="502920"/>
                                </a:xfrm>
                                <a:prstGeom prst="rect">
                                  <a:avLst/>
                                </a:prstGeom>
                                <a:solidFill>
                                  <a:srgbClr val="FFFFFF"/>
                                </a:solidFill>
                                <a:ln w="9525">
                                  <a:solidFill>
                                    <a:srgbClr val="000000"/>
                                  </a:solidFill>
                                  <a:miter lim="800000"/>
                                </a:ln>
                                <a:effectLst/>
                              </wps:spPr>
                              <wps:txbx>
                                <w:txbxContent>
                                  <w:p w14:paraId="3ABE3EDA">
                                    <w:pPr>
                                      <w:pStyle w:val="32"/>
                                      <w:spacing w:before="0" w:beforeAutospacing="0" w:after="0" w:afterAutospacing="0"/>
                                      <w:jc w:val="center"/>
                                      <w:rPr>
                                        <w:rFonts w:ascii="Times New Roman"/>
                                        <w:color w:val="000000"/>
                                        <w:kern w:val="2"/>
                                        <w:sz w:val="21"/>
                                        <w:szCs w:val="21"/>
                                      </w:rPr>
                                    </w:pPr>
                                    <w:r>
                                      <w:rPr>
                                        <w:rFonts w:hint="eastAsia" w:ascii="Times New Roman"/>
                                        <w:color w:val="000000"/>
                                        <w:kern w:val="2"/>
                                        <w:sz w:val="21"/>
                                        <w:szCs w:val="21"/>
                                      </w:rPr>
                                      <w:t>普通防腐</w:t>
                                    </w:r>
                                  </w:p>
                                  <w:p w14:paraId="113280DA">
                                    <w:pPr>
                                      <w:pStyle w:val="32"/>
                                      <w:spacing w:before="0" w:beforeAutospacing="0" w:after="0" w:afterAutospacing="0"/>
                                      <w:jc w:val="center"/>
                                    </w:pPr>
                                    <w:r>
                                      <w:rPr>
                                        <w:rFonts w:hint="eastAsia" w:ascii="Times New Roman"/>
                                        <w:color w:val="000000"/>
                                        <w:kern w:val="2"/>
                                        <w:sz w:val="21"/>
                                        <w:szCs w:val="21"/>
                                      </w:rPr>
                                      <w:t>水泥</w:t>
                                    </w:r>
                                  </w:p>
                                </w:txbxContent>
                              </wps:txbx>
                              <wps:bodyPr rot="0" vert="horz" wrap="square" lIns="54000" tIns="45720" rIns="54000" bIns="45720" anchor="t" anchorCtr="0" upright="1">
                                <a:noAutofit/>
                              </wps:bodyPr>
                            </wps:wsp>
                            <pic:pic xmlns:pic="http://schemas.openxmlformats.org/drawingml/2006/picture">
                              <pic:nvPicPr>
                                <pic:cNvPr id="194" name="图片 194" descr="C:\Users\ADMINI~1\AppData\Local\Temp\1629703105(1).png"/>
                                <pic:cNvPicPr/>
                              </pic:nvPicPr>
                              <pic:blipFill>
                                <a:blip r:embed="rId73" cstate="print"/>
                                <a:srcRect/>
                                <a:stretch>
                                  <a:fillRect/>
                                </a:stretch>
                              </pic:blipFill>
                              <pic:spPr>
                                <a:xfrm>
                                  <a:off x="65405" y="865505"/>
                                  <a:ext cx="3858260" cy="521970"/>
                                </a:xfrm>
                                <a:prstGeom prst="rect">
                                  <a:avLst/>
                                </a:prstGeom>
                                <a:noFill/>
                                <a:ln w="9525">
                                  <a:noFill/>
                                  <a:miter lim="800000"/>
                                  <a:headEnd/>
                                  <a:tailEnd/>
                                </a:ln>
                                <a:effectLst/>
                              </pic:spPr>
                            </pic:pic>
                            <wps:wsp>
                              <wps:cNvPr id="322" name="直接连接符 322"/>
                              <wps:cNvCnPr/>
                              <wps:spPr>
                                <a:xfrm flipV="1">
                                  <a:off x="2867025" y="514350"/>
                                  <a:ext cx="209550" cy="351450"/>
                                </a:xfrm>
                                <a:prstGeom prst="line">
                                  <a:avLst/>
                                </a:prstGeom>
                                <a:noFill/>
                                <a:ln w="9525" cap="flat" cmpd="sng" algn="ctr">
                                  <a:solidFill>
                                    <a:srgbClr val="000000">
                                      <a:shade val="95000"/>
                                      <a:satMod val="105000"/>
                                    </a:srgbClr>
                                  </a:solidFill>
                                  <a:prstDash val="solid"/>
                                </a:ln>
                                <a:effectLst/>
                              </wps:spPr>
                              <wps:bodyPr/>
                            </wps:wsp>
                            <wps:wsp>
                              <wps:cNvPr id="323" name="直接连接符 323"/>
                              <wps:cNvCnPr/>
                              <wps:spPr>
                                <a:xfrm>
                                  <a:off x="3076575" y="514350"/>
                                  <a:ext cx="342900" cy="0"/>
                                </a:xfrm>
                                <a:prstGeom prst="line">
                                  <a:avLst/>
                                </a:prstGeom>
                                <a:noFill/>
                                <a:ln w="9525" cap="flat" cmpd="sng" algn="ctr">
                                  <a:solidFill>
                                    <a:srgbClr val="000000">
                                      <a:shade val="95000"/>
                                      <a:satMod val="105000"/>
                                    </a:srgbClr>
                                  </a:solidFill>
                                  <a:prstDash val="solid"/>
                                </a:ln>
                                <a:effectLst/>
                              </wps:spPr>
                              <wps:bodyPr/>
                            </wps:wsp>
                            <wps:wsp>
                              <wps:cNvPr id="197" name="文本框 197"/>
                              <wps:cNvSpPr txBox="1">
                                <a:spLocks noChangeArrowheads="1"/>
                              </wps:cNvSpPr>
                              <wps:spPr bwMode="auto">
                                <a:xfrm>
                                  <a:off x="3419475" y="341925"/>
                                  <a:ext cx="1041400" cy="281940"/>
                                </a:xfrm>
                                <a:prstGeom prst="rect">
                                  <a:avLst/>
                                </a:prstGeom>
                                <a:solidFill>
                                  <a:srgbClr val="FFFFFF"/>
                                </a:solidFill>
                                <a:ln w="9525">
                                  <a:solidFill>
                                    <a:srgbClr val="000000"/>
                                  </a:solidFill>
                                  <a:miter lim="800000"/>
                                </a:ln>
                                <a:effectLst/>
                              </wps:spPr>
                              <wps:txbx>
                                <w:txbxContent>
                                  <w:p w14:paraId="2F05EAD9">
                                    <w:pPr>
                                      <w:pStyle w:val="32"/>
                                      <w:spacing w:before="0" w:beforeAutospacing="0" w:after="0" w:afterAutospacing="0"/>
                                      <w:jc w:val="center"/>
                                    </w:pPr>
                                    <w:r>
                                      <w:rPr>
                                        <w:rFonts w:hint="eastAsia" w:ascii="Times New Roman" w:hAnsi="Times New Roman"/>
                                        <w:color w:val="000000"/>
                                        <w:kern w:val="2"/>
                                        <w:sz w:val="21"/>
                                        <w:szCs w:val="21"/>
                                      </w:rPr>
                                      <w:t>环氧树脂涂料</w:t>
                                    </w:r>
                                  </w:p>
                                </w:txbxContent>
                              </wps:txbx>
                              <wps:bodyPr rot="0" vert="horz" wrap="square" lIns="54000" tIns="45720" rIns="54000" bIns="45720" anchor="t" anchorCtr="0" upright="1">
                                <a:noAutofit/>
                              </wps:bodyPr>
                            </wps:wsp>
                            <wps:wsp>
                              <wps:cNvPr id="324" name="直接连接符 324"/>
                              <wps:cNvCnPr/>
                              <wps:spPr>
                                <a:xfrm>
                                  <a:off x="3904615" y="1002665"/>
                                  <a:ext cx="290195" cy="0"/>
                                </a:xfrm>
                                <a:prstGeom prst="line">
                                  <a:avLst/>
                                </a:prstGeom>
                                <a:noFill/>
                                <a:ln w="9525" cap="flat" cmpd="sng" algn="ctr">
                                  <a:solidFill>
                                    <a:srgbClr val="000000">
                                      <a:shade val="95000"/>
                                      <a:satMod val="105000"/>
                                    </a:srgbClr>
                                  </a:solidFill>
                                  <a:prstDash val="solid"/>
                                </a:ln>
                                <a:effectLst/>
                              </wps:spPr>
                              <wps:bodyPr/>
                            </wps:wsp>
                            <wps:wsp>
                              <wps:cNvPr id="325" name="直接连接符 325"/>
                              <wps:cNvCnPr/>
                              <wps:spPr>
                                <a:xfrm>
                                  <a:off x="2867025" y="1387770"/>
                                  <a:ext cx="209550" cy="441030"/>
                                </a:xfrm>
                                <a:prstGeom prst="line">
                                  <a:avLst/>
                                </a:prstGeom>
                                <a:noFill/>
                                <a:ln w="9525" cap="flat" cmpd="sng" algn="ctr">
                                  <a:solidFill>
                                    <a:srgbClr val="000000">
                                      <a:shade val="95000"/>
                                      <a:satMod val="105000"/>
                                    </a:srgbClr>
                                  </a:solidFill>
                                  <a:prstDash val="solid"/>
                                </a:ln>
                                <a:effectLst/>
                              </wps:spPr>
                              <wps:bodyPr/>
                            </wps:wsp>
                            <wps:wsp>
                              <wps:cNvPr id="326" name="直接连接符 326"/>
                              <wps:cNvCnPr/>
                              <wps:spPr>
                                <a:xfrm>
                                  <a:off x="3076575" y="1828800"/>
                                  <a:ext cx="400050" cy="0"/>
                                </a:xfrm>
                                <a:prstGeom prst="line">
                                  <a:avLst/>
                                </a:prstGeom>
                                <a:noFill/>
                                <a:ln w="9525" cap="flat" cmpd="sng" algn="ctr">
                                  <a:solidFill>
                                    <a:srgbClr val="000000">
                                      <a:shade val="95000"/>
                                      <a:satMod val="105000"/>
                                    </a:srgbClr>
                                  </a:solidFill>
                                  <a:prstDash val="solid"/>
                                </a:ln>
                                <a:effectLst/>
                              </wps:spPr>
                              <wps:bodyPr/>
                            </wps:wsp>
                            <wps:wsp>
                              <wps:cNvPr id="201" name="文本框 201"/>
                              <wps:cNvSpPr txBox="1">
                                <a:spLocks noChangeArrowheads="1"/>
                              </wps:cNvSpPr>
                              <wps:spPr bwMode="auto">
                                <a:xfrm>
                                  <a:off x="3476624" y="1665900"/>
                                  <a:ext cx="1171575" cy="281940"/>
                                </a:xfrm>
                                <a:prstGeom prst="rect">
                                  <a:avLst/>
                                </a:prstGeom>
                                <a:solidFill>
                                  <a:srgbClr val="FFFFFF"/>
                                </a:solidFill>
                                <a:ln w="9525">
                                  <a:solidFill>
                                    <a:srgbClr val="000000"/>
                                  </a:solidFill>
                                  <a:miter lim="800000"/>
                                </a:ln>
                                <a:effectLst/>
                              </wps:spPr>
                              <wps:txbx>
                                <w:txbxContent>
                                  <w:p w14:paraId="08CF810F">
                                    <w:pPr>
                                      <w:pStyle w:val="32"/>
                                      <w:spacing w:before="0" w:beforeAutospacing="0" w:after="0" w:afterAutospacing="0"/>
                                      <w:jc w:val="center"/>
                                    </w:pPr>
                                    <w:r>
                                      <w:rPr>
                                        <w:rFonts w:hint="eastAsia" w:ascii="Times New Roman" w:hAnsi="Times New Roman"/>
                                        <w:color w:val="000000"/>
                                        <w:kern w:val="2"/>
                                        <w:sz w:val="21"/>
                                        <w:szCs w:val="21"/>
                                      </w:rPr>
                                      <w:t>成品水泥混凝土</w:t>
                                    </w:r>
                                  </w:p>
                                </w:txbxContent>
                              </wps:txbx>
                              <wps:bodyPr rot="0" vert="horz" wrap="square" lIns="54000" tIns="45720" rIns="54000" bIns="45720" anchor="t" anchorCtr="0" upright="1">
                                <a:noAutofit/>
                              </wps:bodyPr>
                            </wps:wsp>
                          </wpc:wpc>
                        </a:graphicData>
                      </a:graphic>
                    </wp:inline>
                  </w:drawing>
                </mc:Choice>
                <mc:Fallback>
                  <w:pict>
                    <v:group id="_x0000_s1026" o:spid="_x0000_s1026" o:spt="203" style="height:181.65pt;width:409.7pt;" coordsize="5203190,2306955" editas="canvas" o:gfxdata="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">
                      <o:lock v:ext="edit" aspectratio="f"/>
                      <v:shape id="_x0000_s1026" o:spid="_x0000_s1026" style="position:absolute;left:0;top:0;height:2306955;width:5203190;" filled="f" stroked="f" coordsize="21600,21600" o:gfxdata="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">
                        <v:fill on="f" focussize="0,0"/>
                        <v:stroke on="f"/>
                        <v:imagedata o:title=""/>
                        <o:lock v:ext="edit" aspectratio="t"/>
                      </v:shape>
                      <v:shape id="文本框 16" o:spid="_x0000_s1026" o:spt="202" type="#_x0000_t202" style="position:absolute;left:980440;top:2040890;height:275590;width:3280410;" filled="f" stroked="f" coordsize="21600,21600" o:gfxdata="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mK0OY&#10;1AAAAAUBAAAPAAAAAAAAAAEAIAAAACIAAABkcnMvZG93bnJldi54bWxQSwECFAAUAAAACACHTuJA&#10;eBhiviUCAAAwBAAADgAAAAAAAAABACAAAAAjAQAAZHJzL2Uyb0RvYy54bWxQSwUGAAAAAAYABgBZ&#10;AQAAugUAAAAA&#10;">
                        <v:fill on="f" focussize="0,0"/>
                        <v:stroke on="f"/>
                        <v:imagedata o:title=""/>
                        <o:lock v:ext="edit" aspectratio="f"/>
                        <v:textbox>
                          <w:txbxContent>
                            <w:p w14:paraId="468F9CC5">
                              <w:pPr>
                                <w:jc w:val="center"/>
                                <w:rPr>
                                  <w:b/>
                                  <w:sz w:val="24"/>
                                </w:rPr>
                              </w:pPr>
                              <w:r>
                                <w:rPr>
                                  <w:rFonts w:hAnsi="宋体"/>
                                  <w:b/>
                                  <w:sz w:val="24"/>
                                </w:rPr>
                                <w:t>图</w:t>
                              </w:r>
                              <w:r>
                                <w:rPr>
                                  <w:rFonts w:hint="eastAsia" w:hAnsi="宋体"/>
                                  <w:b/>
                                  <w:sz w:val="24"/>
                                </w:rPr>
                                <w:t>4</w:t>
                              </w:r>
                              <w:r>
                                <w:rPr>
                                  <w:rFonts w:hint="eastAsia" w:hAnsi="宋体"/>
                                  <w:b/>
                                  <w:sz w:val="24"/>
                                  <w:lang w:val="en-US" w:eastAsia="zh-CN"/>
                                </w:rPr>
                                <w:t>-4</w:t>
                              </w:r>
                              <w:r>
                                <w:rPr>
                                  <w:rFonts w:hint="eastAsia"/>
                                  <w:b/>
                                  <w:color w:val="000000"/>
                                  <w:sz w:val="24"/>
                                </w:rPr>
                                <w:t>重点区域防渗层剖面图</w:t>
                              </w:r>
                            </w:p>
                          </w:txbxContent>
                        </v:textbox>
                      </v:shape>
                      <v:shape id="_x0000_s1026" o:spid="_x0000_s1026" o:spt="202" type="#_x0000_t202" style="position:absolute;left:4198620;top:916305;height:502920;width:773430;" fillcolor="#FFFFFF" filled="t" stroked="t" coordsize="21600,21600" o:gfxdata="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fnE5bdUAAAAFAQAADwAA&#10;AAAAAAABACAAAAAiAAAAZHJzL2Rvd25yZXYueG1sUEsBAhQAFAAAAAgAh07iQPJE6CdSAgAAoQQA&#10;AA4AAAAAAAAAAQAgAAAAJAEAAGRycy9lMm9Eb2MueG1sUEsFBgAAAAAGAAYAWQEAAOgFAAAAAA==&#10;">
                        <v:fill on="t" focussize="0,0"/>
                        <v:stroke color="#000000" miterlimit="8" joinstyle="miter"/>
                        <v:imagedata o:title=""/>
                        <o:lock v:ext="edit" aspectratio="f"/>
                        <v:textbox inset="1.5mm,1.27mm,1.5mm,1.27mm">
                          <w:txbxContent>
                            <w:p w14:paraId="3ABE3EDA">
                              <w:pPr>
                                <w:pStyle w:val="32"/>
                                <w:spacing w:before="0" w:beforeAutospacing="0" w:after="0" w:afterAutospacing="0"/>
                                <w:jc w:val="center"/>
                                <w:rPr>
                                  <w:rFonts w:ascii="Times New Roman"/>
                                  <w:color w:val="000000"/>
                                  <w:kern w:val="2"/>
                                  <w:sz w:val="21"/>
                                  <w:szCs w:val="21"/>
                                </w:rPr>
                              </w:pPr>
                              <w:r>
                                <w:rPr>
                                  <w:rFonts w:hint="eastAsia" w:ascii="Times New Roman"/>
                                  <w:color w:val="000000"/>
                                  <w:kern w:val="2"/>
                                  <w:sz w:val="21"/>
                                  <w:szCs w:val="21"/>
                                </w:rPr>
                                <w:t>普通防腐</w:t>
                              </w:r>
                            </w:p>
                            <w:p w14:paraId="113280DA">
                              <w:pPr>
                                <w:pStyle w:val="32"/>
                                <w:spacing w:before="0" w:beforeAutospacing="0" w:after="0" w:afterAutospacing="0"/>
                                <w:jc w:val="center"/>
                              </w:pPr>
                              <w:r>
                                <w:rPr>
                                  <w:rFonts w:hint="eastAsia" w:ascii="Times New Roman"/>
                                  <w:color w:val="000000"/>
                                  <w:kern w:val="2"/>
                                  <w:sz w:val="21"/>
                                  <w:szCs w:val="21"/>
                                </w:rPr>
                                <w:t>水泥</w:t>
                              </w:r>
                            </w:p>
                          </w:txbxContent>
                        </v:textbox>
                      </v:shape>
                      <v:shape id="_x0000_s1026" o:spid="_x0000_s1026" o:spt="75" alt="C:\Users\ADMINI~1\AppData\Local\Temp\1629703105(1).png" type="#_x0000_t75" style="position:absolute;left:65405;top:865505;height:521970;width:3858260;" filled="f" o:preferrelative="t" stroked="f" coordsize="21600,21600" o:gfxdata="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">
                        <v:fill on="f" focussize="0,0"/>
                        <v:stroke on="f" miterlimit="8" joinstyle="miter"/>
                        <v:imagedata r:id="rId73" o:title=""/>
                        <o:lock v:ext="edit" aspectratio="f"/>
                      </v:shape>
                      <v:line id="_x0000_s1026" o:spid="_x0000_s1026" o:spt="20" style="position:absolute;left:2867025;top:514350;flip:y;height:351450;width:209550;" filled="f" stroked="t" coordsize="21600,21600" o:gfxdata="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jGC4vVAAAABQEAAA8AAAAAAAAAAQAgAAAA&#10;IgAAAGRycy9kb3ducmV2LnhtbFBLAQIUABQAAAAIAIdO4kCYguMGDgIAAP4DAAAOAAAAAAAAAAEA&#10;IAAAACQBAABkcnMvZTJvRG9jLnhtbFBLBQYAAAAABgAGAFkBAACkBQAAAAA=&#10;">
                        <v:fill on="f" focussize="0,0"/>
                        <v:stroke color="#000000" joinstyle="round"/>
                        <v:imagedata o:title=""/>
                        <o:lock v:ext="edit" aspectratio="f"/>
                      </v:line>
                      <v:line id="_x0000_s1026" o:spid="_x0000_s1026" o:spt="20" style="position:absolute;left:3076575;top:514350;height:0;width:342900;" filled="f" stroked="t" coordsize="21600,21600" o:gfxdata="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TwBCXVAAAABQEAAA8AAAAAAAAAAQAgAAAAIgAAAGRycy9k&#10;b3ducmV2LnhtbFBLAQIUABQAAAAIAIdO4kBlyGqSBQIAAO8DAAAOAAAAAAAAAAEAIAAAACQBAABk&#10;cnMvZTJvRG9jLnhtbFBLBQYAAAAABgAGAFkBAACbBQAAAAA=&#10;">
                        <v:fill on="f" focussize="0,0"/>
                        <v:stroke color="#000000" joinstyle="round"/>
                        <v:imagedata o:title=""/>
                        <o:lock v:ext="edit" aspectratio="f"/>
                      </v:line>
                      <v:shape id="_x0000_s1026" o:spid="_x0000_s1026" o:spt="202" type="#_x0000_t202" style="position:absolute;left:3419475;top:341925;height:281940;width:1041400;" fillcolor="#FFFFFF" filled="t" stroked="t" coordsize="21600,21600" o:gfxdata="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cTlt1QAAAAUBAAAPAAAAAAAA&#10;AAEAIAAAACIAAABkcnMvZG93bnJldi54bWxQSwECFAAUAAAACACHTuJA6jS2k04CAACkBAAADgAA&#10;AAAAAAABACAAAAAkAQAAZHJzL2Uyb0RvYy54bWxQSwUGAAAAAAYABgBZAQAA5AUAAAAA&#10;">
                        <v:fill on="t" focussize="0,0"/>
                        <v:stroke color="#000000" miterlimit="8" joinstyle="miter"/>
                        <v:imagedata o:title=""/>
                        <o:lock v:ext="edit" aspectratio="f"/>
                        <v:textbox inset="1.5mm,1.27mm,1.5mm,1.27mm">
                          <w:txbxContent>
                            <w:p w14:paraId="2F05EAD9">
                              <w:pPr>
                                <w:pStyle w:val="32"/>
                                <w:spacing w:before="0" w:beforeAutospacing="0" w:after="0" w:afterAutospacing="0"/>
                                <w:jc w:val="center"/>
                              </w:pPr>
                              <w:r>
                                <w:rPr>
                                  <w:rFonts w:hint="eastAsia" w:ascii="Times New Roman" w:hAnsi="Times New Roman"/>
                                  <w:color w:val="000000"/>
                                  <w:kern w:val="2"/>
                                  <w:sz w:val="21"/>
                                  <w:szCs w:val="21"/>
                                </w:rPr>
                                <w:t>环氧树脂涂料</w:t>
                              </w:r>
                            </w:p>
                          </w:txbxContent>
                        </v:textbox>
                      </v:shape>
                      <v:line id="_x0000_s1026" o:spid="_x0000_s1026" o:spt="20" style="position:absolute;left:3904615;top:1002665;height:0;width:290195;" filled="f" stroked="t" coordsize="21600,21600" o:gfxdata="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TwBCXVAAAABQEAAA8AAAAAAAAAAQAgAAAAIgAAAGRycy9k&#10;b3ducmV2LnhtbFBLAQIUABQAAAAIAIdO4kBHdbwaBQIAAPADAAAOAAAAAAAAAAEAIAAAACQBAABk&#10;cnMvZTJvRG9jLnhtbFBLBQYAAAAABgAGAFkBAACbBQAAAAA=&#10;">
                        <v:fill on="f" focussize="0,0"/>
                        <v:stroke color="#000000" joinstyle="round"/>
                        <v:imagedata o:title=""/>
                        <o:lock v:ext="edit" aspectratio="f"/>
                      </v:line>
                      <v:line id="_x0000_s1026" o:spid="_x0000_s1026" o:spt="20" style="position:absolute;left:2867025;top:1387770;height:441030;width:209550;" filled="f" stroked="t" coordsize="21600,21600" o:gfxdata="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wBCXVAAAABQEAAA8AAAAAAAAAAQAgAAAAIgAAAGRy&#10;cy9kb3ducmV2LnhtbFBLAQIUABQAAAAIAIdO4kD8GdUHCAIAAPUDAAAOAAAAAAAAAAEAIAAAACQB&#10;AABkcnMvZTJvRG9jLnhtbFBLBQYAAAAABgAGAFkBAACeBQAAAAA=&#10;">
                        <v:fill on="f" focussize="0,0"/>
                        <v:stroke color="#000000" joinstyle="round"/>
                        <v:imagedata o:title=""/>
                        <o:lock v:ext="edit" aspectratio="f"/>
                      </v:line>
                      <v:line id="_x0000_s1026" o:spid="_x0000_s1026" o:spt="20" style="position:absolute;left:3076575;top:1828800;height:0;width:400050;" filled="f" stroked="t" coordsize="21600,21600" o:gfxdata="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08AQl1QAAAAUBAAAPAAAAAAAAAAEAIAAAACIAAABkcnMv&#10;ZG93bnJldi54bWxQSwECFAAUAAAACACHTuJAFai45gYCAADwAwAADgAAAAAAAAABACAAAAAkAQAA&#10;ZHJzL2Uyb0RvYy54bWxQSwUGAAAAAAYABgBZAQAAnAUAAAAA&#10;">
                        <v:fill on="f" focussize="0,0"/>
                        <v:stroke color="#000000" joinstyle="round"/>
                        <v:imagedata o:title=""/>
                        <o:lock v:ext="edit" aspectratio="f"/>
                      </v:line>
                      <v:shape id="_x0000_s1026" o:spid="_x0000_s1026" o:spt="202" type="#_x0000_t202" style="position:absolute;left:3476624;top:1665900;height:281940;width:1171575;" fillcolor="#FFFFFF" filled="t" stroked="t" coordsize="21600,21600" o:gfxdata="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5xOW3VAAAABQEA&#10;AA8AAAAAAAAAAQAgAAAAIgAAAGRycy9kb3ducmV2LnhtbFBLAQIUABQAAAAIAIdO4kDXOsCdVgIA&#10;AKUEAAAOAAAAAAAAAAEAIAAAACQBAABkcnMvZTJvRG9jLnhtbFBLBQYAAAAABgAGAFkBAADsBQAA&#10;AAA=&#10;">
                        <v:fill on="t" focussize="0,0"/>
                        <v:stroke color="#000000" miterlimit="8" joinstyle="miter"/>
                        <v:imagedata o:title=""/>
                        <o:lock v:ext="edit" aspectratio="f"/>
                        <v:textbox inset="1.5mm,1.27mm,1.5mm,1.27mm">
                          <w:txbxContent>
                            <w:p w14:paraId="08CF810F">
                              <w:pPr>
                                <w:pStyle w:val="32"/>
                                <w:spacing w:before="0" w:beforeAutospacing="0" w:after="0" w:afterAutospacing="0"/>
                                <w:jc w:val="center"/>
                              </w:pPr>
                              <w:r>
                                <w:rPr>
                                  <w:rFonts w:hint="eastAsia" w:ascii="Times New Roman" w:hAnsi="Times New Roman"/>
                                  <w:color w:val="000000"/>
                                  <w:kern w:val="2"/>
                                  <w:sz w:val="21"/>
                                  <w:szCs w:val="21"/>
                                </w:rPr>
                                <w:t>成品水泥混凝土</w:t>
                              </w:r>
                            </w:p>
                          </w:txbxContent>
                        </v:textbox>
                      </v:shape>
                      <w10:wrap type="none"/>
                      <w10:anchorlock/>
                    </v:group>
                  </w:pict>
                </mc:Fallback>
              </mc:AlternateContent>
            </w:r>
          </w:p>
          <w:p w14:paraId="4DB9D6A0">
            <w:pPr>
              <w:spacing w:line="360" w:lineRule="auto"/>
              <w:ind w:firstLine="480" w:firstLineChars="200"/>
              <w:rPr>
                <w:color w:val="auto"/>
                <w:sz w:val="24"/>
              </w:rPr>
            </w:pPr>
            <w:r>
              <w:rPr>
                <w:rFonts w:hint="eastAsia"/>
                <w:color w:val="auto"/>
                <w:sz w:val="24"/>
              </w:rPr>
              <w:t>一般防渗区防渗措施为：底层铺设10cm~15cm厚成品水泥混凝土，中层铺设1cm~5cm厚的成品普通防腐水泥。通过上述措施可使一般污染区各单元防渗层防渗性能相当于1.5m厚粘土层，保证防渗层渗透系数≤10</w:t>
            </w:r>
            <w:r>
              <w:rPr>
                <w:rFonts w:hint="eastAsia"/>
                <w:color w:val="auto"/>
                <w:sz w:val="24"/>
                <w:vertAlign w:val="superscript"/>
              </w:rPr>
              <w:t>-7</w:t>
            </w:r>
            <w:r>
              <w:rPr>
                <w:rFonts w:hint="eastAsia"/>
                <w:color w:val="auto"/>
                <w:sz w:val="24"/>
              </w:rPr>
              <w:t>cm/s，满足《环境影响评价技术导则</w:t>
            </w:r>
            <w:r>
              <w:rPr>
                <w:rFonts w:hint="eastAsia"/>
                <w:color w:val="auto"/>
                <w:sz w:val="24"/>
                <w:lang w:val="en-US" w:eastAsia="zh-CN"/>
              </w:rPr>
              <w:t xml:space="preserve"> </w:t>
            </w:r>
            <w:r>
              <w:rPr>
                <w:rFonts w:hint="eastAsia"/>
                <w:color w:val="auto"/>
                <w:sz w:val="24"/>
              </w:rPr>
              <w:t>地下水环境》（HJ</w:t>
            </w:r>
            <w:r>
              <w:rPr>
                <w:rFonts w:hint="eastAsia"/>
                <w:color w:val="auto"/>
                <w:sz w:val="24"/>
                <w:lang w:val="en-US" w:eastAsia="zh-CN"/>
              </w:rPr>
              <w:t xml:space="preserve"> </w:t>
            </w:r>
            <w:r>
              <w:rPr>
                <w:rFonts w:hint="eastAsia"/>
                <w:color w:val="auto"/>
                <w:sz w:val="24"/>
              </w:rPr>
              <w:t>610-2016）中一般防渗区防渗技术要求。</w:t>
            </w:r>
          </w:p>
          <w:p w14:paraId="20E36679">
            <w:pPr>
              <w:spacing w:line="360" w:lineRule="auto"/>
              <w:ind w:firstLine="480" w:firstLineChars="200"/>
              <w:rPr>
                <w:color w:val="auto"/>
                <w:sz w:val="24"/>
                <w:szCs w:val="22"/>
              </w:rPr>
            </w:pPr>
            <w:r>
              <w:rPr>
                <w:rFonts w:hint="eastAsia"/>
                <w:color w:val="auto"/>
                <w:sz w:val="24"/>
              </w:rPr>
              <w:t>综上所述，项目在认真落实本章所提措施，在确保各项防渗措施得以落实，并加强维护和</w:t>
            </w:r>
            <w:r>
              <w:rPr>
                <w:rFonts w:hint="eastAsia"/>
                <w:color w:val="auto"/>
                <w:sz w:val="24"/>
                <w:lang w:val="en-US" w:eastAsia="zh-CN"/>
              </w:rPr>
              <w:t>园区</w:t>
            </w:r>
            <w:r>
              <w:rPr>
                <w:rFonts w:hint="eastAsia"/>
                <w:color w:val="auto"/>
                <w:sz w:val="24"/>
              </w:rPr>
              <w:t>环境管理的前提下，可有效控制</w:t>
            </w:r>
            <w:r>
              <w:rPr>
                <w:rFonts w:hint="eastAsia"/>
                <w:color w:val="auto"/>
                <w:sz w:val="24"/>
                <w:lang w:val="en-US" w:eastAsia="zh-CN"/>
              </w:rPr>
              <w:t>园区</w:t>
            </w:r>
            <w:r>
              <w:rPr>
                <w:rFonts w:hint="eastAsia"/>
                <w:color w:val="auto"/>
                <w:sz w:val="24"/>
              </w:rPr>
              <w:t>内废水等污染物的下渗现象，避免污染地下水和土壤，因此，项目不会对区域地下水和土壤环境产生较大影响</w:t>
            </w:r>
            <w:r>
              <w:rPr>
                <w:bCs/>
                <w:color w:val="auto"/>
                <w:sz w:val="24"/>
                <w:szCs w:val="24"/>
              </w:rPr>
              <w:t>。</w:t>
            </w:r>
          </w:p>
          <w:p w14:paraId="00A675CA">
            <w:pPr>
              <w:snapToGrid w:val="0"/>
              <w:spacing w:line="360" w:lineRule="auto"/>
              <w:ind w:firstLine="482" w:firstLineChars="200"/>
              <w:rPr>
                <w:rFonts w:eastAsiaTheme="minorEastAsia"/>
                <w:b/>
                <w:bCs/>
                <w:color w:val="auto"/>
                <w:sz w:val="24"/>
                <w:szCs w:val="24"/>
              </w:rPr>
            </w:pPr>
            <w:r>
              <w:rPr>
                <w:rFonts w:hint="eastAsia" w:eastAsiaTheme="minorEastAsia"/>
                <w:b/>
                <w:bCs/>
                <w:color w:val="auto"/>
                <w:sz w:val="24"/>
                <w:szCs w:val="24"/>
              </w:rPr>
              <w:t>6</w:t>
            </w:r>
            <w:r>
              <w:rPr>
                <w:rFonts w:eastAsiaTheme="minorEastAsia"/>
                <w:b/>
                <w:bCs/>
                <w:color w:val="auto"/>
                <w:sz w:val="24"/>
                <w:szCs w:val="24"/>
              </w:rPr>
              <w:t>、</w:t>
            </w:r>
            <w:r>
              <w:rPr>
                <w:rFonts w:hint="eastAsia" w:eastAsiaTheme="minorEastAsia"/>
                <w:b/>
                <w:bCs/>
                <w:color w:val="auto"/>
                <w:sz w:val="24"/>
                <w:szCs w:val="24"/>
              </w:rPr>
              <w:t>生态保护措施</w:t>
            </w:r>
          </w:p>
          <w:p w14:paraId="186D36E2">
            <w:pPr>
              <w:snapToGrid w:val="0"/>
              <w:spacing w:line="360" w:lineRule="auto"/>
              <w:ind w:firstLine="480" w:firstLineChars="200"/>
              <w:rPr>
                <w:rFonts w:eastAsiaTheme="minorEastAsia"/>
                <w:b/>
                <w:bCs/>
                <w:color w:val="auto"/>
                <w:sz w:val="24"/>
                <w:szCs w:val="24"/>
              </w:rPr>
            </w:pPr>
            <w:r>
              <w:rPr>
                <w:rFonts w:hint="eastAsia"/>
                <w:bCs/>
                <w:color w:val="auto"/>
                <w:sz w:val="24"/>
                <w:szCs w:val="24"/>
              </w:rPr>
              <w:t>本项目绿化依托</w:t>
            </w:r>
            <w:r>
              <w:rPr>
                <w:rFonts w:hint="eastAsia"/>
                <w:bCs/>
                <w:color w:val="auto"/>
                <w:sz w:val="24"/>
                <w:szCs w:val="24"/>
                <w:lang w:val="en-US" w:eastAsia="zh-CN"/>
              </w:rPr>
              <w:t>园区</w:t>
            </w:r>
            <w:r>
              <w:rPr>
                <w:rFonts w:hint="eastAsia"/>
                <w:bCs/>
                <w:color w:val="auto"/>
                <w:sz w:val="24"/>
                <w:szCs w:val="24"/>
              </w:rPr>
              <w:t>现有绿化，绿化覆盖率可达</w:t>
            </w:r>
            <w:r>
              <w:rPr>
                <w:rFonts w:hint="eastAsia"/>
                <w:bCs/>
                <w:color w:val="auto"/>
                <w:sz w:val="24"/>
                <w:szCs w:val="24"/>
                <w:lang w:val="en-US" w:eastAsia="zh-CN"/>
              </w:rPr>
              <w:t>10</w:t>
            </w:r>
            <w:r>
              <w:rPr>
                <w:bCs/>
                <w:color w:val="auto"/>
                <w:sz w:val="24"/>
                <w:szCs w:val="24"/>
              </w:rPr>
              <w:t>%</w:t>
            </w:r>
            <w:r>
              <w:rPr>
                <w:rFonts w:hint="eastAsia"/>
                <w:bCs/>
                <w:color w:val="auto"/>
                <w:sz w:val="24"/>
                <w:szCs w:val="24"/>
              </w:rPr>
              <w:t>以上，对周围生态环境影响较小。</w:t>
            </w:r>
          </w:p>
          <w:p w14:paraId="34DF7B03">
            <w:pPr>
              <w:snapToGrid w:val="0"/>
              <w:spacing w:line="360" w:lineRule="auto"/>
              <w:ind w:firstLine="482" w:firstLineChars="200"/>
              <w:rPr>
                <w:rFonts w:eastAsiaTheme="minorEastAsia"/>
                <w:color w:val="auto"/>
                <w:sz w:val="24"/>
                <w:szCs w:val="24"/>
              </w:rPr>
            </w:pPr>
            <w:r>
              <w:rPr>
                <w:rFonts w:hint="eastAsia" w:eastAsiaTheme="minorEastAsia"/>
                <w:b/>
                <w:bCs/>
                <w:color w:val="auto"/>
                <w:sz w:val="24"/>
                <w:szCs w:val="24"/>
              </w:rPr>
              <w:t>7、</w:t>
            </w:r>
            <w:r>
              <w:rPr>
                <w:rFonts w:eastAsiaTheme="minorEastAsia"/>
                <w:b/>
                <w:bCs/>
                <w:color w:val="auto"/>
                <w:sz w:val="24"/>
                <w:szCs w:val="24"/>
              </w:rPr>
              <w:t>环境风险</w:t>
            </w:r>
          </w:p>
          <w:p w14:paraId="2AC05540">
            <w:pPr>
              <w:adjustRightInd w:val="0"/>
              <w:spacing w:line="360" w:lineRule="auto"/>
              <w:ind w:firstLine="482" w:firstLineChars="200"/>
              <w:rPr>
                <w:rFonts w:eastAsiaTheme="minorEastAsia"/>
                <w:b/>
                <w:bCs/>
                <w:color w:val="auto"/>
                <w:sz w:val="24"/>
                <w:szCs w:val="24"/>
              </w:rPr>
            </w:pPr>
            <w:r>
              <w:rPr>
                <w:rFonts w:hint="eastAsia" w:eastAsiaTheme="minorEastAsia"/>
                <w:b/>
                <w:bCs/>
                <w:color w:val="auto"/>
                <w:sz w:val="24"/>
                <w:szCs w:val="24"/>
              </w:rPr>
              <w:t>7.1环境风险分析</w:t>
            </w:r>
          </w:p>
          <w:p w14:paraId="056CEEED">
            <w:pPr>
              <w:snapToGrid w:val="0"/>
              <w:spacing w:line="360" w:lineRule="auto"/>
              <w:ind w:firstLine="480" w:firstLineChars="200"/>
              <w:rPr>
                <w:rFonts w:hint="eastAsia" w:ascii="Times New Roman" w:hAnsi="Times New Roman" w:cs="Times New Roman"/>
                <w:bCs/>
                <w:color w:val="auto"/>
                <w:sz w:val="24"/>
                <w:szCs w:val="24"/>
              </w:rPr>
            </w:pPr>
            <w:r>
              <w:rPr>
                <w:rFonts w:hint="eastAsia" w:ascii="Times New Roman" w:hAnsi="Times New Roman" w:cs="Times New Roman"/>
                <w:bCs/>
                <w:color w:val="auto"/>
                <w:sz w:val="24"/>
                <w:szCs w:val="24"/>
              </w:rPr>
              <w:t>（1）风险源调查</w:t>
            </w:r>
          </w:p>
          <w:p w14:paraId="7B9F2CC3">
            <w:pPr>
              <w:snapToGrid w:val="0"/>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ascii="Times New Roman" w:hAnsi="Times New Roman" w:cs="Times New Roman"/>
                <w:bCs/>
                <w:color w:val="auto"/>
                <w:sz w:val="24"/>
                <w:szCs w:val="24"/>
              </w:rPr>
              <w:t>对照《建设项目环境风险评价技术导则》（HJ169-2018）附录B，</w:t>
            </w:r>
            <w:r>
              <w:rPr>
                <w:rFonts w:hint="eastAsia" w:cs="Times New Roman"/>
                <w:bCs/>
                <w:color w:val="auto"/>
                <w:sz w:val="24"/>
                <w:szCs w:val="24"/>
                <w:lang w:val="en-US" w:eastAsia="zh-CN"/>
              </w:rPr>
              <w:t>全厂</w:t>
            </w:r>
            <w:r>
              <w:rPr>
                <w:rFonts w:hint="eastAsia" w:ascii="Times New Roman" w:hAnsi="Times New Roman" w:cs="Times New Roman"/>
                <w:bCs/>
                <w:color w:val="auto"/>
                <w:sz w:val="24"/>
                <w:szCs w:val="24"/>
              </w:rPr>
              <w:t>环境风险</w:t>
            </w:r>
            <w:r>
              <w:rPr>
                <w:rFonts w:hint="eastAsia" w:ascii="Times New Roman" w:hAnsi="Times New Roman" w:eastAsia="宋体" w:cs="Times New Roman"/>
                <w:bCs/>
                <w:color w:val="auto"/>
                <w:sz w:val="24"/>
                <w:szCs w:val="24"/>
              </w:rPr>
              <w:t>物质</w:t>
            </w:r>
            <w:r>
              <w:rPr>
                <w:rFonts w:hint="eastAsia" w:ascii="Times New Roman" w:hAnsi="Times New Roman" w:eastAsia="宋体" w:cs="Times New Roman"/>
                <w:bCs/>
                <w:color w:val="auto"/>
                <w:sz w:val="24"/>
                <w:szCs w:val="24"/>
                <w:lang w:eastAsia="zh-CN"/>
              </w:rPr>
              <w:t>为</w:t>
            </w:r>
            <w:r>
              <w:rPr>
                <w:rFonts w:hint="eastAsia" w:ascii="Times New Roman" w:hAnsi="Times New Roman" w:eastAsia="宋体" w:cs="Times New Roman"/>
                <w:bCs/>
                <w:color w:val="auto"/>
                <w:sz w:val="24"/>
                <w:szCs w:val="24"/>
                <w:lang w:val="en-US" w:eastAsia="zh-CN"/>
              </w:rPr>
              <w:t>丙烷、</w:t>
            </w:r>
            <w:r>
              <w:rPr>
                <w:rFonts w:hint="eastAsia"/>
                <w:color w:val="auto"/>
                <w:sz w:val="24"/>
                <w:szCs w:val="24"/>
                <w:lang w:val="en-US" w:eastAsia="zh-CN"/>
              </w:rPr>
              <w:t>发泡主剂、发泡固化剂、水性脱模剂、制冷剂、酒精、</w:t>
            </w:r>
            <w:r>
              <w:rPr>
                <w:rFonts w:hint="eastAsia" w:ascii="Times New Roman" w:hAnsi="Times New Roman" w:eastAsia="宋体" w:cs="Times New Roman"/>
                <w:bCs/>
                <w:color w:val="auto"/>
                <w:sz w:val="24"/>
                <w:szCs w:val="24"/>
                <w:lang w:val="en-US" w:eastAsia="zh-CN"/>
              </w:rPr>
              <w:t>废抹布、手套（含酒精）、废活性炭、废包装容器。</w:t>
            </w:r>
          </w:p>
          <w:p w14:paraId="68D31B71">
            <w:pPr>
              <w:snapToGrid w:val="0"/>
              <w:spacing w:line="360" w:lineRule="auto"/>
              <w:ind w:firstLine="480" w:firstLineChars="200"/>
              <w:rPr>
                <w:color w:val="auto"/>
                <w:sz w:val="24"/>
                <w:szCs w:val="24"/>
              </w:rPr>
            </w:pPr>
            <w:r>
              <w:rPr>
                <w:rFonts w:hint="eastAsia" w:eastAsiaTheme="minorEastAsia"/>
                <w:color w:val="auto"/>
                <w:sz w:val="24"/>
                <w:szCs w:val="24"/>
              </w:rPr>
              <w:t>（2）</w:t>
            </w:r>
            <w:r>
              <w:rPr>
                <w:rFonts w:hint="eastAsia"/>
                <w:color w:val="auto"/>
                <w:sz w:val="24"/>
                <w:szCs w:val="24"/>
              </w:rPr>
              <w:t>环境风险潜势初判</w:t>
            </w:r>
          </w:p>
          <w:p w14:paraId="12BF1B24">
            <w:pPr>
              <w:pStyle w:val="18"/>
              <w:rPr>
                <w:rFonts w:eastAsiaTheme="minorEastAsia"/>
                <w:color w:val="auto"/>
                <w:szCs w:val="24"/>
              </w:rPr>
            </w:pPr>
            <w:r>
              <w:rPr>
                <w:color w:val="auto"/>
                <w:kern w:val="0"/>
                <w:szCs w:val="24"/>
              </w:rPr>
              <w:t>根据《建设项目环境风险评价技术导则》（</w:t>
            </w:r>
            <w:r>
              <w:rPr>
                <w:rFonts w:eastAsia="TimesNewRomanPSMT"/>
                <w:color w:val="auto"/>
                <w:kern w:val="0"/>
                <w:szCs w:val="24"/>
              </w:rPr>
              <w:t>HJ169-2018</w:t>
            </w:r>
            <w:r>
              <w:rPr>
                <w:color w:val="auto"/>
                <w:kern w:val="0"/>
                <w:szCs w:val="24"/>
              </w:rPr>
              <w:t>）中规定，</w:t>
            </w:r>
            <w:r>
              <w:rPr>
                <w:rFonts w:eastAsiaTheme="minorEastAsia"/>
                <w:color w:val="auto"/>
                <w:szCs w:val="24"/>
              </w:rPr>
              <w:t>计算所涉及的每种危险物质在厂界内的最大存在总量与其在附录B中对应临界量的比值Q。在不同厂区的同一种物质，按其在厂界内的最大存在总量计算。对于长输管线项目，按照两个截断阀室之间管段危险物质最大存在总</w:t>
            </w:r>
            <w:r>
              <w:rPr>
                <w:rFonts w:hint="eastAsia" w:eastAsiaTheme="minorEastAsia"/>
                <w:color w:val="auto"/>
                <w:szCs w:val="24"/>
                <w:lang w:val="en-US" w:eastAsia="zh-CN"/>
              </w:rPr>
              <w:t>量</w:t>
            </w:r>
            <w:r>
              <w:rPr>
                <w:rFonts w:eastAsiaTheme="minorEastAsia"/>
                <w:color w:val="auto"/>
                <w:szCs w:val="24"/>
              </w:rPr>
              <w:t>计算。</w:t>
            </w:r>
          </w:p>
          <w:p w14:paraId="574A54C9">
            <w:pPr>
              <w:pStyle w:val="18"/>
              <w:ind w:firstLine="600" w:firstLineChars="250"/>
              <w:rPr>
                <w:rFonts w:eastAsiaTheme="minorEastAsia"/>
                <w:color w:val="auto"/>
                <w:szCs w:val="24"/>
              </w:rPr>
            </w:pPr>
            <w:r>
              <w:rPr>
                <w:rFonts w:eastAsiaTheme="minorEastAsia"/>
                <w:color w:val="auto"/>
                <w:szCs w:val="24"/>
              </w:rPr>
              <w:t>当只涉及一种危险物质时，计算该物质的总量与其临界量比值，即为Q；</w:t>
            </w:r>
          </w:p>
          <w:p w14:paraId="14031412">
            <w:pPr>
              <w:pStyle w:val="18"/>
              <w:ind w:firstLine="600" w:firstLineChars="250"/>
              <w:rPr>
                <w:rFonts w:eastAsiaTheme="minorEastAsia"/>
                <w:color w:val="auto"/>
                <w:szCs w:val="24"/>
              </w:rPr>
            </w:pPr>
            <w:r>
              <w:rPr>
                <w:rFonts w:eastAsiaTheme="minorEastAsia"/>
                <w:color w:val="auto"/>
                <w:szCs w:val="24"/>
              </w:rPr>
              <w:t>当存在多种危险物质时，则按式</w:t>
            </w:r>
            <w:r>
              <w:rPr>
                <w:rFonts w:hint="eastAsia" w:eastAsiaTheme="minorEastAsia"/>
                <w:color w:val="auto"/>
                <w:szCs w:val="24"/>
                <w:lang w:eastAsia="zh-CN"/>
              </w:rPr>
              <w:t>（</w:t>
            </w:r>
            <w:r>
              <w:rPr>
                <w:rFonts w:eastAsiaTheme="minorEastAsia"/>
                <w:color w:val="auto"/>
                <w:szCs w:val="24"/>
              </w:rPr>
              <w:t>C.1</w:t>
            </w:r>
            <w:r>
              <w:rPr>
                <w:rFonts w:hint="eastAsia" w:eastAsiaTheme="minorEastAsia"/>
                <w:color w:val="auto"/>
                <w:szCs w:val="24"/>
                <w:lang w:eastAsia="zh-CN"/>
              </w:rPr>
              <w:t>）</w:t>
            </w:r>
            <w:r>
              <w:rPr>
                <w:rFonts w:eastAsiaTheme="minorEastAsia"/>
                <w:color w:val="auto"/>
                <w:szCs w:val="24"/>
              </w:rPr>
              <w:t>计算物质总量与其临界量比值</w:t>
            </w:r>
            <w:r>
              <w:rPr>
                <w:rFonts w:hint="eastAsia" w:eastAsiaTheme="minorEastAsia"/>
                <w:color w:val="auto"/>
                <w:szCs w:val="24"/>
                <w:lang w:eastAsia="zh-CN"/>
              </w:rPr>
              <w:t>（</w:t>
            </w:r>
            <w:r>
              <w:rPr>
                <w:rFonts w:eastAsiaTheme="minorEastAsia"/>
                <w:color w:val="auto"/>
                <w:szCs w:val="24"/>
              </w:rPr>
              <w:t>Q</w:t>
            </w:r>
            <w:r>
              <w:rPr>
                <w:rFonts w:hint="eastAsia" w:eastAsiaTheme="minorEastAsia"/>
                <w:color w:val="auto"/>
                <w:szCs w:val="24"/>
                <w:lang w:eastAsia="zh-CN"/>
              </w:rPr>
              <w:t>）</w:t>
            </w:r>
            <w:r>
              <w:rPr>
                <w:rFonts w:eastAsiaTheme="minorEastAsia"/>
                <w:color w:val="auto"/>
                <w:szCs w:val="24"/>
              </w:rPr>
              <w:t>：</w:t>
            </w:r>
          </w:p>
          <w:p w14:paraId="15D9F11F">
            <w:pPr>
              <w:pStyle w:val="18"/>
              <w:ind w:firstLine="600" w:firstLineChars="250"/>
              <w:rPr>
                <w:rFonts w:eastAsiaTheme="minorEastAsia"/>
                <w:color w:val="auto"/>
                <w:szCs w:val="24"/>
              </w:rPr>
            </w:pPr>
            <w:r>
              <w:rPr>
                <w:rFonts w:eastAsiaTheme="minorEastAsia"/>
                <w:color w:val="auto"/>
                <w:szCs w:val="24"/>
              </w:rPr>
              <w:drawing>
                <wp:inline distT="0" distB="0" distL="0" distR="0">
                  <wp:extent cx="4028440" cy="603885"/>
                  <wp:effectExtent l="0" t="0" r="10160"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4028440" cy="603885"/>
                          </a:xfrm>
                          <a:prstGeom prst="rect">
                            <a:avLst/>
                          </a:prstGeom>
                          <a:noFill/>
                          <a:ln>
                            <a:noFill/>
                          </a:ln>
                        </pic:spPr>
                      </pic:pic>
                    </a:graphicData>
                  </a:graphic>
                </wp:inline>
              </w:drawing>
            </w:r>
          </w:p>
          <w:p w14:paraId="13BC8F7D">
            <w:pPr>
              <w:pStyle w:val="18"/>
              <w:ind w:firstLine="600" w:firstLineChars="250"/>
              <w:rPr>
                <w:rFonts w:eastAsiaTheme="minorEastAsia"/>
                <w:color w:val="auto"/>
                <w:szCs w:val="24"/>
              </w:rPr>
            </w:pPr>
            <w:r>
              <w:rPr>
                <w:rFonts w:eastAsiaTheme="minorEastAsia"/>
                <w:color w:val="auto"/>
                <w:szCs w:val="24"/>
              </w:rPr>
              <w:t>式中，</w:t>
            </w:r>
            <w:r>
              <w:rPr>
                <w:rFonts w:eastAsiaTheme="minorEastAsia"/>
                <w:i/>
                <w:color w:val="auto"/>
                <w:szCs w:val="24"/>
              </w:rPr>
              <w:t>q</w:t>
            </w:r>
            <w:r>
              <w:rPr>
                <w:rFonts w:eastAsiaTheme="minorEastAsia"/>
                <w:i/>
                <w:color w:val="auto"/>
                <w:szCs w:val="24"/>
                <w:vertAlign w:val="subscript"/>
              </w:rPr>
              <w:t>1</w:t>
            </w:r>
            <w:r>
              <w:rPr>
                <w:rFonts w:eastAsiaTheme="minorEastAsia"/>
                <w:i/>
                <w:color w:val="auto"/>
                <w:szCs w:val="24"/>
              </w:rPr>
              <w:t>,q</w:t>
            </w:r>
            <w:r>
              <w:rPr>
                <w:rFonts w:eastAsiaTheme="minorEastAsia"/>
                <w:i/>
                <w:color w:val="auto"/>
                <w:szCs w:val="24"/>
                <w:vertAlign w:val="subscript"/>
              </w:rPr>
              <w:t>2</w:t>
            </w:r>
            <w:r>
              <w:rPr>
                <w:rFonts w:eastAsiaTheme="minorEastAsia"/>
                <w:i/>
                <w:color w:val="auto"/>
                <w:szCs w:val="24"/>
              </w:rPr>
              <w:t>…,q</w:t>
            </w:r>
            <w:r>
              <w:rPr>
                <w:rFonts w:eastAsiaTheme="minorEastAsia"/>
                <w:i/>
                <w:color w:val="auto"/>
                <w:szCs w:val="24"/>
                <w:vertAlign w:val="subscript"/>
              </w:rPr>
              <w:t>n</w:t>
            </w:r>
            <w:r>
              <w:rPr>
                <w:rFonts w:eastAsiaTheme="minorEastAsia"/>
                <w:color w:val="auto"/>
                <w:szCs w:val="24"/>
              </w:rPr>
              <w:t>--每种危险物质的最大存在总量，t。</w:t>
            </w:r>
          </w:p>
          <w:p w14:paraId="0A752AC7">
            <w:pPr>
              <w:pStyle w:val="18"/>
              <w:ind w:firstLine="600" w:firstLineChars="250"/>
              <w:rPr>
                <w:rFonts w:eastAsiaTheme="minorEastAsia"/>
                <w:color w:val="auto"/>
                <w:szCs w:val="24"/>
              </w:rPr>
            </w:pPr>
            <w:r>
              <w:rPr>
                <w:rFonts w:eastAsiaTheme="minorEastAsia"/>
                <w:color w:val="auto"/>
                <w:szCs w:val="24"/>
              </w:rPr>
              <w:tab/>
            </w:r>
            <w:r>
              <w:rPr>
                <w:rFonts w:eastAsiaTheme="minorEastAsia"/>
                <w:color w:val="auto"/>
                <w:szCs w:val="24"/>
              </w:rPr>
              <w:tab/>
            </w:r>
            <w:r>
              <w:rPr>
                <w:rFonts w:eastAsiaTheme="minorEastAsia"/>
                <w:i/>
                <w:color w:val="auto"/>
                <w:szCs w:val="24"/>
              </w:rPr>
              <w:t>Q</w:t>
            </w:r>
            <w:r>
              <w:rPr>
                <w:rFonts w:eastAsiaTheme="minorEastAsia"/>
                <w:i/>
                <w:color w:val="auto"/>
                <w:szCs w:val="24"/>
                <w:vertAlign w:val="subscript"/>
              </w:rPr>
              <w:t>1</w:t>
            </w:r>
            <w:r>
              <w:rPr>
                <w:rFonts w:eastAsiaTheme="minorEastAsia"/>
                <w:i/>
                <w:color w:val="auto"/>
                <w:szCs w:val="24"/>
              </w:rPr>
              <w:t>，Q</w:t>
            </w:r>
            <w:r>
              <w:rPr>
                <w:rFonts w:eastAsiaTheme="minorEastAsia"/>
                <w:i/>
                <w:color w:val="auto"/>
                <w:szCs w:val="24"/>
                <w:vertAlign w:val="subscript"/>
              </w:rPr>
              <w:t>2</w:t>
            </w:r>
            <w:r>
              <w:rPr>
                <w:rFonts w:eastAsiaTheme="minorEastAsia"/>
                <w:i/>
                <w:color w:val="auto"/>
                <w:szCs w:val="24"/>
              </w:rPr>
              <w:t>…Q</w:t>
            </w:r>
            <w:r>
              <w:rPr>
                <w:rFonts w:eastAsiaTheme="minorEastAsia"/>
                <w:i/>
                <w:color w:val="auto"/>
                <w:szCs w:val="24"/>
                <w:vertAlign w:val="subscript"/>
              </w:rPr>
              <w:t>n</w:t>
            </w:r>
            <w:r>
              <w:rPr>
                <w:rFonts w:eastAsiaTheme="minorEastAsia"/>
                <w:color w:val="auto"/>
                <w:szCs w:val="24"/>
              </w:rPr>
              <w:t>—每种危险物质的临界量，t。</w:t>
            </w:r>
          </w:p>
          <w:p w14:paraId="77614C29">
            <w:pPr>
              <w:pStyle w:val="18"/>
              <w:ind w:firstLine="600" w:firstLineChars="250"/>
              <w:rPr>
                <w:rFonts w:eastAsiaTheme="minorEastAsia"/>
                <w:color w:val="auto"/>
                <w:szCs w:val="24"/>
              </w:rPr>
            </w:pPr>
            <w:r>
              <w:rPr>
                <w:rFonts w:eastAsiaTheme="minorEastAsia"/>
                <w:color w:val="auto"/>
                <w:szCs w:val="24"/>
              </w:rPr>
              <w:t>当Q＜1时，该项目环境风险潜势为</w:t>
            </w:r>
            <w:r>
              <w:rPr>
                <w:color w:val="auto"/>
                <w:szCs w:val="24"/>
              </w:rPr>
              <w:t>Ⅰ</w:t>
            </w:r>
            <w:r>
              <w:rPr>
                <w:rFonts w:eastAsiaTheme="minorEastAsia"/>
                <w:color w:val="auto"/>
                <w:szCs w:val="24"/>
              </w:rPr>
              <w:t>。</w:t>
            </w:r>
          </w:p>
          <w:p w14:paraId="4EB25721">
            <w:pPr>
              <w:pStyle w:val="18"/>
              <w:ind w:firstLine="600" w:firstLineChars="250"/>
              <w:rPr>
                <w:rFonts w:eastAsiaTheme="minorEastAsia"/>
                <w:color w:val="auto"/>
                <w:szCs w:val="24"/>
              </w:rPr>
            </w:pPr>
            <w:r>
              <w:rPr>
                <w:rFonts w:eastAsiaTheme="minorEastAsia"/>
                <w:color w:val="auto"/>
                <w:szCs w:val="24"/>
              </w:rPr>
              <w:t>当Q≥1时，将Q值划分为：（1）1≤Q＜10；（2）10≤Q＜100；（3）Q≥100。</w:t>
            </w:r>
          </w:p>
          <w:p w14:paraId="3B0277F3">
            <w:pPr>
              <w:pStyle w:val="18"/>
              <w:ind w:firstLine="600" w:firstLineChars="250"/>
              <w:rPr>
                <w:b/>
                <w:bCs/>
                <w:color w:val="auto"/>
                <w:szCs w:val="24"/>
              </w:rPr>
            </w:pPr>
            <w:r>
              <w:rPr>
                <w:rFonts w:eastAsiaTheme="minorEastAsia"/>
                <w:color w:val="auto"/>
                <w:szCs w:val="24"/>
              </w:rPr>
              <w:t>涉及危险物质q/Q值计算见表</w:t>
            </w:r>
            <w:r>
              <w:rPr>
                <w:rFonts w:hint="eastAsia" w:eastAsiaTheme="minorEastAsia"/>
                <w:color w:val="auto"/>
                <w:szCs w:val="24"/>
              </w:rPr>
              <w:t>4</w:t>
            </w:r>
            <w:r>
              <w:rPr>
                <w:rFonts w:hint="eastAsia" w:eastAsiaTheme="minorEastAsia"/>
                <w:color w:val="auto"/>
                <w:szCs w:val="24"/>
                <w:lang w:val="en-US" w:eastAsia="zh-CN"/>
              </w:rPr>
              <w:t>-28</w:t>
            </w:r>
            <w:r>
              <w:rPr>
                <w:rFonts w:eastAsiaTheme="minorEastAsia"/>
                <w:color w:val="auto"/>
                <w:szCs w:val="24"/>
              </w:rPr>
              <w:t>。</w:t>
            </w:r>
          </w:p>
          <w:p w14:paraId="1FE4EBD9">
            <w:pPr>
              <w:spacing w:line="360" w:lineRule="auto"/>
              <w:ind w:firstLine="482" w:firstLineChars="20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w:t>
            </w:r>
            <w:r>
              <w:rPr>
                <w:rFonts w:hint="eastAsia" w:ascii="Times New Roman" w:hAnsi="Times New Roman" w:cs="Times New Roman"/>
                <w:b/>
                <w:bCs/>
                <w:color w:val="auto"/>
                <w:sz w:val="24"/>
                <w:szCs w:val="24"/>
                <w:lang w:val="en-US" w:eastAsia="zh-CN"/>
              </w:rPr>
              <w:t>4-28</w:t>
            </w:r>
            <w:r>
              <w:rPr>
                <w:rFonts w:hint="default" w:ascii="Times New Roman" w:hAnsi="Times New Roman" w:cs="Times New Roman"/>
                <w:b/>
                <w:bCs/>
                <w:color w:val="auto"/>
                <w:sz w:val="24"/>
                <w:szCs w:val="24"/>
              </w:rPr>
              <w:t>建设项目Q值确定值</w:t>
            </w:r>
          </w:p>
          <w:tbl>
            <w:tblPr>
              <w:tblStyle w:val="36"/>
              <w:tblW w:w="77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2"/>
              <w:gridCol w:w="377"/>
              <w:gridCol w:w="1539"/>
              <w:gridCol w:w="1095"/>
              <w:gridCol w:w="1500"/>
              <w:gridCol w:w="915"/>
              <w:gridCol w:w="1694"/>
            </w:tblGrid>
            <w:tr w14:paraId="19AF2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2" w:type="dxa"/>
                  <w:tcBorders>
                    <w:tl2br w:val="nil"/>
                    <w:tr2bl w:val="nil"/>
                  </w:tcBorders>
                  <w:vAlign w:val="center"/>
                </w:tcPr>
                <w:p w14:paraId="3956A4FE">
                  <w:pPr>
                    <w:adjustRightIn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1916" w:type="dxa"/>
                  <w:gridSpan w:val="2"/>
                  <w:tcBorders>
                    <w:tl2br w:val="nil"/>
                    <w:tr2bl w:val="nil"/>
                  </w:tcBorders>
                  <w:vAlign w:val="center"/>
                </w:tcPr>
                <w:p w14:paraId="43FDE603">
                  <w:pPr>
                    <w:adjustRightIn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危险物质名称</w:t>
                  </w:r>
                </w:p>
              </w:tc>
              <w:tc>
                <w:tcPr>
                  <w:tcW w:w="1095" w:type="dxa"/>
                  <w:tcBorders>
                    <w:tl2br w:val="nil"/>
                    <w:tr2bl w:val="nil"/>
                  </w:tcBorders>
                  <w:vAlign w:val="center"/>
                </w:tcPr>
                <w:p w14:paraId="6CD7961E">
                  <w:pPr>
                    <w:adjustRightInd w:val="0"/>
                    <w:jc w:val="center"/>
                    <w:rPr>
                      <w:rFonts w:hint="default" w:ascii="Times New Roman" w:hAnsi="Times New Roman" w:cs="Times New Roman"/>
                      <w:b/>
                      <w:bCs/>
                      <w:color w:val="auto"/>
                      <w:szCs w:val="21"/>
                      <w:lang w:val="en-US" w:eastAsia="zh-CN"/>
                    </w:rPr>
                  </w:pPr>
                  <w:r>
                    <w:rPr>
                      <w:rFonts w:hint="default" w:ascii="Times New Roman" w:hAnsi="Times New Roman" w:cs="Times New Roman"/>
                      <w:b/>
                      <w:bCs/>
                      <w:color w:val="auto"/>
                      <w:szCs w:val="21"/>
                      <w:lang w:val="en-US" w:eastAsia="zh-CN"/>
                    </w:rPr>
                    <w:t>CAS号</w:t>
                  </w:r>
                </w:p>
              </w:tc>
              <w:tc>
                <w:tcPr>
                  <w:tcW w:w="1500" w:type="dxa"/>
                  <w:tcBorders>
                    <w:tl2br w:val="nil"/>
                    <w:tr2bl w:val="nil"/>
                  </w:tcBorders>
                  <w:vAlign w:val="center"/>
                </w:tcPr>
                <w:p w14:paraId="18E00798">
                  <w:pPr>
                    <w:adjustRightIn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最大存在总量qn/t</w:t>
                  </w:r>
                </w:p>
              </w:tc>
              <w:tc>
                <w:tcPr>
                  <w:tcW w:w="915" w:type="dxa"/>
                  <w:tcBorders>
                    <w:tl2br w:val="nil"/>
                    <w:tr2bl w:val="nil"/>
                  </w:tcBorders>
                  <w:vAlign w:val="center"/>
                </w:tcPr>
                <w:p w14:paraId="4CFFAB53">
                  <w:pPr>
                    <w:adjustRightIn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临界量Qn/t</w:t>
                  </w:r>
                </w:p>
              </w:tc>
              <w:tc>
                <w:tcPr>
                  <w:tcW w:w="1694" w:type="dxa"/>
                  <w:tcBorders>
                    <w:tl2br w:val="nil"/>
                    <w:tr2bl w:val="nil"/>
                  </w:tcBorders>
                  <w:vAlign w:val="center"/>
                </w:tcPr>
                <w:p w14:paraId="12EF2E94">
                  <w:pPr>
                    <w:adjustRightIn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该种危险物质Q值</w:t>
                  </w:r>
                </w:p>
              </w:tc>
            </w:tr>
            <w:tr w14:paraId="4A533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42" w:type="dxa"/>
                  <w:tcBorders>
                    <w:tl2br w:val="nil"/>
                    <w:tr2bl w:val="nil"/>
                  </w:tcBorders>
                  <w:vAlign w:val="center"/>
                </w:tcPr>
                <w:p w14:paraId="29340C01">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916" w:type="dxa"/>
                  <w:gridSpan w:val="2"/>
                  <w:tcBorders>
                    <w:tl2br w:val="nil"/>
                    <w:tr2bl w:val="nil"/>
                  </w:tcBorders>
                  <w:shd w:val="clear" w:color="auto" w:fill="auto"/>
                  <w:vAlign w:val="center"/>
                </w:tcPr>
                <w:p w14:paraId="2D12EF6D">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丙烷</w:t>
                  </w:r>
                </w:p>
              </w:tc>
              <w:tc>
                <w:tcPr>
                  <w:tcW w:w="1095" w:type="dxa"/>
                  <w:tcBorders>
                    <w:tl2br w:val="nil"/>
                    <w:tr2bl w:val="nil"/>
                  </w:tcBorders>
                  <w:vAlign w:val="center"/>
                </w:tcPr>
                <w:p w14:paraId="42013248">
                  <w:pPr>
                    <w:adjustRightInd w:val="0"/>
                    <w:jc w:val="center"/>
                    <w:rPr>
                      <w:rFonts w:hint="default" w:ascii="Times New Roman" w:hAnsi="Times New Roman" w:cs="Times New Roman"/>
                      <w:color w:val="FF0000"/>
                      <w:szCs w:val="21"/>
                      <w:lang w:val="en-US" w:eastAsia="zh-CN"/>
                    </w:rPr>
                  </w:pPr>
                  <w:r>
                    <w:rPr>
                      <w:rFonts w:hint="eastAsia" w:cs="Times New Roman"/>
                      <w:b w:val="0"/>
                      <w:bCs w:val="0"/>
                      <w:color w:val="auto"/>
                      <w:kern w:val="0"/>
                      <w:sz w:val="21"/>
                      <w:szCs w:val="21"/>
                      <w:lang w:val="en-US" w:eastAsia="zh-CN" w:bidi="ar-SA"/>
                    </w:rPr>
                    <w:t>74-98-6</w:t>
                  </w:r>
                </w:p>
              </w:tc>
              <w:tc>
                <w:tcPr>
                  <w:tcW w:w="1500" w:type="dxa"/>
                  <w:tcBorders>
                    <w:tl2br w:val="nil"/>
                    <w:tr2bl w:val="nil"/>
                  </w:tcBorders>
                  <w:shd w:val="clear" w:color="auto" w:fill="auto"/>
                  <w:vAlign w:val="center"/>
                </w:tcPr>
                <w:p w14:paraId="38223CB1">
                  <w:pPr>
                    <w:adjustRightIn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0.03</w:t>
                  </w:r>
                </w:p>
              </w:tc>
              <w:tc>
                <w:tcPr>
                  <w:tcW w:w="915" w:type="dxa"/>
                  <w:tcBorders>
                    <w:tl2br w:val="nil"/>
                    <w:tr2bl w:val="nil"/>
                  </w:tcBorders>
                  <w:vAlign w:val="center"/>
                </w:tcPr>
                <w:p w14:paraId="71696E8F">
                  <w:pPr>
                    <w:adjustRightIn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10</w:t>
                  </w:r>
                </w:p>
              </w:tc>
              <w:tc>
                <w:tcPr>
                  <w:tcW w:w="1694" w:type="dxa"/>
                  <w:tcBorders>
                    <w:tl2br w:val="nil"/>
                    <w:tr2bl w:val="nil"/>
                  </w:tcBorders>
                  <w:vAlign w:val="center"/>
                </w:tcPr>
                <w:p w14:paraId="33D8080F">
                  <w:pPr>
                    <w:adjustRightInd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0.003</w:t>
                  </w:r>
                </w:p>
              </w:tc>
            </w:tr>
            <w:tr w14:paraId="4E053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42" w:type="dxa"/>
                  <w:tcBorders>
                    <w:tl2br w:val="nil"/>
                    <w:tr2bl w:val="nil"/>
                  </w:tcBorders>
                  <w:vAlign w:val="center"/>
                </w:tcPr>
                <w:p w14:paraId="126961DB">
                  <w:pPr>
                    <w:adjustRightInd w:val="0"/>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2</w:t>
                  </w:r>
                </w:p>
              </w:tc>
              <w:tc>
                <w:tcPr>
                  <w:tcW w:w="1916" w:type="dxa"/>
                  <w:gridSpan w:val="2"/>
                  <w:tcBorders>
                    <w:tl2br w:val="nil"/>
                    <w:tr2bl w:val="nil"/>
                  </w:tcBorders>
                  <w:shd w:val="clear" w:color="auto" w:fill="auto"/>
                  <w:vAlign w:val="center"/>
                </w:tcPr>
                <w:p w14:paraId="0E21CF63">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发泡主剂</w:t>
                  </w:r>
                </w:p>
              </w:tc>
              <w:tc>
                <w:tcPr>
                  <w:tcW w:w="1095" w:type="dxa"/>
                  <w:tcBorders>
                    <w:tl2br w:val="nil"/>
                    <w:tr2bl w:val="nil"/>
                  </w:tcBorders>
                  <w:vAlign w:val="center"/>
                </w:tcPr>
                <w:p w14:paraId="70F90575">
                  <w:pPr>
                    <w:adjustRightInd w:val="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w:t>
                  </w:r>
                </w:p>
              </w:tc>
              <w:tc>
                <w:tcPr>
                  <w:tcW w:w="1500" w:type="dxa"/>
                  <w:tcBorders>
                    <w:tl2br w:val="nil"/>
                    <w:tr2bl w:val="nil"/>
                  </w:tcBorders>
                  <w:shd w:val="clear" w:color="auto" w:fill="auto"/>
                  <w:vAlign w:val="center"/>
                </w:tcPr>
                <w:p w14:paraId="5FC7C327">
                  <w:pPr>
                    <w:adjustRightIn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0.02</w:t>
                  </w:r>
                </w:p>
              </w:tc>
              <w:tc>
                <w:tcPr>
                  <w:tcW w:w="915" w:type="dxa"/>
                  <w:tcBorders>
                    <w:tl2br w:val="nil"/>
                    <w:tr2bl w:val="nil"/>
                  </w:tcBorders>
                  <w:vAlign w:val="center"/>
                </w:tcPr>
                <w:p w14:paraId="6800998C">
                  <w:pPr>
                    <w:adjustRightIn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100</w:t>
                  </w:r>
                </w:p>
              </w:tc>
              <w:tc>
                <w:tcPr>
                  <w:tcW w:w="1694" w:type="dxa"/>
                  <w:tcBorders>
                    <w:tl2br w:val="nil"/>
                    <w:tr2bl w:val="nil"/>
                  </w:tcBorders>
                  <w:vAlign w:val="center"/>
                </w:tcPr>
                <w:p w14:paraId="50FA527C">
                  <w:pPr>
                    <w:adjustRightInd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0.0002</w:t>
                  </w:r>
                </w:p>
              </w:tc>
            </w:tr>
            <w:tr w14:paraId="1ED65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42" w:type="dxa"/>
                  <w:tcBorders>
                    <w:tl2br w:val="nil"/>
                    <w:tr2bl w:val="nil"/>
                  </w:tcBorders>
                  <w:vAlign w:val="center"/>
                </w:tcPr>
                <w:p w14:paraId="4B1C3003">
                  <w:pPr>
                    <w:adjustRightInd w:val="0"/>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3</w:t>
                  </w:r>
                </w:p>
              </w:tc>
              <w:tc>
                <w:tcPr>
                  <w:tcW w:w="377" w:type="dxa"/>
                  <w:vMerge w:val="restart"/>
                  <w:tcBorders>
                    <w:tl2br w:val="nil"/>
                    <w:tr2bl w:val="nil"/>
                  </w:tcBorders>
                  <w:shd w:val="clear" w:color="auto" w:fill="auto"/>
                  <w:vAlign w:val="center"/>
                </w:tcPr>
                <w:p w14:paraId="7F5909C5">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发泡固化剂</w:t>
                  </w:r>
                </w:p>
              </w:tc>
              <w:tc>
                <w:tcPr>
                  <w:tcW w:w="1539" w:type="dxa"/>
                  <w:tcBorders>
                    <w:tl2br w:val="nil"/>
                    <w:tr2bl w:val="nil"/>
                  </w:tcBorders>
                  <w:shd w:val="clear" w:color="auto" w:fill="auto"/>
                  <w:vAlign w:val="center"/>
                </w:tcPr>
                <w:p w14:paraId="5D41E23E">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多亚甲基多苯基多异氰酸酯</w:t>
                  </w:r>
                </w:p>
              </w:tc>
              <w:tc>
                <w:tcPr>
                  <w:tcW w:w="1095" w:type="dxa"/>
                  <w:tcBorders>
                    <w:tl2br w:val="nil"/>
                    <w:tr2bl w:val="nil"/>
                  </w:tcBorders>
                  <w:shd w:val="clear" w:color="auto" w:fill="auto"/>
                  <w:vAlign w:val="center"/>
                </w:tcPr>
                <w:p w14:paraId="5B6B9F7C">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9016-87-9</w:t>
                  </w:r>
                </w:p>
              </w:tc>
              <w:tc>
                <w:tcPr>
                  <w:tcW w:w="1500" w:type="dxa"/>
                  <w:tcBorders>
                    <w:tl2br w:val="nil"/>
                    <w:tr2bl w:val="nil"/>
                  </w:tcBorders>
                  <w:shd w:val="clear" w:color="auto" w:fill="auto"/>
                  <w:vAlign w:val="center"/>
                </w:tcPr>
                <w:p w14:paraId="61A2A02E">
                  <w:pPr>
                    <w:adjustRightIn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0.014</w:t>
                  </w:r>
                </w:p>
              </w:tc>
              <w:tc>
                <w:tcPr>
                  <w:tcW w:w="915" w:type="dxa"/>
                  <w:tcBorders>
                    <w:tl2br w:val="nil"/>
                    <w:tr2bl w:val="nil"/>
                  </w:tcBorders>
                  <w:vAlign w:val="center"/>
                </w:tcPr>
                <w:p w14:paraId="38FA0F97">
                  <w:pPr>
                    <w:adjustRightIn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100</w:t>
                  </w:r>
                </w:p>
              </w:tc>
              <w:tc>
                <w:tcPr>
                  <w:tcW w:w="1694" w:type="dxa"/>
                  <w:tcBorders>
                    <w:tl2br w:val="nil"/>
                    <w:tr2bl w:val="nil"/>
                  </w:tcBorders>
                  <w:vAlign w:val="center"/>
                </w:tcPr>
                <w:p w14:paraId="7294B2D9">
                  <w:pPr>
                    <w:adjustRightInd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0.00014</w:t>
                  </w:r>
                </w:p>
              </w:tc>
            </w:tr>
            <w:tr w14:paraId="745F1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42" w:type="dxa"/>
                  <w:tcBorders>
                    <w:tl2br w:val="nil"/>
                    <w:tr2bl w:val="nil"/>
                  </w:tcBorders>
                  <w:shd w:val="clear" w:color="auto" w:fill="auto"/>
                  <w:vAlign w:val="center"/>
                </w:tcPr>
                <w:p w14:paraId="773F3DAE">
                  <w:pPr>
                    <w:adjustRightIn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4</w:t>
                  </w:r>
                </w:p>
              </w:tc>
              <w:tc>
                <w:tcPr>
                  <w:tcW w:w="377" w:type="dxa"/>
                  <w:vMerge w:val="continue"/>
                  <w:tcBorders>
                    <w:tl2br w:val="nil"/>
                    <w:tr2bl w:val="nil"/>
                  </w:tcBorders>
                  <w:shd w:val="clear" w:color="auto" w:fill="auto"/>
                  <w:vAlign w:val="center"/>
                </w:tcPr>
                <w:p w14:paraId="0B3A02B9">
                  <w:pPr>
                    <w:jc w:val="center"/>
                    <w:rPr>
                      <w:rFonts w:hint="eastAsia" w:ascii="Times New Roman" w:hAnsi="Times New Roman" w:cs="Times New Roman" w:eastAsiaTheme="minorEastAsia"/>
                      <w:color w:val="auto"/>
                      <w:szCs w:val="21"/>
                      <w:lang w:val="en-US" w:eastAsia="zh-CN"/>
                    </w:rPr>
                  </w:pPr>
                </w:p>
              </w:tc>
              <w:tc>
                <w:tcPr>
                  <w:tcW w:w="1539" w:type="dxa"/>
                  <w:tcBorders>
                    <w:tl2br w:val="nil"/>
                    <w:tr2bl w:val="nil"/>
                  </w:tcBorders>
                  <w:shd w:val="clear" w:color="auto" w:fill="auto"/>
                  <w:vAlign w:val="center"/>
                </w:tcPr>
                <w:p w14:paraId="65F9EC8B">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二苯基甲烷-4,4’—二异氰酸酯（MDI）</w:t>
                  </w:r>
                </w:p>
              </w:tc>
              <w:tc>
                <w:tcPr>
                  <w:tcW w:w="1095" w:type="dxa"/>
                  <w:tcBorders>
                    <w:tl2br w:val="nil"/>
                    <w:tr2bl w:val="nil"/>
                  </w:tcBorders>
                  <w:shd w:val="clear" w:color="auto" w:fill="auto"/>
                  <w:vAlign w:val="center"/>
                </w:tcPr>
                <w:p w14:paraId="024F6E9A">
                  <w:pPr>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101-68-8</w:t>
                  </w:r>
                </w:p>
              </w:tc>
              <w:tc>
                <w:tcPr>
                  <w:tcW w:w="1500" w:type="dxa"/>
                  <w:tcBorders>
                    <w:tl2br w:val="nil"/>
                    <w:tr2bl w:val="nil"/>
                  </w:tcBorders>
                  <w:shd w:val="clear" w:color="auto" w:fill="auto"/>
                  <w:vAlign w:val="center"/>
                </w:tcPr>
                <w:p w14:paraId="2F37524F">
                  <w:pPr>
                    <w:adjustRightInd w:val="0"/>
                    <w:jc w:val="center"/>
                    <w:rPr>
                      <w:rFonts w:hint="default" w:cs="Times New Roman"/>
                      <w:color w:val="auto"/>
                      <w:szCs w:val="21"/>
                      <w:lang w:val="en-US" w:eastAsia="zh-CN"/>
                    </w:rPr>
                  </w:pPr>
                  <w:r>
                    <w:rPr>
                      <w:rFonts w:hint="eastAsia" w:cs="Times New Roman"/>
                      <w:color w:val="auto"/>
                      <w:szCs w:val="21"/>
                      <w:lang w:val="en-US" w:eastAsia="zh-CN"/>
                    </w:rPr>
                    <w:t>0.006</w:t>
                  </w:r>
                </w:p>
              </w:tc>
              <w:tc>
                <w:tcPr>
                  <w:tcW w:w="915" w:type="dxa"/>
                  <w:tcBorders>
                    <w:tl2br w:val="nil"/>
                    <w:tr2bl w:val="nil"/>
                  </w:tcBorders>
                  <w:vAlign w:val="center"/>
                </w:tcPr>
                <w:p w14:paraId="3F915345">
                  <w:pPr>
                    <w:adjustRightInd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0.5</w:t>
                  </w:r>
                </w:p>
              </w:tc>
              <w:tc>
                <w:tcPr>
                  <w:tcW w:w="1694" w:type="dxa"/>
                  <w:tcBorders>
                    <w:tl2br w:val="nil"/>
                    <w:tr2bl w:val="nil"/>
                  </w:tcBorders>
                  <w:vAlign w:val="center"/>
                </w:tcPr>
                <w:p w14:paraId="710760C6">
                  <w:pPr>
                    <w:adjustRightIn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0.012</w:t>
                  </w:r>
                </w:p>
              </w:tc>
            </w:tr>
            <w:tr w14:paraId="1611E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42" w:type="dxa"/>
                  <w:tcBorders>
                    <w:tl2br w:val="nil"/>
                    <w:tr2bl w:val="nil"/>
                  </w:tcBorders>
                  <w:shd w:val="clear" w:color="auto" w:fill="auto"/>
                  <w:vAlign w:val="center"/>
                </w:tcPr>
                <w:p w14:paraId="4D0478A0">
                  <w:pPr>
                    <w:adjustRightIn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5</w:t>
                  </w:r>
                </w:p>
              </w:tc>
              <w:tc>
                <w:tcPr>
                  <w:tcW w:w="1916" w:type="dxa"/>
                  <w:gridSpan w:val="2"/>
                  <w:tcBorders>
                    <w:tl2br w:val="nil"/>
                    <w:tr2bl w:val="nil"/>
                  </w:tcBorders>
                  <w:shd w:val="clear" w:color="auto" w:fill="auto"/>
                  <w:vAlign w:val="center"/>
                </w:tcPr>
                <w:p w14:paraId="0B72499B">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水性脱模剂</w:t>
                  </w:r>
                </w:p>
              </w:tc>
              <w:tc>
                <w:tcPr>
                  <w:tcW w:w="1095" w:type="dxa"/>
                  <w:tcBorders>
                    <w:tl2br w:val="nil"/>
                    <w:tr2bl w:val="nil"/>
                  </w:tcBorders>
                  <w:vAlign w:val="center"/>
                </w:tcPr>
                <w:p w14:paraId="75362E51">
                  <w:pPr>
                    <w:adjustRightInd w:val="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w:t>
                  </w:r>
                </w:p>
              </w:tc>
              <w:tc>
                <w:tcPr>
                  <w:tcW w:w="1500" w:type="dxa"/>
                  <w:tcBorders>
                    <w:tl2br w:val="nil"/>
                    <w:tr2bl w:val="nil"/>
                  </w:tcBorders>
                  <w:shd w:val="clear" w:color="auto" w:fill="auto"/>
                  <w:vAlign w:val="center"/>
                </w:tcPr>
                <w:p w14:paraId="25F0C43E">
                  <w:pPr>
                    <w:adjustRightIn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0.001</w:t>
                  </w:r>
                </w:p>
              </w:tc>
              <w:tc>
                <w:tcPr>
                  <w:tcW w:w="915" w:type="dxa"/>
                  <w:tcBorders>
                    <w:tl2br w:val="nil"/>
                    <w:tr2bl w:val="nil"/>
                  </w:tcBorders>
                  <w:vAlign w:val="center"/>
                </w:tcPr>
                <w:p w14:paraId="5F342C6D">
                  <w:pPr>
                    <w:adjustRightInd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w:t>
                  </w:r>
                </w:p>
              </w:tc>
              <w:tc>
                <w:tcPr>
                  <w:tcW w:w="1694" w:type="dxa"/>
                  <w:tcBorders>
                    <w:tl2br w:val="nil"/>
                    <w:tr2bl w:val="nil"/>
                  </w:tcBorders>
                  <w:vAlign w:val="center"/>
                </w:tcPr>
                <w:p w14:paraId="69F6A463">
                  <w:pPr>
                    <w:adjustRightInd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0.00001</w:t>
                  </w:r>
                </w:p>
              </w:tc>
            </w:tr>
            <w:tr w14:paraId="6B447B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42" w:type="dxa"/>
                  <w:tcBorders>
                    <w:tl2br w:val="nil"/>
                    <w:tr2bl w:val="nil"/>
                  </w:tcBorders>
                  <w:shd w:val="clear" w:color="auto" w:fill="auto"/>
                  <w:vAlign w:val="center"/>
                </w:tcPr>
                <w:p w14:paraId="6A660F1E">
                  <w:pPr>
                    <w:adjustRightIn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6</w:t>
                  </w:r>
                </w:p>
              </w:tc>
              <w:tc>
                <w:tcPr>
                  <w:tcW w:w="1916" w:type="dxa"/>
                  <w:gridSpan w:val="2"/>
                  <w:tcBorders>
                    <w:tl2br w:val="nil"/>
                    <w:tr2bl w:val="nil"/>
                  </w:tcBorders>
                  <w:shd w:val="clear" w:color="auto" w:fill="auto"/>
                  <w:vAlign w:val="center"/>
                </w:tcPr>
                <w:p w14:paraId="7748A22A">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制冷剂</w:t>
                  </w:r>
                </w:p>
              </w:tc>
              <w:tc>
                <w:tcPr>
                  <w:tcW w:w="1095" w:type="dxa"/>
                  <w:tcBorders>
                    <w:tl2br w:val="nil"/>
                    <w:tr2bl w:val="nil"/>
                  </w:tcBorders>
                  <w:shd w:val="clear" w:color="auto" w:fill="auto"/>
                  <w:vAlign w:val="center"/>
                </w:tcPr>
                <w:p w14:paraId="4F0E6687">
                  <w:pPr>
                    <w:adjustRightInd w:val="0"/>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w:t>
                  </w:r>
                </w:p>
              </w:tc>
              <w:tc>
                <w:tcPr>
                  <w:tcW w:w="1500" w:type="dxa"/>
                  <w:tcBorders>
                    <w:tl2br w:val="nil"/>
                    <w:tr2bl w:val="nil"/>
                  </w:tcBorders>
                  <w:shd w:val="clear" w:color="auto" w:fill="auto"/>
                  <w:vAlign w:val="center"/>
                </w:tcPr>
                <w:p w14:paraId="7A7AE27F">
                  <w:pPr>
                    <w:adjustRightIn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0.05</w:t>
                  </w:r>
                </w:p>
              </w:tc>
              <w:tc>
                <w:tcPr>
                  <w:tcW w:w="915" w:type="dxa"/>
                  <w:tcBorders>
                    <w:tl2br w:val="nil"/>
                    <w:tr2bl w:val="nil"/>
                  </w:tcBorders>
                  <w:shd w:val="clear" w:color="auto" w:fill="auto"/>
                  <w:vAlign w:val="center"/>
                </w:tcPr>
                <w:p w14:paraId="27E557CE">
                  <w:pPr>
                    <w:adjustRightIn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100</w:t>
                  </w:r>
                </w:p>
              </w:tc>
              <w:tc>
                <w:tcPr>
                  <w:tcW w:w="1694" w:type="dxa"/>
                  <w:tcBorders>
                    <w:tl2br w:val="nil"/>
                    <w:tr2bl w:val="nil"/>
                  </w:tcBorders>
                  <w:vAlign w:val="center"/>
                </w:tcPr>
                <w:p w14:paraId="50659A9A">
                  <w:pPr>
                    <w:adjustRightInd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0.0005</w:t>
                  </w:r>
                </w:p>
              </w:tc>
            </w:tr>
            <w:tr w14:paraId="6B736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42" w:type="dxa"/>
                  <w:tcBorders>
                    <w:tl2br w:val="nil"/>
                    <w:tr2bl w:val="nil"/>
                  </w:tcBorders>
                  <w:shd w:val="clear" w:color="auto" w:fill="auto"/>
                  <w:vAlign w:val="center"/>
                </w:tcPr>
                <w:p w14:paraId="1A641249">
                  <w:pPr>
                    <w:adjustRightIn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7</w:t>
                  </w:r>
                </w:p>
              </w:tc>
              <w:tc>
                <w:tcPr>
                  <w:tcW w:w="1916" w:type="dxa"/>
                  <w:gridSpan w:val="2"/>
                  <w:tcBorders>
                    <w:tl2br w:val="nil"/>
                    <w:tr2bl w:val="nil"/>
                  </w:tcBorders>
                  <w:shd w:val="clear" w:color="auto" w:fill="auto"/>
                  <w:vAlign w:val="center"/>
                </w:tcPr>
                <w:p w14:paraId="7CBB2593">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酒精</w:t>
                  </w:r>
                </w:p>
              </w:tc>
              <w:tc>
                <w:tcPr>
                  <w:tcW w:w="1095" w:type="dxa"/>
                  <w:tcBorders>
                    <w:tl2br w:val="nil"/>
                    <w:tr2bl w:val="nil"/>
                  </w:tcBorders>
                  <w:vAlign w:val="center"/>
                </w:tcPr>
                <w:p w14:paraId="0AE6D4D5">
                  <w:pPr>
                    <w:adjustRightInd w:val="0"/>
                    <w:jc w:val="center"/>
                    <w:rPr>
                      <w:rFonts w:hint="default" w:ascii="Times New Roman" w:hAnsi="Times New Roman" w:cs="Times New Roman"/>
                      <w:color w:val="FF0000"/>
                      <w:szCs w:val="21"/>
                      <w:lang w:val="en-US" w:eastAsia="zh-CN"/>
                    </w:rPr>
                  </w:pPr>
                  <w:r>
                    <w:rPr>
                      <w:rFonts w:hint="eastAsia" w:ascii="Times New Roman" w:hAnsi="Times New Roman" w:cs="Times New Roman"/>
                      <w:color w:val="auto"/>
                      <w:szCs w:val="21"/>
                      <w:lang w:val="en-US" w:eastAsia="zh-CN"/>
                    </w:rPr>
                    <w:t>64-17-5</w:t>
                  </w:r>
                </w:p>
              </w:tc>
              <w:tc>
                <w:tcPr>
                  <w:tcW w:w="1500" w:type="dxa"/>
                  <w:tcBorders>
                    <w:tl2br w:val="nil"/>
                    <w:tr2bl w:val="nil"/>
                  </w:tcBorders>
                  <w:vAlign w:val="center"/>
                </w:tcPr>
                <w:p w14:paraId="45281284">
                  <w:pPr>
                    <w:adjustRightIn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0.0004</w:t>
                  </w:r>
                </w:p>
              </w:tc>
              <w:tc>
                <w:tcPr>
                  <w:tcW w:w="915" w:type="dxa"/>
                  <w:tcBorders>
                    <w:tl2br w:val="nil"/>
                    <w:tr2bl w:val="nil"/>
                  </w:tcBorders>
                  <w:vAlign w:val="center"/>
                </w:tcPr>
                <w:p w14:paraId="549B9641">
                  <w:pPr>
                    <w:adjustRightInd w:val="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500</w:t>
                  </w:r>
                </w:p>
              </w:tc>
              <w:tc>
                <w:tcPr>
                  <w:tcW w:w="1694" w:type="dxa"/>
                  <w:tcBorders>
                    <w:tl2br w:val="nil"/>
                    <w:tr2bl w:val="nil"/>
                  </w:tcBorders>
                  <w:vAlign w:val="center"/>
                </w:tcPr>
                <w:p w14:paraId="50A3EB2E">
                  <w:pPr>
                    <w:adjustRightInd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0.0000008</w:t>
                  </w:r>
                </w:p>
              </w:tc>
            </w:tr>
            <w:tr w14:paraId="58594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42" w:type="dxa"/>
                  <w:tcBorders>
                    <w:tl2br w:val="nil"/>
                    <w:tr2bl w:val="nil"/>
                  </w:tcBorders>
                  <w:shd w:val="clear" w:color="auto" w:fill="auto"/>
                  <w:vAlign w:val="center"/>
                </w:tcPr>
                <w:p w14:paraId="4B546600">
                  <w:pPr>
                    <w:adjustRightIn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8</w:t>
                  </w:r>
                </w:p>
              </w:tc>
              <w:tc>
                <w:tcPr>
                  <w:tcW w:w="377" w:type="dxa"/>
                  <w:vMerge w:val="restart"/>
                  <w:tcBorders>
                    <w:tl2br w:val="nil"/>
                    <w:tr2bl w:val="nil"/>
                  </w:tcBorders>
                  <w:vAlign w:val="center"/>
                </w:tcPr>
                <w:p w14:paraId="763B7B0C">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危险</w:t>
                  </w:r>
                </w:p>
                <w:p w14:paraId="3F3394A5">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废物</w:t>
                  </w:r>
                </w:p>
              </w:tc>
              <w:tc>
                <w:tcPr>
                  <w:tcW w:w="1539" w:type="dxa"/>
                  <w:tcBorders>
                    <w:tl2br w:val="nil"/>
                    <w:tr2bl w:val="nil"/>
                  </w:tcBorders>
                  <w:shd w:val="clear" w:color="auto" w:fill="auto"/>
                  <w:vAlign w:val="center"/>
                </w:tcPr>
                <w:p w14:paraId="3561DF30">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废抹布、手套</w:t>
                  </w:r>
                </w:p>
                <w:p w14:paraId="76DF4527">
                  <w:pPr>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（含酒精）</w:t>
                  </w:r>
                </w:p>
              </w:tc>
              <w:tc>
                <w:tcPr>
                  <w:tcW w:w="1095" w:type="dxa"/>
                  <w:tcBorders>
                    <w:tl2br w:val="nil"/>
                    <w:tr2bl w:val="nil"/>
                  </w:tcBorders>
                  <w:shd w:val="clear" w:color="auto" w:fill="auto"/>
                  <w:vAlign w:val="center"/>
                </w:tcPr>
                <w:p w14:paraId="6ABEC7E8">
                  <w:pPr>
                    <w:adjustRightInd w:val="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w:t>
                  </w:r>
                </w:p>
              </w:tc>
              <w:tc>
                <w:tcPr>
                  <w:tcW w:w="1500" w:type="dxa"/>
                  <w:tcBorders>
                    <w:tl2br w:val="nil"/>
                    <w:tr2bl w:val="nil"/>
                  </w:tcBorders>
                  <w:shd w:val="clear" w:color="auto" w:fill="auto"/>
                  <w:vAlign w:val="center"/>
                </w:tcPr>
                <w:p w14:paraId="19C45A99">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0.05</w:t>
                  </w:r>
                </w:p>
              </w:tc>
              <w:tc>
                <w:tcPr>
                  <w:tcW w:w="915" w:type="dxa"/>
                  <w:tcBorders>
                    <w:tl2br w:val="nil"/>
                    <w:tr2bl w:val="nil"/>
                  </w:tcBorders>
                  <w:vAlign w:val="center"/>
                </w:tcPr>
                <w:p w14:paraId="0D8B6650">
                  <w:pPr>
                    <w:adjustRightIn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100</w:t>
                  </w:r>
                </w:p>
              </w:tc>
              <w:tc>
                <w:tcPr>
                  <w:tcW w:w="1694" w:type="dxa"/>
                  <w:tcBorders>
                    <w:tl2br w:val="nil"/>
                    <w:tr2bl w:val="nil"/>
                  </w:tcBorders>
                  <w:vAlign w:val="center"/>
                </w:tcPr>
                <w:p w14:paraId="0AEA26AE">
                  <w:pPr>
                    <w:adjustRightInd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0.0005</w:t>
                  </w:r>
                </w:p>
              </w:tc>
            </w:tr>
            <w:tr w14:paraId="74820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tcBorders>
                    <w:tl2br w:val="nil"/>
                    <w:tr2bl w:val="nil"/>
                  </w:tcBorders>
                  <w:shd w:val="clear" w:color="auto" w:fill="auto"/>
                  <w:vAlign w:val="center"/>
                </w:tcPr>
                <w:p w14:paraId="7DB4BC3B">
                  <w:pPr>
                    <w:adjustRightIn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9</w:t>
                  </w:r>
                </w:p>
              </w:tc>
              <w:tc>
                <w:tcPr>
                  <w:tcW w:w="377" w:type="dxa"/>
                  <w:vMerge w:val="continue"/>
                  <w:tcBorders>
                    <w:tl2br w:val="nil"/>
                    <w:tr2bl w:val="nil"/>
                  </w:tcBorders>
                  <w:vAlign w:val="center"/>
                </w:tcPr>
                <w:p w14:paraId="3DBCA229">
                  <w:pPr>
                    <w:adjustRightInd w:val="0"/>
                    <w:jc w:val="center"/>
                    <w:rPr>
                      <w:rFonts w:hint="default" w:ascii="Times New Roman" w:hAnsi="Times New Roman" w:cs="Times New Roman"/>
                      <w:color w:val="auto"/>
                      <w:szCs w:val="21"/>
                    </w:rPr>
                  </w:pPr>
                </w:p>
              </w:tc>
              <w:tc>
                <w:tcPr>
                  <w:tcW w:w="1539" w:type="dxa"/>
                  <w:tcBorders>
                    <w:tl2br w:val="nil"/>
                    <w:tr2bl w:val="nil"/>
                  </w:tcBorders>
                  <w:shd w:val="clear" w:color="auto" w:fill="auto"/>
                  <w:vAlign w:val="center"/>
                </w:tcPr>
                <w:p w14:paraId="51C630B0">
                  <w:pPr>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废活性炭</w:t>
                  </w:r>
                </w:p>
              </w:tc>
              <w:tc>
                <w:tcPr>
                  <w:tcW w:w="1095" w:type="dxa"/>
                  <w:tcBorders>
                    <w:tl2br w:val="nil"/>
                    <w:tr2bl w:val="nil"/>
                  </w:tcBorders>
                  <w:shd w:val="clear" w:color="auto" w:fill="auto"/>
                  <w:vAlign w:val="center"/>
                </w:tcPr>
                <w:p w14:paraId="0D16BC52">
                  <w:pPr>
                    <w:adjustRightInd w:val="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w:t>
                  </w:r>
                </w:p>
              </w:tc>
              <w:tc>
                <w:tcPr>
                  <w:tcW w:w="1500" w:type="dxa"/>
                  <w:tcBorders>
                    <w:tl2br w:val="nil"/>
                    <w:tr2bl w:val="nil"/>
                  </w:tcBorders>
                  <w:shd w:val="clear" w:color="auto" w:fill="auto"/>
                  <w:vAlign w:val="center"/>
                </w:tcPr>
                <w:p w14:paraId="3D7B224A">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0.8</w:t>
                  </w:r>
                </w:p>
              </w:tc>
              <w:tc>
                <w:tcPr>
                  <w:tcW w:w="915" w:type="dxa"/>
                  <w:tcBorders>
                    <w:tl2br w:val="nil"/>
                    <w:tr2bl w:val="nil"/>
                  </w:tcBorders>
                  <w:vAlign w:val="center"/>
                </w:tcPr>
                <w:p w14:paraId="03417A2F">
                  <w:pPr>
                    <w:adjustRightIn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100</w:t>
                  </w:r>
                </w:p>
              </w:tc>
              <w:tc>
                <w:tcPr>
                  <w:tcW w:w="1694" w:type="dxa"/>
                  <w:tcBorders>
                    <w:tl2br w:val="nil"/>
                    <w:tr2bl w:val="nil"/>
                  </w:tcBorders>
                  <w:vAlign w:val="center"/>
                </w:tcPr>
                <w:p w14:paraId="2BCCE32E">
                  <w:pPr>
                    <w:adjustRightInd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0.008</w:t>
                  </w:r>
                </w:p>
              </w:tc>
            </w:tr>
            <w:tr w14:paraId="39A0C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42" w:type="dxa"/>
                  <w:tcBorders>
                    <w:tl2br w:val="nil"/>
                    <w:tr2bl w:val="nil"/>
                  </w:tcBorders>
                  <w:shd w:val="clear" w:color="auto" w:fill="auto"/>
                  <w:vAlign w:val="center"/>
                </w:tcPr>
                <w:p w14:paraId="43073996">
                  <w:pPr>
                    <w:adjustRightIn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10</w:t>
                  </w:r>
                </w:p>
              </w:tc>
              <w:tc>
                <w:tcPr>
                  <w:tcW w:w="377" w:type="dxa"/>
                  <w:vMerge w:val="continue"/>
                  <w:tcBorders>
                    <w:tl2br w:val="nil"/>
                    <w:tr2bl w:val="nil"/>
                  </w:tcBorders>
                  <w:vAlign w:val="center"/>
                </w:tcPr>
                <w:p w14:paraId="6238BB05">
                  <w:pPr>
                    <w:adjustRightInd w:val="0"/>
                    <w:jc w:val="center"/>
                    <w:rPr>
                      <w:rFonts w:hint="default" w:ascii="Times New Roman" w:hAnsi="Times New Roman" w:cs="Times New Roman"/>
                      <w:color w:val="auto"/>
                      <w:szCs w:val="21"/>
                    </w:rPr>
                  </w:pPr>
                </w:p>
              </w:tc>
              <w:tc>
                <w:tcPr>
                  <w:tcW w:w="1539" w:type="dxa"/>
                  <w:tcBorders>
                    <w:tl2br w:val="nil"/>
                    <w:tr2bl w:val="nil"/>
                  </w:tcBorders>
                  <w:shd w:val="clear" w:color="auto" w:fill="auto"/>
                  <w:vAlign w:val="center"/>
                </w:tcPr>
                <w:p w14:paraId="60EA468A">
                  <w:pPr>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eastAsiaTheme="minorEastAsia"/>
                      <w:color w:val="auto"/>
                      <w:szCs w:val="21"/>
                      <w:lang w:val="en-US" w:eastAsia="zh-CN"/>
                    </w:rPr>
                    <w:t>废包装容器</w:t>
                  </w:r>
                </w:p>
              </w:tc>
              <w:tc>
                <w:tcPr>
                  <w:tcW w:w="1095" w:type="dxa"/>
                  <w:tcBorders>
                    <w:tl2br w:val="nil"/>
                    <w:tr2bl w:val="nil"/>
                  </w:tcBorders>
                  <w:shd w:val="clear" w:color="auto" w:fill="auto"/>
                  <w:vAlign w:val="center"/>
                </w:tcPr>
                <w:p w14:paraId="3677E9AE">
                  <w:pPr>
                    <w:adjustRightInd w:val="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w:t>
                  </w:r>
                </w:p>
              </w:tc>
              <w:tc>
                <w:tcPr>
                  <w:tcW w:w="1500" w:type="dxa"/>
                  <w:tcBorders>
                    <w:tl2br w:val="nil"/>
                    <w:tr2bl w:val="nil"/>
                  </w:tcBorders>
                  <w:shd w:val="clear" w:color="auto" w:fill="auto"/>
                  <w:vAlign w:val="center"/>
                </w:tcPr>
                <w:p w14:paraId="66F8725C">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0.3</w:t>
                  </w:r>
                </w:p>
              </w:tc>
              <w:tc>
                <w:tcPr>
                  <w:tcW w:w="915" w:type="dxa"/>
                  <w:tcBorders>
                    <w:tl2br w:val="nil"/>
                    <w:tr2bl w:val="nil"/>
                  </w:tcBorders>
                  <w:vAlign w:val="center"/>
                </w:tcPr>
                <w:p w14:paraId="48CB91D7">
                  <w:pPr>
                    <w:adjustRightInd w:val="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100</w:t>
                  </w:r>
                </w:p>
              </w:tc>
              <w:tc>
                <w:tcPr>
                  <w:tcW w:w="1694" w:type="dxa"/>
                  <w:tcBorders>
                    <w:tl2br w:val="nil"/>
                    <w:tr2bl w:val="nil"/>
                  </w:tcBorders>
                  <w:vAlign w:val="center"/>
                </w:tcPr>
                <w:p w14:paraId="56DC071B">
                  <w:pPr>
                    <w:adjustRightInd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0.003</w:t>
                  </w:r>
                </w:p>
              </w:tc>
            </w:tr>
            <w:tr w14:paraId="7C595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6068" w:type="dxa"/>
                  <w:gridSpan w:val="6"/>
                  <w:tcBorders>
                    <w:tl2br w:val="nil"/>
                    <w:tr2bl w:val="nil"/>
                  </w:tcBorders>
                  <w:vAlign w:val="center"/>
                </w:tcPr>
                <w:p w14:paraId="5708CEF9">
                  <w:pPr>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项目Q值∑</w:t>
                  </w:r>
                </w:p>
              </w:tc>
              <w:tc>
                <w:tcPr>
                  <w:tcW w:w="1694" w:type="dxa"/>
                  <w:tcBorders>
                    <w:tl2br w:val="nil"/>
                    <w:tr2bl w:val="nil"/>
                  </w:tcBorders>
                  <w:shd w:val="clear" w:color="auto" w:fill="auto"/>
                  <w:vAlign w:val="center"/>
                </w:tcPr>
                <w:p w14:paraId="64A11D85">
                  <w:pPr>
                    <w:adjustRightInd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0.0273508</w:t>
                  </w:r>
                </w:p>
              </w:tc>
            </w:tr>
          </w:tbl>
          <w:p w14:paraId="76D23E17">
            <w:pPr>
              <w:pStyle w:val="18"/>
              <w:snapToGrid w:val="0"/>
              <w:spacing w:line="240" w:lineRule="auto"/>
              <w:ind w:firstLine="200" w:firstLineChars="200"/>
              <w:rPr>
                <w:color w:val="FF0000"/>
                <w:sz w:val="10"/>
                <w:szCs w:val="10"/>
              </w:rPr>
            </w:pPr>
          </w:p>
          <w:p w14:paraId="3F3BEFBF">
            <w:pPr>
              <w:pStyle w:val="18"/>
              <w:ind w:firstLineChars="200"/>
              <w:rPr>
                <w:rFonts w:eastAsiaTheme="minorEastAsia"/>
                <w:color w:val="auto"/>
                <w:szCs w:val="24"/>
              </w:rPr>
            </w:pPr>
            <w:r>
              <w:rPr>
                <w:rFonts w:ascii="Times New Roman" w:hAnsi="Times New Roman" w:eastAsia="宋体" w:cs="Times New Roman"/>
                <w:color w:val="auto"/>
                <w:szCs w:val="24"/>
              </w:rPr>
              <w:t>根据核算，Q=</w:t>
            </w:r>
            <w:r>
              <w:rPr>
                <w:rFonts w:hint="eastAsia" w:ascii="Times New Roman" w:hAnsi="Times New Roman" w:eastAsia="宋体" w:cs="Times New Roman"/>
                <w:color w:val="auto"/>
                <w:szCs w:val="21"/>
                <w:lang w:val="en-US" w:eastAsia="zh-CN"/>
              </w:rPr>
              <w:t>0.0273508</w:t>
            </w:r>
            <w:r>
              <w:rPr>
                <w:rFonts w:ascii="Times New Roman" w:hAnsi="Times New Roman" w:eastAsia="宋体" w:cs="Times New Roman"/>
                <w:color w:val="auto"/>
                <w:szCs w:val="24"/>
              </w:rPr>
              <w:t>（Q＜1），该</w:t>
            </w:r>
            <w:r>
              <w:rPr>
                <w:color w:val="auto"/>
                <w:szCs w:val="24"/>
              </w:rPr>
              <w:t>项目环境风险潜势为Ⅰ。</w:t>
            </w:r>
          </w:p>
          <w:p w14:paraId="50634C7A">
            <w:pPr>
              <w:pStyle w:val="18"/>
              <w:ind w:firstLineChars="200"/>
              <w:rPr>
                <w:color w:val="auto"/>
                <w:kern w:val="0"/>
                <w:szCs w:val="24"/>
              </w:rPr>
            </w:pPr>
            <w:r>
              <w:rPr>
                <w:rFonts w:hint="eastAsia"/>
                <w:color w:val="auto"/>
                <w:szCs w:val="24"/>
              </w:rPr>
              <w:t>（3）</w:t>
            </w:r>
            <w:r>
              <w:rPr>
                <w:color w:val="auto"/>
                <w:kern w:val="0"/>
                <w:szCs w:val="24"/>
              </w:rPr>
              <w:t>环境风险评价等级确定</w:t>
            </w:r>
          </w:p>
          <w:p w14:paraId="3EF050D2">
            <w:pPr>
              <w:pStyle w:val="18"/>
              <w:ind w:firstLine="600" w:firstLineChars="250"/>
              <w:rPr>
                <w:color w:val="auto"/>
                <w:szCs w:val="24"/>
              </w:rPr>
            </w:pPr>
            <w:r>
              <w:rPr>
                <w:color w:val="auto"/>
                <w:szCs w:val="24"/>
              </w:rPr>
              <w:t>本项目风险潜势为Ⅰ，根据《建设项目环境风险评价技术导则》（HJ169-2018）可知，评价工作等级为简单分析。</w:t>
            </w:r>
          </w:p>
          <w:p w14:paraId="48B2DF81">
            <w:pPr>
              <w:pStyle w:val="18"/>
              <w:ind w:firstLine="600" w:firstLineChars="250"/>
              <w:rPr>
                <w:rFonts w:ascii="Times New Roman" w:hAnsi="Times New Roman" w:eastAsia="宋体" w:cs="Times New Roman"/>
                <w:color w:val="auto"/>
                <w:szCs w:val="24"/>
              </w:rPr>
            </w:pPr>
            <w:r>
              <w:rPr>
                <w:color w:val="auto"/>
                <w:szCs w:val="24"/>
              </w:rPr>
              <w:t>（</w:t>
            </w:r>
            <w:r>
              <w:rPr>
                <w:rFonts w:hint="eastAsia"/>
                <w:color w:val="auto"/>
                <w:szCs w:val="24"/>
              </w:rPr>
              <w:t>4</w:t>
            </w:r>
            <w:r>
              <w:rPr>
                <w:color w:val="auto"/>
                <w:szCs w:val="24"/>
              </w:rPr>
              <w:t>）环</w:t>
            </w:r>
            <w:r>
              <w:rPr>
                <w:rFonts w:ascii="Times New Roman" w:hAnsi="Times New Roman" w:eastAsia="宋体" w:cs="Times New Roman"/>
                <w:color w:val="auto"/>
                <w:szCs w:val="24"/>
              </w:rPr>
              <w:t>境风险识别</w:t>
            </w:r>
          </w:p>
          <w:p w14:paraId="22AE03EC">
            <w:pPr>
              <w:pStyle w:val="18"/>
              <w:ind w:firstLine="600" w:firstLineChars="250"/>
              <w:rPr>
                <w:rFonts w:ascii="Times New Roman" w:hAnsi="Times New Roman" w:eastAsia="宋体" w:cs="Times New Roman"/>
                <w:color w:val="auto"/>
                <w:szCs w:val="24"/>
              </w:rPr>
            </w:pPr>
            <w:r>
              <w:rPr>
                <w:rFonts w:ascii="Times New Roman" w:hAnsi="Times New Roman" w:eastAsia="宋体" w:cs="Times New Roman"/>
                <w:color w:val="auto"/>
                <w:szCs w:val="24"/>
              </w:rPr>
              <w:t>1）物质危险性识别</w:t>
            </w:r>
          </w:p>
          <w:p w14:paraId="2BC786DB">
            <w:pPr>
              <w:pStyle w:val="18"/>
              <w:ind w:firstLine="600" w:firstLineChars="250"/>
              <w:rPr>
                <w:rFonts w:ascii="Times New Roman" w:hAnsi="Times New Roman" w:eastAsia="宋体" w:cs="Times New Roman"/>
                <w:color w:val="auto"/>
                <w:szCs w:val="24"/>
              </w:rPr>
            </w:pPr>
            <w:r>
              <w:rPr>
                <w:rFonts w:ascii="Times New Roman" w:hAnsi="Times New Roman" w:eastAsia="宋体" w:cs="Times New Roman"/>
                <w:color w:val="auto"/>
                <w:szCs w:val="24"/>
              </w:rPr>
              <w:t>根据《建设项目环境风险评价技术导则》（HJ169-2018）及《危险化学品重大危险源辨识》（GB18218-2018），本项目涉及的危险物质主要为</w:t>
            </w:r>
            <w:r>
              <w:rPr>
                <w:rFonts w:hint="eastAsia" w:ascii="Times New Roman" w:hAnsi="Times New Roman" w:eastAsia="宋体" w:cs="Times New Roman"/>
                <w:bCs/>
                <w:color w:val="auto"/>
                <w:sz w:val="24"/>
                <w:szCs w:val="24"/>
                <w:lang w:val="en-US" w:eastAsia="zh-CN"/>
              </w:rPr>
              <w:t>丙烷、</w:t>
            </w:r>
            <w:r>
              <w:rPr>
                <w:rFonts w:hint="eastAsia"/>
                <w:color w:val="auto"/>
                <w:sz w:val="24"/>
                <w:szCs w:val="24"/>
                <w:lang w:val="en-US" w:eastAsia="zh-CN"/>
              </w:rPr>
              <w:t>发泡主剂、发泡固化剂、水性脱模剂、制冷剂、酒精、</w:t>
            </w:r>
            <w:r>
              <w:rPr>
                <w:rFonts w:hint="eastAsia" w:ascii="Times New Roman" w:hAnsi="Times New Roman" w:eastAsia="宋体" w:cs="Times New Roman"/>
                <w:bCs/>
                <w:color w:val="auto"/>
                <w:sz w:val="24"/>
                <w:szCs w:val="24"/>
                <w:lang w:val="en-US" w:eastAsia="zh-CN"/>
              </w:rPr>
              <w:t>废抹布、手套（含酒精）、废活性炭、废包装容器</w:t>
            </w:r>
            <w:r>
              <w:rPr>
                <w:rFonts w:hint="eastAsia" w:ascii="Times New Roman" w:hAnsi="Times New Roman" w:eastAsia="宋体" w:cs="Times New Roman"/>
                <w:color w:val="auto"/>
                <w:szCs w:val="24"/>
              </w:rPr>
              <w:t>，</w:t>
            </w:r>
            <w:r>
              <w:rPr>
                <w:rFonts w:ascii="Times New Roman" w:hAnsi="Times New Roman" w:eastAsia="宋体" w:cs="Times New Roman"/>
                <w:color w:val="auto"/>
                <w:szCs w:val="24"/>
              </w:rPr>
              <w:t>存在于</w:t>
            </w:r>
            <w:r>
              <w:rPr>
                <w:rFonts w:hint="eastAsia" w:cs="Times New Roman"/>
                <w:color w:val="auto"/>
                <w:szCs w:val="24"/>
                <w:lang w:val="en-US" w:eastAsia="zh-CN"/>
              </w:rPr>
              <w:t>原料仓库、生产车间</w:t>
            </w:r>
            <w:r>
              <w:rPr>
                <w:rFonts w:hint="eastAsia" w:ascii="Times New Roman" w:hAnsi="Times New Roman" w:eastAsia="宋体" w:cs="Times New Roman"/>
                <w:color w:val="auto"/>
                <w:szCs w:val="24"/>
              </w:rPr>
              <w:t>及危废</w:t>
            </w:r>
            <w:r>
              <w:rPr>
                <w:rFonts w:hint="eastAsia" w:ascii="Times New Roman" w:hAnsi="Times New Roman" w:eastAsia="宋体" w:cs="Times New Roman"/>
                <w:color w:val="auto"/>
                <w:szCs w:val="24"/>
                <w:lang w:val="en-US" w:eastAsia="zh-CN"/>
              </w:rPr>
              <w:t>仓库</w:t>
            </w:r>
            <w:r>
              <w:rPr>
                <w:rFonts w:ascii="Times New Roman" w:hAnsi="Times New Roman" w:eastAsia="宋体" w:cs="Times New Roman"/>
                <w:color w:val="auto"/>
                <w:szCs w:val="24"/>
              </w:rPr>
              <w:t>中。</w:t>
            </w:r>
          </w:p>
          <w:p w14:paraId="0ADB86EC">
            <w:pPr>
              <w:pStyle w:val="18"/>
              <w:ind w:firstLineChars="200"/>
              <w:rPr>
                <w:color w:val="auto"/>
                <w:szCs w:val="24"/>
              </w:rPr>
            </w:pPr>
            <w:r>
              <w:rPr>
                <w:color w:val="auto"/>
                <w:szCs w:val="24"/>
              </w:rPr>
              <w:t>2</w:t>
            </w:r>
            <w:r>
              <w:rPr>
                <w:rFonts w:hint="eastAsia"/>
                <w:color w:val="auto"/>
                <w:szCs w:val="24"/>
              </w:rPr>
              <w:t>）</w:t>
            </w:r>
            <w:r>
              <w:rPr>
                <w:rFonts w:hint="eastAsia"/>
                <w:color w:val="auto"/>
                <w:szCs w:val="24"/>
                <w:lang w:val="en-US" w:eastAsia="zh-CN"/>
              </w:rPr>
              <w:t>生产</w:t>
            </w:r>
            <w:r>
              <w:rPr>
                <w:rFonts w:hint="eastAsia"/>
                <w:color w:val="auto"/>
                <w:szCs w:val="24"/>
              </w:rPr>
              <w:t>系统危险性识别</w:t>
            </w:r>
          </w:p>
          <w:p w14:paraId="34CC8C51">
            <w:pPr>
              <w:pStyle w:val="18"/>
              <w:ind w:firstLineChars="200"/>
              <w:rPr>
                <w:color w:val="auto"/>
                <w:szCs w:val="24"/>
                <w:lang w:val="zh-CN"/>
              </w:rPr>
            </w:pPr>
            <w:r>
              <w:rPr>
                <w:rFonts w:hint="eastAsia"/>
                <w:color w:val="auto"/>
                <w:szCs w:val="24"/>
                <w:lang w:val="zh-CN"/>
              </w:rPr>
              <w:t>根据本项目特点，建设项目的环境风险主要存在于储运部分，因此本次风险评价将拟建项最主要的危险性是储运物料发生泄露，在地表防渗措施不到位的情况下，物料可能渗入地表污染土壤，如果受到雨水冲刷，可能污染地下水。仓库中若违章将禁忌类物料混存、储存目的风险源将重点考虑储运工程，搬运过程中若操作不当，可因包装容器的破损造成物料的泄露引发事故。</w:t>
            </w:r>
          </w:p>
          <w:p w14:paraId="4E0BACDD">
            <w:pPr>
              <w:snapToGrid w:val="0"/>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w:t>
            </w:r>
            <w:r>
              <w:rPr>
                <w:rFonts w:hint="eastAsia" w:cs="Times New Roman"/>
                <w:bCs/>
                <w:color w:val="auto"/>
                <w:sz w:val="24"/>
                <w:szCs w:val="24"/>
                <w:lang w:val="en-US" w:eastAsia="zh-CN"/>
              </w:rPr>
              <w:t>5</w:t>
            </w:r>
            <w:r>
              <w:rPr>
                <w:rFonts w:hint="eastAsia" w:ascii="Times New Roman" w:hAnsi="Times New Roman" w:eastAsia="宋体" w:cs="Times New Roman"/>
                <w:bCs/>
                <w:color w:val="auto"/>
                <w:sz w:val="24"/>
                <w:szCs w:val="24"/>
                <w:lang w:val="en-US" w:eastAsia="zh-CN"/>
              </w:rPr>
              <w:t>）环境风险分析</w:t>
            </w:r>
          </w:p>
          <w:p w14:paraId="4CD0745E">
            <w:pPr>
              <w:snapToGrid w:val="0"/>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1）对大气环境的影响</w:t>
            </w:r>
          </w:p>
          <w:p w14:paraId="37A72251">
            <w:pPr>
              <w:snapToGrid w:val="0"/>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危险物质</w:t>
            </w:r>
            <w:r>
              <w:rPr>
                <w:rFonts w:hint="eastAsia" w:cs="Times New Roman"/>
                <w:bCs/>
                <w:color w:val="auto"/>
                <w:sz w:val="24"/>
                <w:szCs w:val="24"/>
                <w:lang w:val="en-US" w:eastAsia="zh-CN"/>
              </w:rPr>
              <w:t>泄漏</w:t>
            </w:r>
            <w:r>
              <w:rPr>
                <w:rFonts w:hint="eastAsia" w:ascii="Times New Roman" w:hAnsi="Times New Roman" w:eastAsia="宋体" w:cs="Times New Roman"/>
                <w:bCs/>
                <w:color w:val="auto"/>
                <w:sz w:val="24"/>
                <w:szCs w:val="24"/>
                <w:lang w:val="en-US" w:eastAsia="zh-CN"/>
              </w:rPr>
              <w:t>、火灾爆炸事故等引发的伴生/次生污染物排放对大气环境造成影响，项目涉及可燃液体遇明火等发生火灾、爆炸事故，引起未燃烧完全或次生的CO排放至大气环境中，对大气环境造成影响。从而造成对厂外环境敏感点和人群的影响。</w:t>
            </w:r>
          </w:p>
          <w:p w14:paraId="1683A39C">
            <w:pPr>
              <w:snapToGrid w:val="0"/>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2）对地表水环境的影响</w:t>
            </w:r>
          </w:p>
          <w:p w14:paraId="20DD1F6F">
            <w:pPr>
              <w:snapToGrid w:val="0"/>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火灾、爆炸事故发生时，风险物质燃烧生成的有害燃烧产物进入消防废水。消防废水处理不当而排入附近地表水体时，将对周边地表水环境产生污染，影响周边水体水质，进而影响水生生物的生存。</w:t>
            </w:r>
          </w:p>
          <w:p w14:paraId="49F762E9">
            <w:pPr>
              <w:snapToGrid w:val="0"/>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3）对地下水环境的影响</w:t>
            </w:r>
          </w:p>
          <w:p w14:paraId="7A54C264">
            <w:pPr>
              <w:snapToGrid w:val="0"/>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本项目风险物质</w:t>
            </w:r>
            <w:r>
              <w:rPr>
                <w:rFonts w:hint="eastAsia" w:cs="Times New Roman"/>
                <w:bCs/>
                <w:color w:val="auto"/>
                <w:sz w:val="24"/>
                <w:szCs w:val="24"/>
                <w:lang w:val="en-US" w:eastAsia="zh-CN"/>
              </w:rPr>
              <w:t>在运输过程中</w:t>
            </w:r>
            <w:r>
              <w:rPr>
                <w:rFonts w:hint="eastAsia" w:ascii="Times New Roman" w:hAnsi="Times New Roman" w:eastAsia="宋体" w:cs="Times New Roman"/>
                <w:bCs/>
                <w:color w:val="auto"/>
                <w:sz w:val="24"/>
                <w:szCs w:val="24"/>
                <w:lang w:val="en-US" w:eastAsia="zh-CN"/>
              </w:rPr>
              <w:t>由于操作不当、包装容器的破裂等原因而</w:t>
            </w:r>
            <w:r>
              <w:rPr>
                <w:rFonts w:hint="eastAsia" w:cs="Times New Roman"/>
                <w:bCs/>
                <w:color w:val="auto"/>
                <w:sz w:val="24"/>
                <w:szCs w:val="24"/>
                <w:lang w:val="en-US" w:eastAsia="zh-CN"/>
              </w:rPr>
              <w:t>泄漏</w:t>
            </w:r>
            <w:r>
              <w:rPr>
                <w:rFonts w:hint="eastAsia" w:ascii="Times New Roman" w:hAnsi="Times New Roman" w:eastAsia="宋体" w:cs="Times New Roman"/>
                <w:bCs/>
                <w:color w:val="auto"/>
                <w:sz w:val="24"/>
                <w:szCs w:val="24"/>
                <w:lang w:val="en-US" w:eastAsia="zh-CN"/>
              </w:rPr>
              <w:t>，将对地下水环境产生污染，破坏地下水环境。</w:t>
            </w:r>
          </w:p>
          <w:p w14:paraId="7B802C36">
            <w:pPr>
              <w:snapToGrid w:val="0"/>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4）对土壤环境的影响</w:t>
            </w:r>
          </w:p>
          <w:p w14:paraId="5B868718">
            <w:pPr>
              <w:snapToGrid w:val="0"/>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本项目危险物质等</w:t>
            </w:r>
            <w:r>
              <w:rPr>
                <w:rFonts w:hint="eastAsia" w:cs="Times New Roman"/>
                <w:bCs/>
                <w:color w:val="auto"/>
                <w:sz w:val="24"/>
                <w:szCs w:val="24"/>
                <w:lang w:val="en-US" w:eastAsia="zh-CN"/>
              </w:rPr>
              <w:t>在运输过程中</w:t>
            </w:r>
            <w:r>
              <w:rPr>
                <w:rFonts w:hint="eastAsia" w:ascii="Times New Roman" w:hAnsi="Times New Roman" w:eastAsia="宋体" w:cs="Times New Roman"/>
                <w:bCs/>
                <w:color w:val="auto"/>
                <w:sz w:val="24"/>
                <w:szCs w:val="24"/>
                <w:lang w:val="en-US" w:eastAsia="zh-CN"/>
              </w:rPr>
              <w:t>由于操作不当、包装容器的破裂等原因而</w:t>
            </w:r>
            <w:r>
              <w:rPr>
                <w:rFonts w:hint="eastAsia" w:cs="Times New Roman"/>
                <w:bCs/>
                <w:color w:val="auto"/>
                <w:sz w:val="24"/>
                <w:szCs w:val="24"/>
                <w:lang w:val="en-US" w:eastAsia="zh-CN"/>
              </w:rPr>
              <w:t>泄漏</w:t>
            </w:r>
            <w:r>
              <w:rPr>
                <w:rFonts w:hint="eastAsia" w:ascii="Times New Roman" w:hAnsi="Times New Roman" w:eastAsia="宋体" w:cs="Times New Roman"/>
                <w:bCs/>
                <w:color w:val="auto"/>
                <w:sz w:val="24"/>
                <w:szCs w:val="24"/>
                <w:lang w:val="en-US" w:eastAsia="zh-CN"/>
              </w:rPr>
              <w:t>，在地表防渗措施不到位的情况下，物料可能渗入地表污染土壤，破坏周边土壤环境。</w:t>
            </w:r>
          </w:p>
          <w:p w14:paraId="4F830719">
            <w:pPr>
              <w:pStyle w:val="18"/>
              <w:ind w:firstLine="482" w:firstLineChars="200"/>
              <w:rPr>
                <w:color w:val="auto"/>
                <w:szCs w:val="24"/>
              </w:rPr>
            </w:pPr>
            <w:r>
              <w:rPr>
                <w:rFonts w:hint="eastAsia"/>
                <w:b/>
                <w:bCs/>
                <w:color w:val="auto"/>
                <w:szCs w:val="24"/>
                <w:lang w:val="en-US" w:eastAsia="zh-CN"/>
              </w:rPr>
              <w:t>7</w:t>
            </w:r>
            <w:r>
              <w:rPr>
                <w:rFonts w:hint="eastAsia"/>
                <w:b/>
                <w:bCs/>
                <w:color w:val="auto"/>
                <w:szCs w:val="24"/>
              </w:rPr>
              <w:t>.2</w:t>
            </w:r>
            <w:r>
              <w:rPr>
                <w:b/>
                <w:bCs/>
                <w:color w:val="auto"/>
                <w:kern w:val="0"/>
                <w:szCs w:val="24"/>
              </w:rPr>
              <w:t>环境风险防范措施及应急要求</w:t>
            </w:r>
          </w:p>
          <w:p w14:paraId="092C2344">
            <w:pPr>
              <w:snapToGrid w:val="0"/>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1）设计中采用的安全防范措施</w:t>
            </w:r>
          </w:p>
          <w:p w14:paraId="3138813B">
            <w:pPr>
              <w:snapToGrid w:val="0"/>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设计中严格执行国家、行业有关劳动安全卫生的法规和标准规范。</w:t>
            </w:r>
          </w:p>
          <w:p w14:paraId="4B80B3C1">
            <w:pPr>
              <w:snapToGrid w:val="0"/>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①完善备用电系统。为了防止因停电而造成事故性排放的发生，必须配套完善备用电系统，采用双电路供电，瞬时切换，以保证</w:t>
            </w:r>
            <w:r>
              <w:rPr>
                <w:rFonts w:hint="eastAsia" w:cs="Times New Roman"/>
                <w:bCs/>
                <w:color w:val="auto"/>
                <w:sz w:val="24"/>
                <w:szCs w:val="24"/>
                <w:lang w:val="en-US" w:eastAsia="zh-CN"/>
              </w:rPr>
              <w:t>生产</w:t>
            </w:r>
            <w:r>
              <w:rPr>
                <w:rFonts w:hint="eastAsia" w:ascii="Times New Roman" w:hAnsi="Times New Roman" w:eastAsia="宋体" w:cs="Times New Roman"/>
                <w:bCs/>
                <w:color w:val="auto"/>
                <w:sz w:val="24"/>
                <w:szCs w:val="24"/>
                <w:lang w:val="en-US" w:eastAsia="zh-CN"/>
              </w:rPr>
              <w:t>的正常</w:t>
            </w:r>
            <w:r>
              <w:rPr>
                <w:rFonts w:hint="eastAsia" w:cs="Times New Roman"/>
                <w:bCs/>
                <w:color w:val="auto"/>
                <w:sz w:val="24"/>
                <w:szCs w:val="24"/>
                <w:lang w:val="en-US" w:eastAsia="zh-CN"/>
              </w:rPr>
              <w:t>进行</w:t>
            </w:r>
            <w:r>
              <w:rPr>
                <w:rFonts w:hint="eastAsia" w:ascii="Times New Roman" w:hAnsi="Times New Roman" w:eastAsia="宋体" w:cs="Times New Roman"/>
                <w:bCs/>
                <w:color w:val="auto"/>
                <w:sz w:val="24"/>
                <w:szCs w:val="24"/>
                <w:lang w:val="en-US" w:eastAsia="zh-CN"/>
              </w:rPr>
              <w:t>。</w:t>
            </w:r>
          </w:p>
          <w:p w14:paraId="5788723C">
            <w:pPr>
              <w:snapToGrid w:val="0"/>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②按区域分类有关规范划分危险区。危险区内安装的电器设备应按照相应的区域等级采用防爆级，所有的电气设备均应接地。对主要</w:t>
            </w:r>
            <w:r>
              <w:rPr>
                <w:rFonts w:hint="eastAsia" w:cs="Times New Roman"/>
                <w:bCs/>
                <w:color w:val="auto"/>
                <w:sz w:val="24"/>
                <w:szCs w:val="24"/>
                <w:lang w:val="en-US" w:eastAsia="zh-CN"/>
              </w:rPr>
              <w:t>生产</w:t>
            </w:r>
            <w:r>
              <w:rPr>
                <w:rFonts w:hint="eastAsia" w:ascii="Times New Roman" w:hAnsi="Times New Roman" w:eastAsia="宋体" w:cs="Times New Roman"/>
                <w:bCs/>
                <w:color w:val="auto"/>
                <w:sz w:val="24"/>
                <w:szCs w:val="24"/>
                <w:lang w:val="en-US" w:eastAsia="zh-CN"/>
              </w:rPr>
              <w:t>工段的装置采用集散控制系统，设置检测点、报警和联锁系统，提高控制水平，减少因手工操作带来的失误，确保</w:t>
            </w:r>
            <w:r>
              <w:rPr>
                <w:rFonts w:hint="eastAsia" w:cs="Times New Roman"/>
                <w:bCs/>
                <w:color w:val="auto"/>
                <w:sz w:val="24"/>
                <w:szCs w:val="24"/>
                <w:lang w:val="en-US" w:eastAsia="zh-CN"/>
              </w:rPr>
              <w:t>生产</w:t>
            </w:r>
            <w:r>
              <w:rPr>
                <w:rFonts w:hint="eastAsia" w:ascii="Times New Roman" w:hAnsi="Times New Roman" w:eastAsia="宋体" w:cs="Times New Roman"/>
                <w:bCs/>
                <w:color w:val="auto"/>
                <w:sz w:val="24"/>
                <w:szCs w:val="24"/>
                <w:lang w:val="en-US" w:eastAsia="zh-CN"/>
              </w:rPr>
              <w:t>安全进行。</w:t>
            </w:r>
          </w:p>
          <w:p w14:paraId="225DEA9F">
            <w:pPr>
              <w:snapToGrid w:val="0"/>
              <w:spacing w:line="360" w:lineRule="auto"/>
              <w:ind w:firstLine="480" w:firstLineChars="200"/>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③设备布置严格执行国家有关防火防爆的规范、规定，设备之间保证有足够的安全距离，并按要求设计消防通道。对易燃物料输装的管道、设备采取静电接地，仓库与</w:t>
            </w:r>
            <w:r>
              <w:rPr>
                <w:rFonts w:hint="eastAsia" w:cs="Times New Roman"/>
                <w:bCs/>
                <w:color w:val="auto"/>
                <w:sz w:val="24"/>
                <w:szCs w:val="24"/>
                <w:lang w:val="en-US" w:eastAsia="zh-CN"/>
              </w:rPr>
              <w:t>生产</w:t>
            </w:r>
            <w:r>
              <w:rPr>
                <w:rFonts w:hint="eastAsia" w:ascii="Times New Roman" w:hAnsi="Times New Roman" w:eastAsia="宋体" w:cs="Times New Roman"/>
                <w:bCs/>
                <w:color w:val="auto"/>
                <w:sz w:val="24"/>
                <w:szCs w:val="24"/>
                <w:lang w:val="en-US" w:eastAsia="zh-CN"/>
              </w:rPr>
              <w:t>装置的间距符合安全规定，对高大厂房设置避雷装置。</w:t>
            </w:r>
          </w:p>
          <w:p w14:paraId="5A7C280A">
            <w:pPr>
              <w:spacing w:line="360" w:lineRule="auto"/>
              <w:ind w:firstLine="480" w:firstLineChars="200"/>
              <w:rPr>
                <w:bCs/>
                <w:color w:val="FF0000"/>
                <w:sz w:val="24"/>
              </w:rPr>
            </w:pPr>
            <w:r>
              <w:rPr>
                <w:rFonts w:hint="eastAsia" w:ascii="宋体" w:hAnsi="宋体" w:cs="宋体"/>
                <w:bCs/>
                <w:color w:val="auto"/>
                <w:sz w:val="24"/>
              </w:rPr>
              <w:t>④</w:t>
            </w:r>
            <w:r>
              <w:rPr>
                <w:rFonts w:hint="eastAsia"/>
                <w:bCs/>
                <w:color w:val="auto"/>
                <w:sz w:val="24"/>
              </w:rPr>
              <w:t>对主要</w:t>
            </w:r>
            <w:r>
              <w:rPr>
                <w:rFonts w:hint="eastAsia"/>
                <w:bCs/>
                <w:color w:val="auto"/>
                <w:sz w:val="24"/>
                <w:lang w:val="en-US" w:eastAsia="zh-CN"/>
              </w:rPr>
              <w:t>生产</w:t>
            </w:r>
            <w:r>
              <w:rPr>
                <w:rFonts w:hint="eastAsia"/>
                <w:bCs/>
                <w:color w:val="auto"/>
                <w:sz w:val="24"/>
              </w:rPr>
              <w:t>工段的装置采用集散控制系统，设置检测点、报警和联锁系统，提高控制水平，减少因手工操作带来的失误，确保</w:t>
            </w:r>
            <w:r>
              <w:rPr>
                <w:rFonts w:hint="eastAsia"/>
                <w:bCs/>
                <w:color w:val="auto"/>
                <w:sz w:val="24"/>
                <w:lang w:val="en-US" w:eastAsia="zh-CN"/>
              </w:rPr>
              <w:t>生产</w:t>
            </w:r>
            <w:r>
              <w:rPr>
                <w:rFonts w:hint="eastAsia"/>
                <w:bCs/>
                <w:color w:val="auto"/>
                <w:sz w:val="24"/>
              </w:rPr>
              <w:t>安全进行。</w:t>
            </w:r>
          </w:p>
          <w:p w14:paraId="73B4F164">
            <w:pPr>
              <w:spacing w:line="360" w:lineRule="auto"/>
              <w:ind w:firstLine="480" w:firstLineChars="200"/>
              <w:rPr>
                <w:color w:val="auto"/>
                <w:sz w:val="24"/>
                <w:szCs w:val="24"/>
              </w:rPr>
            </w:pPr>
            <w:r>
              <w:rPr>
                <w:rFonts w:hint="eastAsia" w:ascii="宋体" w:hAnsi="宋体" w:cs="宋体"/>
                <w:color w:val="auto"/>
                <w:sz w:val="24"/>
                <w:szCs w:val="24"/>
              </w:rPr>
              <w:t>⑤</w:t>
            </w:r>
            <w:r>
              <w:rPr>
                <w:color w:val="auto"/>
                <w:sz w:val="24"/>
                <w:szCs w:val="24"/>
              </w:rPr>
              <w:t>事故应急池大小计算</w:t>
            </w:r>
          </w:p>
          <w:p w14:paraId="75C102F4">
            <w:pPr>
              <w:spacing w:line="360" w:lineRule="auto"/>
              <w:ind w:firstLine="480" w:firstLineChars="200"/>
              <w:rPr>
                <w:color w:val="auto"/>
                <w:sz w:val="24"/>
                <w:szCs w:val="24"/>
              </w:rPr>
            </w:pPr>
            <w:r>
              <w:rPr>
                <w:color w:val="auto"/>
                <w:sz w:val="24"/>
                <w:szCs w:val="24"/>
              </w:rPr>
              <w:t>参考事故应急池计算方法计算事故应急池容积。具体计算公式如下：</w:t>
            </w:r>
          </w:p>
          <w:p w14:paraId="29DC3466">
            <w:pPr>
              <w:spacing w:line="360" w:lineRule="auto"/>
              <w:ind w:firstLine="480" w:firstLineChars="200"/>
              <w:rPr>
                <w:color w:val="auto"/>
                <w:sz w:val="24"/>
                <w:szCs w:val="24"/>
              </w:rPr>
            </w:pPr>
            <w:r>
              <w:rPr>
                <w:color w:val="auto"/>
                <w:sz w:val="24"/>
                <w:szCs w:val="24"/>
              </w:rPr>
              <w:t>V</w:t>
            </w:r>
            <w:r>
              <w:rPr>
                <w:color w:val="auto"/>
                <w:sz w:val="24"/>
                <w:szCs w:val="24"/>
                <w:vertAlign w:val="subscript"/>
              </w:rPr>
              <w:t>a</w:t>
            </w:r>
            <w:r>
              <w:rPr>
                <w:color w:val="auto"/>
                <w:sz w:val="24"/>
                <w:szCs w:val="24"/>
              </w:rPr>
              <w:t>=</w:t>
            </w:r>
            <w:r>
              <w:rPr>
                <w:rFonts w:hint="eastAsia"/>
                <w:color w:val="auto"/>
                <w:sz w:val="24"/>
                <w:szCs w:val="24"/>
                <w:lang w:eastAsia="zh-CN"/>
              </w:rPr>
              <w:t>（</w:t>
            </w:r>
            <w:r>
              <w:rPr>
                <w:color w:val="auto"/>
                <w:sz w:val="24"/>
                <w:szCs w:val="24"/>
              </w:rPr>
              <w:t>V</w:t>
            </w:r>
            <w:r>
              <w:rPr>
                <w:color w:val="auto"/>
                <w:sz w:val="24"/>
                <w:szCs w:val="24"/>
                <w:vertAlign w:val="subscript"/>
              </w:rPr>
              <w:t>1</w:t>
            </w:r>
            <w:r>
              <w:rPr>
                <w:color w:val="auto"/>
                <w:sz w:val="24"/>
                <w:szCs w:val="24"/>
              </w:rPr>
              <w:t>+V</w:t>
            </w:r>
            <w:r>
              <w:rPr>
                <w:color w:val="auto"/>
                <w:sz w:val="24"/>
                <w:szCs w:val="24"/>
                <w:vertAlign w:val="subscript"/>
              </w:rPr>
              <w:t>2</w:t>
            </w:r>
            <w:r>
              <w:rPr>
                <w:color w:val="auto"/>
                <w:sz w:val="24"/>
                <w:szCs w:val="24"/>
              </w:rPr>
              <w:t>-V</w:t>
            </w:r>
            <w:r>
              <w:rPr>
                <w:color w:val="auto"/>
                <w:sz w:val="24"/>
                <w:szCs w:val="24"/>
                <w:vertAlign w:val="subscript"/>
              </w:rPr>
              <w:t>3</w:t>
            </w:r>
            <w:r>
              <w:rPr>
                <w:rFonts w:hint="eastAsia"/>
                <w:color w:val="auto"/>
                <w:sz w:val="24"/>
                <w:szCs w:val="24"/>
                <w:lang w:eastAsia="zh-CN"/>
              </w:rPr>
              <w:t>）</w:t>
            </w:r>
            <w:r>
              <w:rPr>
                <w:color w:val="auto"/>
                <w:sz w:val="24"/>
                <w:szCs w:val="24"/>
              </w:rPr>
              <w:t>+V</w:t>
            </w:r>
            <w:r>
              <w:rPr>
                <w:color w:val="auto"/>
                <w:sz w:val="24"/>
                <w:szCs w:val="24"/>
                <w:vertAlign w:val="subscript"/>
              </w:rPr>
              <w:t>4</w:t>
            </w:r>
            <w:r>
              <w:rPr>
                <w:color w:val="auto"/>
                <w:sz w:val="24"/>
                <w:szCs w:val="24"/>
              </w:rPr>
              <w:t>+V</w:t>
            </w:r>
            <w:r>
              <w:rPr>
                <w:color w:val="auto"/>
                <w:sz w:val="24"/>
                <w:szCs w:val="24"/>
                <w:vertAlign w:val="subscript"/>
              </w:rPr>
              <w:t>5</w:t>
            </w:r>
          </w:p>
          <w:p w14:paraId="5C6B0AC9">
            <w:pPr>
              <w:spacing w:line="360" w:lineRule="auto"/>
              <w:ind w:firstLine="480" w:firstLineChars="200"/>
              <w:rPr>
                <w:color w:val="auto"/>
                <w:sz w:val="24"/>
                <w:szCs w:val="24"/>
              </w:rPr>
            </w:pPr>
            <w:r>
              <w:rPr>
                <w:color w:val="auto"/>
                <w:sz w:val="24"/>
                <w:szCs w:val="24"/>
              </w:rPr>
              <w:t>Va：事故应急池容积，m</w:t>
            </w:r>
            <w:r>
              <w:rPr>
                <w:color w:val="auto"/>
                <w:sz w:val="24"/>
                <w:szCs w:val="24"/>
                <w:vertAlign w:val="superscript"/>
              </w:rPr>
              <w:t>3</w:t>
            </w:r>
            <w:r>
              <w:rPr>
                <w:color w:val="auto"/>
                <w:sz w:val="24"/>
                <w:szCs w:val="24"/>
              </w:rPr>
              <w:t>；</w:t>
            </w:r>
          </w:p>
          <w:p w14:paraId="561E0662">
            <w:pPr>
              <w:spacing w:line="360" w:lineRule="auto"/>
              <w:ind w:firstLine="480" w:firstLineChars="200"/>
              <w:rPr>
                <w:color w:val="auto"/>
                <w:sz w:val="24"/>
                <w:szCs w:val="24"/>
              </w:rPr>
            </w:pPr>
            <w:r>
              <w:rPr>
                <w:color w:val="auto"/>
                <w:sz w:val="24"/>
                <w:szCs w:val="24"/>
              </w:rPr>
              <w:t>V</w:t>
            </w:r>
            <w:r>
              <w:rPr>
                <w:color w:val="auto"/>
                <w:sz w:val="24"/>
                <w:szCs w:val="24"/>
                <w:vertAlign w:val="subscript"/>
              </w:rPr>
              <w:t>1</w:t>
            </w:r>
            <w:r>
              <w:rPr>
                <w:color w:val="auto"/>
                <w:sz w:val="24"/>
                <w:szCs w:val="24"/>
              </w:rPr>
              <w:t>：事故一个罐或一个装置物料量，m</w:t>
            </w:r>
            <w:r>
              <w:rPr>
                <w:color w:val="auto"/>
                <w:sz w:val="24"/>
                <w:szCs w:val="24"/>
                <w:vertAlign w:val="superscript"/>
              </w:rPr>
              <w:t>3</w:t>
            </w:r>
            <w:r>
              <w:rPr>
                <w:color w:val="auto"/>
                <w:sz w:val="24"/>
                <w:szCs w:val="24"/>
              </w:rPr>
              <w:t>；</w:t>
            </w:r>
          </w:p>
          <w:p w14:paraId="131B0756">
            <w:pPr>
              <w:spacing w:line="360" w:lineRule="auto"/>
              <w:ind w:firstLine="480" w:firstLineChars="200"/>
              <w:rPr>
                <w:color w:val="auto"/>
                <w:sz w:val="24"/>
                <w:szCs w:val="24"/>
              </w:rPr>
            </w:pPr>
            <w:r>
              <w:rPr>
                <w:color w:val="auto"/>
                <w:sz w:val="24"/>
                <w:szCs w:val="24"/>
              </w:rPr>
              <w:t>V</w:t>
            </w:r>
            <w:r>
              <w:rPr>
                <w:color w:val="auto"/>
                <w:sz w:val="24"/>
                <w:szCs w:val="24"/>
                <w:vertAlign w:val="subscript"/>
              </w:rPr>
              <w:t>2</w:t>
            </w:r>
            <w:r>
              <w:rPr>
                <w:color w:val="auto"/>
                <w:sz w:val="24"/>
                <w:szCs w:val="24"/>
              </w:rPr>
              <w:t>：事故状态下最大消防水量，m</w:t>
            </w:r>
            <w:r>
              <w:rPr>
                <w:color w:val="auto"/>
                <w:sz w:val="24"/>
                <w:szCs w:val="24"/>
                <w:vertAlign w:val="superscript"/>
              </w:rPr>
              <w:t>3</w:t>
            </w:r>
            <w:r>
              <w:rPr>
                <w:color w:val="auto"/>
                <w:sz w:val="24"/>
                <w:szCs w:val="24"/>
              </w:rPr>
              <w:t>；</w:t>
            </w:r>
          </w:p>
          <w:p w14:paraId="416BDCD2">
            <w:pPr>
              <w:spacing w:line="360" w:lineRule="auto"/>
              <w:ind w:firstLine="480" w:firstLineChars="200"/>
              <w:rPr>
                <w:color w:val="auto"/>
                <w:sz w:val="24"/>
                <w:szCs w:val="24"/>
              </w:rPr>
            </w:pPr>
            <w:r>
              <w:rPr>
                <w:color w:val="auto"/>
                <w:sz w:val="24"/>
                <w:szCs w:val="24"/>
              </w:rPr>
              <w:t>V</w:t>
            </w:r>
            <w:r>
              <w:rPr>
                <w:color w:val="auto"/>
                <w:sz w:val="24"/>
                <w:szCs w:val="24"/>
                <w:vertAlign w:val="subscript"/>
              </w:rPr>
              <w:t>3</w:t>
            </w:r>
            <w:r>
              <w:rPr>
                <w:color w:val="auto"/>
                <w:sz w:val="24"/>
                <w:szCs w:val="24"/>
              </w:rPr>
              <w:t>：事故时可以转输到其它储存或处理设施的物料量，m</w:t>
            </w:r>
            <w:r>
              <w:rPr>
                <w:color w:val="auto"/>
                <w:sz w:val="24"/>
                <w:szCs w:val="24"/>
                <w:vertAlign w:val="superscript"/>
              </w:rPr>
              <w:t>3</w:t>
            </w:r>
            <w:r>
              <w:rPr>
                <w:color w:val="auto"/>
                <w:sz w:val="24"/>
                <w:szCs w:val="24"/>
              </w:rPr>
              <w:t>；</w:t>
            </w:r>
          </w:p>
          <w:p w14:paraId="451A9EFE">
            <w:pPr>
              <w:spacing w:line="360" w:lineRule="auto"/>
              <w:ind w:firstLine="480" w:firstLineChars="200"/>
              <w:rPr>
                <w:color w:val="auto"/>
                <w:sz w:val="24"/>
                <w:szCs w:val="24"/>
              </w:rPr>
            </w:pPr>
            <w:r>
              <w:rPr>
                <w:color w:val="auto"/>
                <w:sz w:val="24"/>
                <w:szCs w:val="24"/>
              </w:rPr>
              <w:t>V</w:t>
            </w:r>
            <w:r>
              <w:rPr>
                <w:color w:val="auto"/>
                <w:sz w:val="24"/>
                <w:szCs w:val="24"/>
                <w:vertAlign w:val="subscript"/>
              </w:rPr>
              <w:t>4</w:t>
            </w:r>
            <w:r>
              <w:rPr>
                <w:color w:val="auto"/>
                <w:sz w:val="24"/>
                <w:szCs w:val="24"/>
              </w:rPr>
              <w:t>：发生事故时必须进入该收集系统的生产废水量，m</w:t>
            </w:r>
            <w:r>
              <w:rPr>
                <w:color w:val="auto"/>
                <w:sz w:val="24"/>
                <w:szCs w:val="24"/>
                <w:vertAlign w:val="superscript"/>
              </w:rPr>
              <w:t>3</w:t>
            </w:r>
            <w:r>
              <w:rPr>
                <w:color w:val="auto"/>
                <w:sz w:val="24"/>
                <w:szCs w:val="24"/>
              </w:rPr>
              <w:t>；</w:t>
            </w:r>
          </w:p>
          <w:p w14:paraId="69541EB3">
            <w:pPr>
              <w:spacing w:line="360" w:lineRule="auto"/>
              <w:ind w:firstLine="480" w:firstLineChars="200"/>
              <w:rPr>
                <w:color w:val="auto"/>
                <w:sz w:val="24"/>
                <w:szCs w:val="24"/>
              </w:rPr>
            </w:pPr>
            <w:r>
              <w:rPr>
                <w:color w:val="auto"/>
                <w:sz w:val="24"/>
                <w:szCs w:val="24"/>
              </w:rPr>
              <w:t>V</w:t>
            </w:r>
            <w:r>
              <w:rPr>
                <w:color w:val="auto"/>
                <w:sz w:val="24"/>
                <w:szCs w:val="24"/>
                <w:vertAlign w:val="subscript"/>
              </w:rPr>
              <w:t>5</w:t>
            </w:r>
            <w:r>
              <w:rPr>
                <w:color w:val="auto"/>
                <w:sz w:val="24"/>
                <w:szCs w:val="24"/>
              </w:rPr>
              <w:t>：发生事故时可能进入该收集系统的降雨量，m</w:t>
            </w:r>
            <w:r>
              <w:rPr>
                <w:color w:val="auto"/>
                <w:sz w:val="24"/>
                <w:szCs w:val="24"/>
                <w:vertAlign w:val="superscript"/>
              </w:rPr>
              <w:t>3</w:t>
            </w:r>
            <w:r>
              <w:rPr>
                <w:color w:val="auto"/>
                <w:sz w:val="24"/>
                <w:szCs w:val="24"/>
              </w:rPr>
              <w:t>。</w:t>
            </w:r>
          </w:p>
          <w:p w14:paraId="27FC7636">
            <w:pPr>
              <w:spacing w:line="360" w:lineRule="auto"/>
              <w:ind w:firstLine="480" w:firstLineChars="200"/>
              <w:rPr>
                <w:color w:val="auto"/>
                <w:sz w:val="24"/>
                <w:szCs w:val="24"/>
              </w:rPr>
            </w:pPr>
            <w:r>
              <w:rPr>
                <w:rFonts w:hint="eastAsia"/>
                <w:color w:val="auto"/>
                <w:sz w:val="24"/>
                <w:szCs w:val="24"/>
              </w:rPr>
              <w:t>[1]</w:t>
            </w:r>
            <w:r>
              <w:rPr>
                <w:color w:val="auto"/>
                <w:sz w:val="24"/>
                <w:szCs w:val="24"/>
              </w:rPr>
              <w:t>V</w:t>
            </w:r>
            <w:r>
              <w:rPr>
                <w:color w:val="auto"/>
                <w:sz w:val="24"/>
                <w:szCs w:val="24"/>
                <w:vertAlign w:val="subscript"/>
              </w:rPr>
              <w:t>1</w:t>
            </w:r>
            <w:r>
              <w:rPr>
                <w:color w:val="auto"/>
                <w:sz w:val="24"/>
                <w:szCs w:val="24"/>
              </w:rPr>
              <w:t>：V</w:t>
            </w:r>
            <w:r>
              <w:rPr>
                <w:color w:val="auto"/>
                <w:sz w:val="24"/>
                <w:szCs w:val="24"/>
                <w:vertAlign w:val="subscript"/>
              </w:rPr>
              <w:t>1</w:t>
            </w:r>
            <w:r>
              <w:rPr>
                <w:color w:val="auto"/>
                <w:sz w:val="24"/>
                <w:szCs w:val="24"/>
              </w:rPr>
              <w:t>=</w:t>
            </w:r>
            <w:r>
              <w:rPr>
                <w:rFonts w:hint="eastAsia"/>
                <w:color w:val="auto"/>
                <w:sz w:val="24"/>
                <w:szCs w:val="24"/>
              </w:rPr>
              <w:t>0</w:t>
            </w:r>
            <w:r>
              <w:rPr>
                <w:color w:val="auto"/>
                <w:sz w:val="24"/>
                <w:szCs w:val="24"/>
              </w:rPr>
              <w:t>m</w:t>
            </w:r>
            <w:r>
              <w:rPr>
                <w:color w:val="auto"/>
                <w:sz w:val="24"/>
                <w:szCs w:val="24"/>
                <w:vertAlign w:val="superscript"/>
              </w:rPr>
              <w:t>3</w:t>
            </w:r>
            <w:r>
              <w:rPr>
                <w:color w:val="auto"/>
                <w:sz w:val="24"/>
                <w:szCs w:val="24"/>
              </w:rPr>
              <w:t>；</w:t>
            </w:r>
          </w:p>
          <w:p w14:paraId="54EADEC9">
            <w:pPr>
              <w:spacing w:line="360" w:lineRule="auto"/>
              <w:ind w:firstLine="480" w:firstLineChars="200"/>
              <w:rPr>
                <w:color w:val="auto"/>
                <w:sz w:val="24"/>
                <w:szCs w:val="24"/>
              </w:rPr>
            </w:pPr>
            <w:r>
              <w:rPr>
                <w:rFonts w:hint="eastAsia"/>
                <w:color w:val="auto"/>
                <w:sz w:val="24"/>
                <w:szCs w:val="24"/>
              </w:rPr>
              <w:t>[2]</w:t>
            </w:r>
            <w:r>
              <w:rPr>
                <w:color w:val="auto"/>
                <w:sz w:val="24"/>
                <w:szCs w:val="24"/>
              </w:rPr>
              <w:t>V</w:t>
            </w:r>
            <w:r>
              <w:rPr>
                <w:color w:val="auto"/>
                <w:sz w:val="24"/>
                <w:szCs w:val="24"/>
                <w:vertAlign w:val="subscript"/>
              </w:rPr>
              <w:t>2</w:t>
            </w:r>
            <w:r>
              <w:rPr>
                <w:color w:val="auto"/>
                <w:sz w:val="24"/>
                <w:szCs w:val="24"/>
              </w:rPr>
              <w:t>：根据GB50974-2014《消防给水及消火栓系统技术规范》</w:t>
            </w:r>
            <w:r>
              <w:rPr>
                <w:rFonts w:hint="eastAsia"/>
                <w:color w:val="auto"/>
                <w:sz w:val="24"/>
                <w:szCs w:val="24"/>
              </w:rPr>
              <w:t>，</w:t>
            </w:r>
            <w:r>
              <w:rPr>
                <w:color w:val="auto"/>
                <w:sz w:val="24"/>
                <w:szCs w:val="24"/>
              </w:rPr>
              <w:t>使用厂区室外消防用水量为</w:t>
            </w:r>
            <w:r>
              <w:rPr>
                <w:rFonts w:hint="eastAsia"/>
                <w:color w:val="auto"/>
                <w:sz w:val="24"/>
                <w:szCs w:val="24"/>
                <w:lang w:val="en-US" w:eastAsia="zh-CN"/>
              </w:rPr>
              <w:t>2</w:t>
            </w:r>
            <w:r>
              <w:rPr>
                <w:color w:val="auto"/>
                <w:sz w:val="24"/>
                <w:szCs w:val="24"/>
              </w:rPr>
              <w:t>0L/s，假设火灾持续灭火时间为</w:t>
            </w:r>
            <w:r>
              <w:rPr>
                <w:rFonts w:hint="eastAsia"/>
                <w:color w:val="auto"/>
                <w:sz w:val="24"/>
                <w:szCs w:val="24"/>
                <w:lang w:val="en-US" w:eastAsia="zh-CN"/>
              </w:rPr>
              <w:t>2</w:t>
            </w:r>
            <w:r>
              <w:rPr>
                <w:color w:val="auto"/>
                <w:sz w:val="24"/>
                <w:szCs w:val="24"/>
              </w:rPr>
              <w:t>h，则发生一次火灾时厂房室外消防用水量为：V</w:t>
            </w:r>
            <w:r>
              <w:rPr>
                <w:color w:val="auto"/>
                <w:sz w:val="24"/>
                <w:szCs w:val="24"/>
                <w:vertAlign w:val="subscript"/>
              </w:rPr>
              <w:t>2</w:t>
            </w:r>
            <w:r>
              <w:rPr>
                <w:color w:val="auto"/>
                <w:sz w:val="24"/>
                <w:szCs w:val="24"/>
              </w:rPr>
              <w:t>=</w:t>
            </w:r>
            <w:r>
              <w:rPr>
                <w:rFonts w:hint="eastAsia"/>
                <w:color w:val="auto"/>
                <w:sz w:val="24"/>
                <w:szCs w:val="24"/>
                <w:lang w:val="en-US" w:eastAsia="zh-CN"/>
              </w:rPr>
              <w:t>2</w:t>
            </w:r>
            <w:r>
              <w:rPr>
                <w:color w:val="auto"/>
                <w:sz w:val="24"/>
                <w:szCs w:val="24"/>
              </w:rPr>
              <w:t>0×3600×</w:t>
            </w:r>
            <w:r>
              <w:rPr>
                <w:rFonts w:hint="eastAsia"/>
                <w:color w:val="auto"/>
                <w:sz w:val="24"/>
                <w:szCs w:val="24"/>
                <w:lang w:val="en-US" w:eastAsia="zh-CN"/>
              </w:rPr>
              <w:t>2</w:t>
            </w:r>
            <w:r>
              <w:rPr>
                <w:color w:val="auto"/>
                <w:sz w:val="24"/>
                <w:szCs w:val="24"/>
              </w:rPr>
              <w:t>×10</w:t>
            </w:r>
            <w:r>
              <w:rPr>
                <w:color w:val="auto"/>
                <w:sz w:val="24"/>
                <w:szCs w:val="24"/>
                <w:vertAlign w:val="superscript"/>
              </w:rPr>
              <w:t>-3</w:t>
            </w:r>
            <w:r>
              <w:rPr>
                <w:rFonts w:hint="eastAsia"/>
                <w:color w:val="auto"/>
                <w:sz w:val="24"/>
                <w:szCs w:val="24"/>
                <w:vertAlign w:val="baseline"/>
                <w:lang w:val="en-US" w:eastAsia="zh-CN"/>
              </w:rPr>
              <w:t>=</w:t>
            </w:r>
            <w:r>
              <w:rPr>
                <w:rFonts w:hint="eastAsia"/>
                <w:color w:val="auto"/>
                <w:sz w:val="24"/>
                <w:szCs w:val="24"/>
                <w:lang w:val="en-US" w:eastAsia="zh-CN"/>
              </w:rPr>
              <w:t>144</w:t>
            </w:r>
            <w:r>
              <w:rPr>
                <w:color w:val="auto"/>
                <w:sz w:val="24"/>
                <w:szCs w:val="24"/>
              </w:rPr>
              <w:t>m³</w:t>
            </w:r>
          </w:p>
          <w:p w14:paraId="39C36E3B">
            <w:pPr>
              <w:spacing w:line="360" w:lineRule="auto"/>
              <w:ind w:firstLine="480" w:firstLineChars="200"/>
              <w:rPr>
                <w:color w:val="auto"/>
                <w:sz w:val="24"/>
                <w:szCs w:val="24"/>
              </w:rPr>
            </w:pPr>
            <w:r>
              <w:rPr>
                <w:rFonts w:hint="eastAsia"/>
                <w:color w:val="auto"/>
                <w:sz w:val="24"/>
                <w:szCs w:val="24"/>
              </w:rPr>
              <w:t>[3]</w:t>
            </w:r>
            <w:r>
              <w:rPr>
                <w:color w:val="auto"/>
                <w:sz w:val="24"/>
                <w:szCs w:val="24"/>
              </w:rPr>
              <w:t>V</w:t>
            </w:r>
            <w:r>
              <w:rPr>
                <w:color w:val="auto"/>
                <w:sz w:val="24"/>
                <w:szCs w:val="24"/>
                <w:vertAlign w:val="subscript"/>
              </w:rPr>
              <w:t>3</w:t>
            </w:r>
            <w:r>
              <w:rPr>
                <w:color w:val="auto"/>
                <w:sz w:val="24"/>
                <w:szCs w:val="24"/>
              </w:rPr>
              <w:t>：事故时可以转输到生产废水预处理系统、雨水管网（雨水管采用PVC管道，雨水井已采用混凝土硬化，防渗性能可满足要求）等收集事故废水，</w:t>
            </w:r>
            <w:r>
              <w:rPr>
                <w:rFonts w:hint="eastAsia"/>
                <w:color w:val="auto"/>
                <w:sz w:val="24"/>
                <w:szCs w:val="24"/>
                <w:lang w:val="en-US" w:eastAsia="zh-CN"/>
              </w:rPr>
              <w:t>厂区</w:t>
            </w:r>
            <w:r>
              <w:rPr>
                <w:rFonts w:hint="eastAsia"/>
                <w:color w:val="auto"/>
                <w:sz w:val="24"/>
                <w:szCs w:val="24"/>
              </w:rPr>
              <w:t>雨水管道直径为</w:t>
            </w:r>
            <w:r>
              <w:rPr>
                <w:rFonts w:hint="eastAsia"/>
                <w:color w:val="auto"/>
                <w:sz w:val="24"/>
                <w:szCs w:val="24"/>
                <w:lang w:val="en-US" w:eastAsia="zh-CN"/>
              </w:rPr>
              <w:t>6</w:t>
            </w:r>
            <w:r>
              <w:rPr>
                <w:rFonts w:hint="eastAsia"/>
                <w:color w:val="auto"/>
                <w:sz w:val="24"/>
                <w:szCs w:val="24"/>
              </w:rPr>
              <w:t>00mm，雨水管道总长约为</w:t>
            </w:r>
            <w:r>
              <w:rPr>
                <w:rFonts w:hint="eastAsia"/>
                <w:color w:val="auto"/>
                <w:sz w:val="24"/>
                <w:szCs w:val="24"/>
                <w:lang w:val="en-US" w:eastAsia="zh-CN"/>
              </w:rPr>
              <w:t>56</w:t>
            </w:r>
            <w:r>
              <w:rPr>
                <w:rFonts w:hint="eastAsia"/>
                <w:color w:val="auto"/>
                <w:sz w:val="24"/>
                <w:szCs w:val="24"/>
              </w:rPr>
              <w:t>0m，事故状态下对雨水管网的占用量应不超过雨水管网总容量的20%，则事故废水导排管容量</w:t>
            </w:r>
            <w:r>
              <w:rPr>
                <w:color w:val="auto"/>
                <w:sz w:val="24"/>
                <w:szCs w:val="24"/>
              </w:rPr>
              <w:t>V</w:t>
            </w:r>
            <w:r>
              <w:rPr>
                <w:color w:val="auto"/>
                <w:sz w:val="24"/>
                <w:szCs w:val="24"/>
                <w:vertAlign w:val="subscript"/>
              </w:rPr>
              <w:t>3</w:t>
            </w:r>
            <w:r>
              <w:rPr>
                <w:color w:val="auto"/>
                <w:sz w:val="24"/>
                <w:szCs w:val="24"/>
              </w:rPr>
              <w:t>=</w:t>
            </w:r>
            <w:r>
              <w:rPr>
                <w:rFonts w:hint="eastAsia"/>
                <w:color w:val="auto"/>
                <w:sz w:val="24"/>
                <w:szCs w:val="24"/>
                <w:lang w:val="en-US" w:eastAsia="zh-CN"/>
              </w:rPr>
              <w:t>31.65</w:t>
            </w:r>
            <w:r>
              <w:rPr>
                <w:color w:val="auto"/>
                <w:sz w:val="24"/>
                <w:szCs w:val="24"/>
              </w:rPr>
              <w:t>m</w:t>
            </w:r>
            <w:r>
              <w:rPr>
                <w:color w:val="auto"/>
                <w:sz w:val="24"/>
                <w:szCs w:val="24"/>
                <w:vertAlign w:val="superscript"/>
              </w:rPr>
              <w:t>3</w:t>
            </w:r>
            <w:r>
              <w:rPr>
                <w:color w:val="auto"/>
                <w:sz w:val="24"/>
                <w:szCs w:val="24"/>
              </w:rPr>
              <w:t>；</w:t>
            </w:r>
          </w:p>
          <w:p w14:paraId="6773C0CB">
            <w:pPr>
              <w:spacing w:line="360" w:lineRule="auto"/>
              <w:ind w:firstLine="480" w:firstLineChars="200"/>
              <w:rPr>
                <w:color w:val="auto"/>
                <w:sz w:val="24"/>
                <w:szCs w:val="24"/>
              </w:rPr>
            </w:pPr>
            <w:r>
              <w:rPr>
                <w:rFonts w:hint="eastAsia"/>
                <w:color w:val="auto"/>
                <w:sz w:val="24"/>
                <w:szCs w:val="24"/>
              </w:rPr>
              <w:t>[4]</w:t>
            </w:r>
            <w:r>
              <w:rPr>
                <w:color w:val="auto"/>
                <w:sz w:val="24"/>
                <w:szCs w:val="24"/>
              </w:rPr>
              <w:t>V</w:t>
            </w:r>
            <w:r>
              <w:rPr>
                <w:color w:val="auto"/>
                <w:sz w:val="24"/>
                <w:szCs w:val="24"/>
                <w:vertAlign w:val="subscript"/>
              </w:rPr>
              <w:t>4</w:t>
            </w:r>
            <w:r>
              <w:rPr>
                <w:color w:val="auto"/>
                <w:sz w:val="24"/>
                <w:szCs w:val="24"/>
              </w:rPr>
              <w:t>：无生产废水进入事故应急池，故V</w:t>
            </w:r>
            <w:r>
              <w:rPr>
                <w:color w:val="auto"/>
                <w:sz w:val="24"/>
                <w:szCs w:val="24"/>
                <w:vertAlign w:val="subscript"/>
              </w:rPr>
              <w:t>4</w:t>
            </w:r>
            <w:r>
              <w:rPr>
                <w:color w:val="auto"/>
                <w:sz w:val="24"/>
                <w:szCs w:val="24"/>
              </w:rPr>
              <w:t>=0m</w:t>
            </w:r>
            <w:r>
              <w:rPr>
                <w:color w:val="auto"/>
                <w:sz w:val="24"/>
                <w:szCs w:val="24"/>
                <w:vertAlign w:val="superscript"/>
              </w:rPr>
              <w:t>3</w:t>
            </w:r>
            <w:r>
              <w:rPr>
                <w:color w:val="auto"/>
                <w:sz w:val="24"/>
                <w:szCs w:val="24"/>
              </w:rPr>
              <w:t>；</w:t>
            </w:r>
          </w:p>
          <w:p w14:paraId="70F538A3">
            <w:pPr>
              <w:spacing w:line="360" w:lineRule="auto"/>
              <w:ind w:firstLine="480" w:firstLineChars="200"/>
              <w:rPr>
                <w:color w:val="auto"/>
                <w:sz w:val="24"/>
                <w:szCs w:val="24"/>
              </w:rPr>
            </w:pPr>
            <w:r>
              <w:rPr>
                <w:rFonts w:hint="eastAsia"/>
                <w:color w:val="auto"/>
                <w:sz w:val="24"/>
                <w:szCs w:val="24"/>
              </w:rPr>
              <w:t>[5]</w:t>
            </w:r>
            <w:r>
              <w:rPr>
                <w:color w:val="auto"/>
                <w:sz w:val="24"/>
                <w:szCs w:val="24"/>
              </w:rPr>
              <w:t>V</w:t>
            </w:r>
            <w:r>
              <w:rPr>
                <w:color w:val="auto"/>
                <w:sz w:val="24"/>
                <w:szCs w:val="24"/>
                <w:vertAlign w:val="subscript"/>
              </w:rPr>
              <w:t>5</w:t>
            </w:r>
            <w:r>
              <w:rPr>
                <w:color w:val="auto"/>
                <w:sz w:val="24"/>
                <w:szCs w:val="24"/>
              </w:rPr>
              <w:t>：常州</w:t>
            </w:r>
            <w:r>
              <w:rPr>
                <w:rFonts w:hint="eastAsia"/>
                <w:color w:val="auto"/>
                <w:sz w:val="24"/>
                <w:szCs w:val="24"/>
              </w:rPr>
              <w:t>历年年</w:t>
            </w:r>
            <w:r>
              <w:rPr>
                <w:color w:val="auto"/>
                <w:sz w:val="24"/>
                <w:szCs w:val="24"/>
              </w:rPr>
              <w:t>平均降雨量1</w:t>
            </w:r>
            <w:r>
              <w:rPr>
                <w:rFonts w:hint="eastAsia"/>
                <w:color w:val="auto"/>
                <w:sz w:val="24"/>
                <w:szCs w:val="24"/>
              </w:rPr>
              <w:t>100</w:t>
            </w:r>
            <w:r>
              <w:rPr>
                <w:color w:val="auto"/>
                <w:sz w:val="24"/>
                <w:szCs w:val="24"/>
              </w:rPr>
              <w:t>mm</w:t>
            </w:r>
            <w:r>
              <w:rPr>
                <w:rFonts w:hint="eastAsia"/>
                <w:color w:val="auto"/>
                <w:sz w:val="24"/>
                <w:szCs w:val="24"/>
              </w:rPr>
              <w:t>，</w:t>
            </w:r>
            <w:r>
              <w:rPr>
                <w:color w:val="auto"/>
                <w:sz w:val="24"/>
                <w:szCs w:val="24"/>
              </w:rPr>
              <w:t>日</w:t>
            </w:r>
            <w:r>
              <w:rPr>
                <w:rFonts w:hint="eastAsia"/>
                <w:color w:val="auto"/>
                <w:sz w:val="24"/>
                <w:szCs w:val="24"/>
              </w:rPr>
              <w:t>平均</w:t>
            </w:r>
            <w:r>
              <w:rPr>
                <w:color w:val="auto"/>
                <w:sz w:val="24"/>
                <w:szCs w:val="24"/>
              </w:rPr>
              <w:t>降雨量q＝</w:t>
            </w:r>
            <w:r>
              <w:rPr>
                <w:rFonts w:hint="eastAsia"/>
                <w:color w:val="auto"/>
                <w:sz w:val="24"/>
                <w:szCs w:val="24"/>
              </w:rPr>
              <w:t>3</w:t>
            </w:r>
            <w:r>
              <w:rPr>
                <w:color w:val="auto"/>
                <w:sz w:val="24"/>
                <w:szCs w:val="24"/>
              </w:rPr>
              <w:t>mm，事故状态下</w:t>
            </w:r>
            <w:r>
              <w:rPr>
                <w:rFonts w:hint="eastAsia"/>
                <w:color w:val="auto"/>
                <w:sz w:val="24"/>
                <w:szCs w:val="24"/>
              </w:rPr>
              <w:t>污染区有效汇水面积约F=0.</w:t>
            </w:r>
            <w:r>
              <w:rPr>
                <w:rFonts w:hint="eastAsia"/>
                <w:color w:val="auto"/>
                <w:sz w:val="24"/>
                <w:szCs w:val="24"/>
                <w:lang w:val="en-US" w:eastAsia="zh-CN"/>
              </w:rPr>
              <w:t>5</w:t>
            </w:r>
            <w:r>
              <w:rPr>
                <w:rFonts w:hint="eastAsia"/>
                <w:color w:val="auto"/>
                <w:sz w:val="24"/>
                <w:szCs w:val="24"/>
              </w:rPr>
              <w:t>ha，</w:t>
            </w:r>
            <w:r>
              <w:rPr>
                <w:color w:val="auto"/>
                <w:sz w:val="24"/>
                <w:szCs w:val="24"/>
              </w:rPr>
              <w:t>V</w:t>
            </w:r>
            <w:r>
              <w:rPr>
                <w:color w:val="auto"/>
                <w:sz w:val="24"/>
                <w:szCs w:val="24"/>
                <w:vertAlign w:val="subscript"/>
              </w:rPr>
              <w:t>5</w:t>
            </w:r>
            <w:r>
              <w:rPr>
                <w:color w:val="auto"/>
                <w:sz w:val="24"/>
                <w:szCs w:val="24"/>
              </w:rPr>
              <w:t>＝10qF</w:t>
            </w:r>
            <w:r>
              <w:rPr>
                <w:rFonts w:hint="eastAsia"/>
                <w:color w:val="auto"/>
                <w:sz w:val="24"/>
                <w:szCs w:val="24"/>
              </w:rPr>
              <w:t>=</w:t>
            </w:r>
            <w:r>
              <w:rPr>
                <w:rFonts w:hint="eastAsia"/>
                <w:color w:val="auto"/>
                <w:sz w:val="24"/>
                <w:szCs w:val="24"/>
                <w:lang w:val="en-US" w:eastAsia="zh-CN"/>
              </w:rPr>
              <w:t>15</w:t>
            </w:r>
            <w:r>
              <w:rPr>
                <w:color w:val="auto"/>
                <w:sz w:val="24"/>
                <w:szCs w:val="24"/>
              </w:rPr>
              <w:t>m</w:t>
            </w:r>
            <w:r>
              <w:rPr>
                <w:color w:val="auto"/>
                <w:sz w:val="24"/>
                <w:szCs w:val="24"/>
                <w:vertAlign w:val="superscript"/>
              </w:rPr>
              <w:t>3</w:t>
            </w:r>
            <w:r>
              <w:rPr>
                <w:color w:val="auto"/>
                <w:sz w:val="24"/>
                <w:szCs w:val="24"/>
              </w:rPr>
              <w:t>；</w:t>
            </w:r>
          </w:p>
          <w:p w14:paraId="141417B8">
            <w:pPr>
              <w:spacing w:line="360" w:lineRule="auto"/>
              <w:ind w:firstLine="480" w:firstLineChars="200"/>
              <w:rPr>
                <w:color w:val="auto"/>
                <w:sz w:val="24"/>
                <w:szCs w:val="24"/>
              </w:rPr>
            </w:pPr>
            <w:r>
              <w:rPr>
                <w:color w:val="auto"/>
                <w:sz w:val="24"/>
                <w:szCs w:val="24"/>
              </w:rPr>
              <w:t>q——降雨强度，mm；</w:t>
            </w:r>
          </w:p>
          <w:p w14:paraId="50EBF602">
            <w:pPr>
              <w:spacing w:line="360" w:lineRule="auto"/>
              <w:ind w:firstLine="480" w:firstLineChars="200"/>
              <w:rPr>
                <w:color w:val="auto"/>
                <w:sz w:val="24"/>
                <w:szCs w:val="24"/>
              </w:rPr>
            </w:pPr>
            <w:r>
              <w:rPr>
                <w:color w:val="auto"/>
                <w:sz w:val="24"/>
                <w:szCs w:val="24"/>
              </w:rPr>
              <w:t>F——必须进入事故废水收集系统的雨水汇水面积，ha。</w:t>
            </w:r>
          </w:p>
          <w:p w14:paraId="1A9FAD58">
            <w:pPr>
              <w:spacing w:line="360" w:lineRule="auto"/>
              <w:ind w:firstLine="480" w:firstLineChars="200"/>
              <w:rPr>
                <w:color w:val="auto"/>
                <w:sz w:val="24"/>
                <w:szCs w:val="24"/>
              </w:rPr>
            </w:pPr>
            <w:r>
              <w:rPr>
                <w:rFonts w:hint="eastAsia"/>
                <w:color w:val="auto"/>
                <w:sz w:val="24"/>
                <w:szCs w:val="24"/>
              </w:rPr>
              <w:t>[6]</w:t>
            </w:r>
            <w:r>
              <w:rPr>
                <w:color w:val="auto"/>
                <w:sz w:val="24"/>
                <w:szCs w:val="24"/>
              </w:rPr>
              <w:t>事故池容量</w:t>
            </w:r>
          </w:p>
          <w:p w14:paraId="466D19BB">
            <w:pPr>
              <w:spacing w:line="360" w:lineRule="auto"/>
              <w:ind w:firstLine="480" w:firstLineChars="200"/>
              <w:rPr>
                <w:color w:val="auto"/>
                <w:sz w:val="24"/>
                <w:szCs w:val="24"/>
              </w:rPr>
            </w:pPr>
            <w:r>
              <w:rPr>
                <w:color w:val="auto"/>
                <w:sz w:val="24"/>
                <w:szCs w:val="24"/>
              </w:rPr>
              <w:t>V</w:t>
            </w:r>
            <w:r>
              <w:rPr>
                <w:color w:val="auto"/>
                <w:sz w:val="24"/>
                <w:szCs w:val="24"/>
                <w:vertAlign w:val="subscript"/>
              </w:rPr>
              <w:t>总</w:t>
            </w:r>
            <w:r>
              <w:rPr>
                <w:color w:val="auto"/>
                <w:sz w:val="24"/>
                <w:szCs w:val="24"/>
              </w:rPr>
              <w:t>=（V</w:t>
            </w:r>
            <w:r>
              <w:rPr>
                <w:color w:val="auto"/>
                <w:sz w:val="24"/>
                <w:szCs w:val="24"/>
                <w:vertAlign w:val="subscript"/>
              </w:rPr>
              <w:t>1</w:t>
            </w:r>
            <w:r>
              <w:rPr>
                <w:color w:val="auto"/>
                <w:sz w:val="24"/>
                <w:szCs w:val="24"/>
              </w:rPr>
              <w:t>+V</w:t>
            </w:r>
            <w:r>
              <w:rPr>
                <w:color w:val="auto"/>
                <w:sz w:val="24"/>
                <w:szCs w:val="24"/>
                <w:vertAlign w:val="subscript"/>
              </w:rPr>
              <w:t>2</w:t>
            </w:r>
            <w:r>
              <w:rPr>
                <w:color w:val="auto"/>
                <w:sz w:val="24"/>
                <w:szCs w:val="24"/>
              </w:rPr>
              <w:t>-V</w:t>
            </w:r>
            <w:r>
              <w:rPr>
                <w:color w:val="auto"/>
                <w:sz w:val="24"/>
                <w:szCs w:val="24"/>
                <w:vertAlign w:val="subscript"/>
              </w:rPr>
              <w:t>3</w:t>
            </w:r>
            <w:r>
              <w:rPr>
                <w:color w:val="auto"/>
                <w:sz w:val="24"/>
                <w:szCs w:val="24"/>
              </w:rPr>
              <w:t>）+V</w:t>
            </w:r>
            <w:r>
              <w:rPr>
                <w:color w:val="auto"/>
                <w:sz w:val="24"/>
                <w:szCs w:val="24"/>
                <w:vertAlign w:val="subscript"/>
              </w:rPr>
              <w:t>4</w:t>
            </w:r>
            <w:r>
              <w:rPr>
                <w:color w:val="auto"/>
                <w:sz w:val="24"/>
                <w:szCs w:val="24"/>
              </w:rPr>
              <w:t>+V</w:t>
            </w:r>
            <w:r>
              <w:rPr>
                <w:color w:val="auto"/>
                <w:sz w:val="24"/>
                <w:szCs w:val="24"/>
                <w:vertAlign w:val="subscript"/>
              </w:rPr>
              <w:t>5</w:t>
            </w:r>
            <w:r>
              <w:rPr>
                <w:color w:val="auto"/>
                <w:sz w:val="24"/>
                <w:szCs w:val="24"/>
              </w:rPr>
              <w:t>=（</w:t>
            </w:r>
            <w:r>
              <w:rPr>
                <w:rFonts w:hint="eastAsia"/>
                <w:color w:val="auto"/>
                <w:sz w:val="24"/>
                <w:szCs w:val="24"/>
              </w:rPr>
              <w:t>0</w:t>
            </w:r>
            <w:r>
              <w:rPr>
                <w:color w:val="auto"/>
                <w:sz w:val="24"/>
                <w:szCs w:val="24"/>
              </w:rPr>
              <w:t>+</w:t>
            </w:r>
            <w:r>
              <w:rPr>
                <w:rFonts w:hint="eastAsia"/>
                <w:color w:val="auto"/>
                <w:sz w:val="24"/>
                <w:szCs w:val="24"/>
                <w:lang w:val="en-US" w:eastAsia="zh-CN"/>
              </w:rPr>
              <w:t>144</w:t>
            </w:r>
            <w:r>
              <w:rPr>
                <w:color w:val="auto"/>
                <w:sz w:val="24"/>
                <w:szCs w:val="24"/>
              </w:rPr>
              <w:t>-</w:t>
            </w:r>
            <w:r>
              <w:rPr>
                <w:rFonts w:hint="eastAsia"/>
                <w:color w:val="auto"/>
                <w:sz w:val="24"/>
                <w:szCs w:val="24"/>
                <w:lang w:val="en-US" w:eastAsia="zh-CN"/>
              </w:rPr>
              <w:t>31.65</w:t>
            </w:r>
            <w:r>
              <w:rPr>
                <w:color w:val="auto"/>
                <w:sz w:val="24"/>
                <w:szCs w:val="24"/>
              </w:rPr>
              <w:t>）+0+</w:t>
            </w:r>
            <w:r>
              <w:rPr>
                <w:rFonts w:hint="eastAsia"/>
                <w:color w:val="auto"/>
                <w:sz w:val="24"/>
                <w:szCs w:val="24"/>
                <w:lang w:val="en-US" w:eastAsia="zh-CN"/>
              </w:rPr>
              <w:t>15</w:t>
            </w:r>
            <w:r>
              <w:rPr>
                <w:color w:val="auto"/>
                <w:sz w:val="24"/>
                <w:szCs w:val="24"/>
              </w:rPr>
              <w:t>=</w:t>
            </w:r>
            <w:r>
              <w:rPr>
                <w:rFonts w:hint="eastAsia"/>
                <w:color w:val="auto"/>
                <w:sz w:val="24"/>
                <w:szCs w:val="24"/>
                <w:lang w:val="en-US" w:eastAsia="zh-CN"/>
              </w:rPr>
              <w:t>127.35</w:t>
            </w:r>
            <w:r>
              <w:rPr>
                <w:color w:val="auto"/>
                <w:sz w:val="24"/>
                <w:szCs w:val="24"/>
              </w:rPr>
              <w:t>m</w:t>
            </w:r>
            <w:r>
              <w:rPr>
                <w:color w:val="auto"/>
                <w:sz w:val="24"/>
                <w:szCs w:val="24"/>
                <w:vertAlign w:val="superscript"/>
              </w:rPr>
              <w:t>3</w:t>
            </w:r>
          </w:p>
          <w:p w14:paraId="2121C375">
            <w:pPr>
              <w:spacing w:line="360" w:lineRule="auto"/>
              <w:ind w:firstLine="480" w:firstLineChars="200"/>
              <w:rPr>
                <w:color w:val="auto"/>
                <w:sz w:val="24"/>
                <w:szCs w:val="24"/>
              </w:rPr>
            </w:pPr>
            <w:r>
              <w:rPr>
                <w:rFonts w:hint="eastAsia"/>
                <w:color w:val="auto"/>
                <w:sz w:val="24"/>
                <w:szCs w:val="24"/>
                <w:lang w:val="en-US" w:eastAsia="zh-CN"/>
              </w:rPr>
              <w:t>园区</w:t>
            </w:r>
            <w:r>
              <w:rPr>
                <w:color w:val="auto"/>
                <w:sz w:val="24"/>
                <w:szCs w:val="24"/>
              </w:rPr>
              <w:t>设置</w:t>
            </w:r>
            <w:r>
              <w:rPr>
                <w:rFonts w:hint="eastAsia"/>
                <w:color w:val="auto"/>
                <w:sz w:val="24"/>
                <w:szCs w:val="24"/>
                <w:lang w:val="en-US" w:eastAsia="zh-CN"/>
              </w:rPr>
              <w:t>两</w:t>
            </w:r>
            <w:r>
              <w:rPr>
                <w:color w:val="auto"/>
                <w:sz w:val="24"/>
                <w:szCs w:val="24"/>
              </w:rPr>
              <w:t>座</w:t>
            </w:r>
            <w:r>
              <w:rPr>
                <w:rFonts w:hint="eastAsia"/>
                <w:color w:val="auto"/>
                <w:sz w:val="24"/>
                <w:szCs w:val="24"/>
                <w:lang w:val="en-US" w:eastAsia="zh-CN"/>
              </w:rPr>
              <w:t>300</w:t>
            </w:r>
            <w:r>
              <w:rPr>
                <w:color w:val="auto"/>
                <w:sz w:val="24"/>
                <w:szCs w:val="24"/>
              </w:rPr>
              <w:t>m</w:t>
            </w:r>
            <w:r>
              <w:rPr>
                <w:rFonts w:hint="eastAsia"/>
                <w:color w:val="auto"/>
                <w:sz w:val="24"/>
                <w:szCs w:val="24"/>
                <w:vertAlign w:val="superscript"/>
              </w:rPr>
              <w:t>3</w:t>
            </w:r>
            <w:r>
              <w:rPr>
                <w:rFonts w:hint="eastAsia"/>
                <w:color w:val="auto"/>
                <w:sz w:val="24"/>
                <w:szCs w:val="24"/>
                <w:vertAlign w:val="baseline"/>
                <w:lang w:val="en-US" w:eastAsia="zh-CN"/>
              </w:rPr>
              <w:t>的</w:t>
            </w:r>
            <w:r>
              <w:rPr>
                <w:color w:val="auto"/>
                <w:sz w:val="24"/>
                <w:szCs w:val="24"/>
              </w:rPr>
              <w:t>事故应急池，</w:t>
            </w:r>
            <w:r>
              <w:rPr>
                <w:rFonts w:hint="eastAsia"/>
                <w:color w:val="auto"/>
                <w:sz w:val="24"/>
                <w:szCs w:val="24"/>
                <w:lang w:val="en-US" w:eastAsia="zh-CN"/>
              </w:rPr>
              <w:t>共600m</w:t>
            </w:r>
            <w:r>
              <w:rPr>
                <w:rFonts w:hint="eastAsia"/>
                <w:color w:val="auto"/>
                <w:sz w:val="24"/>
                <w:szCs w:val="24"/>
                <w:vertAlign w:val="superscript"/>
                <w:lang w:val="en-US" w:eastAsia="zh-CN"/>
              </w:rPr>
              <w:t>3</w:t>
            </w:r>
            <w:r>
              <w:rPr>
                <w:rFonts w:hint="eastAsia"/>
                <w:color w:val="auto"/>
                <w:sz w:val="24"/>
                <w:szCs w:val="24"/>
                <w:lang w:val="en-US" w:eastAsia="zh-CN"/>
              </w:rPr>
              <w:t>，</w:t>
            </w:r>
            <w:r>
              <w:rPr>
                <w:color w:val="auto"/>
                <w:sz w:val="24"/>
                <w:szCs w:val="24"/>
              </w:rPr>
              <w:t>且与雨水管网接通，并设置有雨水排放口的截流阀，将事故废水截留在收集系统内以待进一步处理。满足事故应急池最小容积要求。</w:t>
            </w:r>
          </w:p>
          <w:p w14:paraId="70C906E8">
            <w:pPr>
              <w:spacing w:line="360" w:lineRule="auto"/>
              <w:ind w:firstLine="480" w:firstLineChars="200"/>
              <w:rPr>
                <w:rFonts w:hint="eastAsia"/>
                <w:bCs/>
                <w:color w:val="auto"/>
                <w:sz w:val="24"/>
                <w:szCs w:val="24"/>
              </w:rPr>
            </w:pPr>
            <w:r>
              <w:rPr>
                <w:color w:val="auto"/>
                <w:sz w:val="24"/>
                <w:szCs w:val="24"/>
              </w:rPr>
              <w:t>综上所述，若发生火灾事故时，企业应及时关闭</w:t>
            </w:r>
            <w:r>
              <w:rPr>
                <w:rFonts w:hint="eastAsia"/>
                <w:color w:val="auto"/>
                <w:sz w:val="24"/>
                <w:szCs w:val="24"/>
                <w:lang w:val="en-US" w:eastAsia="zh-CN"/>
              </w:rPr>
              <w:t>园区</w:t>
            </w:r>
            <w:r>
              <w:rPr>
                <w:color w:val="auto"/>
                <w:sz w:val="24"/>
                <w:szCs w:val="24"/>
              </w:rPr>
              <w:t>雨水口截止阀，使消防废水和事故废液集中汇入雨水管网内，并</w:t>
            </w:r>
            <w:r>
              <w:rPr>
                <w:rFonts w:hint="eastAsia"/>
                <w:color w:val="auto"/>
                <w:sz w:val="24"/>
                <w:szCs w:val="24"/>
                <w:lang w:val="en-US" w:eastAsia="zh-CN"/>
              </w:rPr>
              <w:t>打开事故应急池阀门，使事故废水流入</w:t>
            </w:r>
            <w:r>
              <w:rPr>
                <w:color w:val="auto"/>
                <w:sz w:val="24"/>
                <w:szCs w:val="24"/>
              </w:rPr>
              <w:t>事故</w:t>
            </w:r>
            <w:r>
              <w:rPr>
                <w:rFonts w:hint="eastAsia"/>
                <w:color w:val="auto"/>
                <w:sz w:val="24"/>
                <w:szCs w:val="24"/>
                <w:lang w:val="en-US" w:eastAsia="zh-CN"/>
              </w:rPr>
              <w:t>应急</w:t>
            </w:r>
            <w:r>
              <w:rPr>
                <w:color w:val="auto"/>
                <w:sz w:val="24"/>
                <w:szCs w:val="24"/>
              </w:rPr>
              <w:t>池中暂存，杜绝事故废水不经处理直接排入水体，操作及暂存能力上均具有可行性。</w:t>
            </w:r>
          </w:p>
          <w:p w14:paraId="305FB7ED">
            <w:pPr>
              <w:spacing w:line="360" w:lineRule="auto"/>
              <w:ind w:firstLine="480" w:firstLineChars="200"/>
              <w:rPr>
                <w:bCs/>
                <w:color w:val="auto"/>
                <w:sz w:val="24"/>
              </w:rPr>
            </w:pPr>
            <w:r>
              <w:rPr>
                <w:rFonts w:hint="eastAsia"/>
                <w:bCs/>
                <w:color w:val="auto"/>
                <w:sz w:val="24"/>
                <w:lang w:eastAsia="zh-CN"/>
              </w:rPr>
              <w:t>（</w:t>
            </w:r>
            <w:r>
              <w:rPr>
                <w:bCs/>
                <w:color w:val="auto"/>
                <w:sz w:val="24"/>
              </w:rPr>
              <w:t>2</w:t>
            </w:r>
            <w:r>
              <w:rPr>
                <w:rFonts w:hint="eastAsia"/>
                <w:bCs/>
                <w:color w:val="auto"/>
                <w:sz w:val="24"/>
              </w:rPr>
              <w:t>）</w:t>
            </w:r>
            <w:r>
              <w:rPr>
                <w:rFonts w:hint="eastAsia" w:cs="Times New Roman"/>
                <w:bCs/>
                <w:color w:val="auto"/>
                <w:sz w:val="24"/>
                <w:szCs w:val="24"/>
                <w:lang w:val="en-US" w:eastAsia="zh-CN"/>
              </w:rPr>
              <w:t>生产</w:t>
            </w:r>
            <w:r>
              <w:rPr>
                <w:rFonts w:hint="eastAsia"/>
                <w:bCs/>
                <w:color w:val="auto"/>
                <w:sz w:val="24"/>
              </w:rPr>
              <w:t>过程中的风险防范措施</w:t>
            </w:r>
          </w:p>
          <w:p w14:paraId="442E3008">
            <w:pPr>
              <w:spacing w:line="360" w:lineRule="auto"/>
              <w:ind w:firstLine="480" w:firstLineChars="200"/>
              <w:rPr>
                <w:bCs/>
                <w:color w:val="auto"/>
                <w:sz w:val="24"/>
              </w:rPr>
            </w:pPr>
            <w:r>
              <w:rPr>
                <w:rFonts w:hint="eastAsia" w:ascii="宋体" w:hAnsi="宋体" w:cs="宋体"/>
                <w:bCs/>
                <w:color w:val="auto"/>
                <w:sz w:val="24"/>
              </w:rPr>
              <w:t>①</w:t>
            </w:r>
            <w:r>
              <w:rPr>
                <w:rFonts w:hint="eastAsia"/>
                <w:bCs/>
                <w:color w:val="auto"/>
                <w:sz w:val="24"/>
              </w:rPr>
              <w:t>建立安全</w:t>
            </w:r>
            <w:r>
              <w:rPr>
                <w:rFonts w:hint="eastAsia" w:cs="Times New Roman"/>
                <w:bCs/>
                <w:color w:val="auto"/>
                <w:sz w:val="24"/>
                <w:szCs w:val="24"/>
                <w:lang w:val="en-US" w:eastAsia="zh-CN"/>
              </w:rPr>
              <w:t>生产</w:t>
            </w:r>
            <w:r>
              <w:rPr>
                <w:rFonts w:hint="eastAsia"/>
                <w:bCs/>
                <w:color w:val="auto"/>
                <w:sz w:val="24"/>
              </w:rPr>
              <w:t>岗位责任制，制定完善的安全</w:t>
            </w:r>
            <w:r>
              <w:rPr>
                <w:rFonts w:hint="eastAsia" w:cs="Times New Roman"/>
                <w:bCs/>
                <w:color w:val="auto"/>
                <w:sz w:val="24"/>
                <w:szCs w:val="24"/>
                <w:lang w:val="en-US" w:eastAsia="zh-CN"/>
              </w:rPr>
              <w:t>生产</w:t>
            </w:r>
            <w:r>
              <w:rPr>
                <w:rFonts w:hint="eastAsia"/>
                <w:bCs/>
                <w:color w:val="auto"/>
                <w:sz w:val="24"/>
              </w:rPr>
              <w:t>规章制度、安全操作规程、安全</w:t>
            </w:r>
            <w:r>
              <w:rPr>
                <w:rFonts w:hint="eastAsia" w:cs="Times New Roman"/>
                <w:bCs/>
                <w:color w:val="auto"/>
                <w:sz w:val="24"/>
                <w:szCs w:val="24"/>
                <w:lang w:val="en-US" w:eastAsia="zh-CN"/>
              </w:rPr>
              <w:t>生产</w:t>
            </w:r>
            <w:r>
              <w:rPr>
                <w:rFonts w:hint="eastAsia"/>
                <w:bCs/>
                <w:color w:val="auto"/>
                <w:sz w:val="24"/>
              </w:rPr>
              <w:t>检查制度、禁火管理制度、危险化学品的安全管理规定、仓库安全管理制度、事故管理制度等，必须切实加强安全管理，提高事故防范能力。员工实行持证上岗。</w:t>
            </w:r>
          </w:p>
          <w:p w14:paraId="38EC90FA">
            <w:pPr>
              <w:spacing w:line="360" w:lineRule="auto"/>
              <w:ind w:firstLine="480" w:firstLineChars="200"/>
              <w:rPr>
                <w:bCs/>
                <w:color w:val="auto"/>
                <w:sz w:val="24"/>
              </w:rPr>
            </w:pPr>
            <w:r>
              <w:rPr>
                <w:rFonts w:hint="eastAsia" w:ascii="宋体" w:hAnsi="宋体" w:cs="宋体"/>
                <w:bCs/>
                <w:color w:val="auto"/>
                <w:sz w:val="24"/>
              </w:rPr>
              <w:t>②</w:t>
            </w:r>
            <w:r>
              <w:rPr>
                <w:rFonts w:hint="eastAsia"/>
                <w:bCs/>
                <w:color w:val="auto"/>
                <w:sz w:val="24"/>
              </w:rPr>
              <w:t>易燃</w:t>
            </w:r>
            <w:r>
              <w:rPr>
                <w:rFonts w:hint="eastAsia" w:cs="Times New Roman"/>
                <w:bCs/>
                <w:color w:val="auto"/>
                <w:sz w:val="24"/>
                <w:szCs w:val="24"/>
                <w:lang w:val="en-US" w:eastAsia="zh-CN"/>
              </w:rPr>
              <w:t>生产</w:t>
            </w:r>
            <w:r>
              <w:rPr>
                <w:rFonts w:hint="eastAsia"/>
                <w:bCs/>
                <w:color w:val="auto"/>
                <w:sz w:val="24"/>
              </w:rPr>
              <w:t>装置区、管道等危险区域设置永久性《严禁烟火》标志，按照《工业管道的基本识别色、识别符号和安全标识》的规定刷色和作符号，并涂标志色。</w:t>
            </w:r>
          </w:p>
          <w:p w14:paraId="5C88E7F6">
            <w:pPr>
              <w:spacing w:line="360" w:lineRule="auto"/>
              <w:ind w:firstLine="480" w:firstLineChars="200"/>
              <w:rPr>
                <w:bCs/>
                <w:color w:val="auto"/>
                <w:sz w:val="24"/>
              </w:rPr>
            </w:pPr>
            <w:r>
              <w:rPr>
                <w:rFonts w:hint="eastAsia" w:ascii="宋体" w:hAnsi="宋体" w:cs="宋体"/>
                <w:bCs/>
                <w:color w:val="auto"/>
                <w:sz w:val="24"/>
              </w:rPr>
              <w:t>③</w:t>
            </w:r>
            <w:r>
              <w:rPr>
                <w:rFonts w:hint="eastAsia"/>
                <w:bCs/>
                <w:color w:val="auto"/>
                <w:sz w:val="24"/>
              </w:rPr>
              <w:t>严格执行有关防雷、防静电、防火、防爆、防潮的规定、规程和标准，维修人员经常巡视</w:t>
            </w:r>
            <w:r>
              <w:rPr>
                <w:rFonts w:hint="eastAsia" w:cs="Times New Roman"/>
                <w:bCs/>
                <w:color w:val="auto"/>
                <w:sz w:val="24"/>
                <w:szCs w:val="24"/>
                <w:lang w:val="en-US" w:eastAsia="zh-CN"/>
              </w:rPr>
              <w:t>生产</w:t>
            </w:r>
            <w:r>
              <w:rPr>
                <w:rFonts w:hint="eastAsia"/>
                <w:bCs/>
                <w:color w:val="auto"/>
                <w:sz w:val="24"/>
              </w:rPr>
              <w:t>现场，并严格按照维修制度对各</w:t>
            </w:r>
            <w:r>
              <w:rPr>
                <w:rFonts w:hint="eastAsia" w:cs="Times New Roman"/>
                <w:bCs/>
                <w:color w:val="auto"/>
                <w:sz w:val="24"/>
                <w:szCs w:val="24"/>
                <w:lang w:val="en-US" w:eastAsia="zh-CN"/>
              </w:rPr>
              <w:t>生产</w:t>
            </w:r>
            <w:r>
              <w:rPr>
                <w:rFonts w:hint="eastAsia"/>
                <w:bCs/>
                <w:color w:val="auto"/>
                <w:sz w:val="24"/>
              </w:rPr>
              <w:t>设备、设施、管道、阀门、法兰等定期检查，及时发现隐患，维护维修，同时，关键设备实行定期大修制度。避免因腐蚀、老化或机械等原因，造成有毒有害物质的泄漏及废物的超标排放，引起环境污染和人员伤害。</w:t>
            </w:r>
          </w:p>
          <w:p w14:paraId="48CAC2C1">
            <w:pPr>
              <w:spacing w:line="360" w:lineRule="auto"/>
              <w:ind w:firstLine="480" w:firstLineChars="200"/>
              <w:rPr>
                <w:bCs/>
                <w:color w:val="auto"/>
                <w:sz w:val="24"/>
                <w:szCs w:val="24"/>
              </w:rPr>
            </w:pPr>
            <w:r>
              <w:rPr>
                <w:rFonts w:hint="eastAsia" w:ascii="宋体" w:hAnsi="宋体" w:cs="宋体"/>
                <w:bCs/>
                <w:color w:val="auto"/>
                <w:sz w:val="24"/>
                <w:szCs w:val="24"/>
              </w:rPr>
              <w:t>④</w:t>
            </w:r>
            <w:r>
              <w:rPr>
                <w:bCs/>
                <w:color w:val="auto"/>
                <w:sz w:val="24"/>
                <w:szCs w:val="24"/>
              </w:rPr>
              <w:t>涉及易挥发有害物质的</w:t>
            </w:r>
            <w:r>
              <w:rPr>
                <w:rFonts w:hint="eastAsia"/>
                <w:bCs/>
                <w:color w:val="auto"/>
                <w:sz w:val="24"/>
                <w:szCs w:val="24"/>
                <w:lang w:val="en-US" w:eastAsia="zh-CN"/>
              </w:rPr>
              <w:t>生产车间</w:t>
            </w:r>
            <w:r>
              <w:rPr>
                <w:bCs/>
                <w:color w:val="auto"/>
                <w:sz w:val="24"/>
                <w:szCs w:val="24"/>
              </w:rPr>
              <w:t>现场原料储存区安装自动报警设备，对具有高危害设备、关键设备设置保险措施，并按规定配备齐全应急救援设施。</w:t>
            </w:r>
          </w:p>
          <w:p w14:paraId="6DBE13A4">
            <w:pPr>
              <w:spacing w:line="360" w:lineRule="auto"/>
              <w:ind w:firstLine="480" w:firstLineChars="200"/>
              <w:rPr>
                <w:bCs/>
                <w:color w:val="auto"/>
                <w:sz w:val="24"/>
                <w:szCs w:val="24"/>
              </w:rPr>
            </w:pPr>
            <w:r>
              <w:rPr>
                <w:rFonts w:hint="eastAsia"/>
                <w:bCs/>
                <w:color w:val="auto"/>
                <w:sz w:val="24"/>
                <w:szCs w:val="24"/>
                <w:lang w:eastAsia="zh-CN"/>
              </w:rPr>
              <w:t>（</w:t>
            </w:r>
            <w:r>
              <w:rPr>
                <w:rFonts w:hint="eastAsia"/>
                <w:bCs/>
                <w:color w:val="auto"/>
                <w:sz w:val="24"/>
                <w:szCs w:val="24"/>
              </w:rPr>
              <w:t>3）</w:t>
            </w:r>
            <w:r>
              <w:rPr>
                <w:bCs/>
                <w:color w:val="auto"/>
                <w:sz w:val="24"/>
                <w:szCs w:val="24"/>
              </w:rPr>
              <w:t>贮存过程中的风险防范措施</w:t>
            </w:r>
          </w:p>
          <w:p w14:paraId="00FEF3CB">
            <w:pPr>
              <w:spacing w:line="360" w:lineRule="auto"/>
              <w:ind w:firstLine="480" w:firstLineChars="200"/>
              <w:rPr>
                <w:bCs/>
                <w:color w:val="auto"/>
                <w:sz w:val="24"/>
                <w:szCs w:val="24"/>
              </w:rPr>
            </w:pPr>
            <w:r>
              <w:rPr>
                <w:rFonts w:hint="eastAsia" w:ascii="宋体" w:hAnsi="宋体" w:cs="宋体"/>
                <w:bCs/>
                <w:color w:val="auto"/>
                <w:sz w:val="24"/>
                <w:szCs w:val="24"/>
              </w:rPr>
              <w:t>①</w:t>
            </w:r>
            <w:r>
              <w:rPr>
                <w:bCs/>
                <w:color w:val="auto"/>
                <w:sz w:val="24"/>
                <w:szCs w:val="24"/>
              </w:rPr>
              <w:t>易燃危险化学品应储存在阴凉、通风区域内；远离火种、热源和避免阳光直射；配备相应品种和数量消防器材；禁止使用易产生火花的机械设备和工具；要设置</w:t>
            </w:r>
            <w:r>
              <w:rPr>
                <w:rFonts w:hint="eastAsia"/>
                <w:bCs/>
                <w:color w:val="auto"/>
                <w:sz w:val="24"/>
                <w:szCs w:val="24"/>
                <w:lang w:eastAsia="zh-CN"/>
              </w:rPr>
              <w:t>“</w:t>
            </w:r>
            <w:r>
              <w:rPr>
                <w:bCs/>
                <w:color w:val="auto"/>
                <w:sz w:val="24"/>
                <w:szCs w:val="24"/>
              </w:rPr>
              <w:t>危险</w:t>
            </w:r>
            <w:r>
              <w:rPr>
                <w:rFonts w:hint="eastAsia"/>
                <w:bCs/>
                <w:color w:val="auto"/>
                <w:sz w:val="24"/>
                <w:szCs w:val="24"/>
                <w:lang w:eastAsia="zh-CN"/>
              </w:rPr>
              <w:t>”</w:t>
            </w:r>
            <w:r>
              <w:rPr>
                <w:bCs/>
                <w:color w:val="auto"/>
                <w:sz w:val="24"/>
                <w:szCs w:val="24"/>
              </w:rPr>
              <w:t>、</w:t>
            </w:r>
            <w:r>
              <w:rPr>
                <w:rFonts w:hint="eastAsia"/>
                <w:bCs/>
                <w:color w:val="auto"/>
                <w:sz w:val="24"/>
                <w:szCs w:val="24"/>
                <w:lang w:eastAsia="zh-CN"/>
              </w:rPr>
              <w:t>“</w:t>
            </w:r>
            <w:r>
              <w:rPr>
                <w:bCs/>
                <w:color w:val="auto"/>
                <w:sz w:val="24"/>
                <w:szCs w:val="24"/>
              </w:rPr>
              <w:t>禁止烟火</w:t>
            </w:r>
            <w:r>
              <w:rPr>
                <w:rFonts w:hint="eastAsia"/>
                <w:bCs/>
                <w:color w:val="auto"/>
                <w:sz w:val="24"/>
                <w:szCs w:val="24"/>
                <w:lang w:eastAsia="zh-CN"/>
              </w:rPr>
              <w:t>”</w:t>
            </w:r>
            <w:r>
              <w:rPr>
                <w:bCs/>
                <w:color w:val="auto"/>
                <w:sz w:val="24"/>
                <w:szCs w:val="24"/>
              </w:rPr>
              <w:t>、</w:t>
            </w:r>
            <w:r>
              <w:rPr>
                <w:rFonts w:hint="eastAsia"/>
                <w:bCs/>
                <w:color w:val="auto"/>
                <w:sz w:val="24"/>
                <w:szCs w:val="24"/>
                <w:lang w:eastAsia="zh-CN"/>
              </w:rPr>
              <w:t>“</w:t>
            </w:r>
            <w:r>
              <w:rPr>
                <w:bCs/>
                <w:color w:val="auto"/>
                <w:sz w:val="24"/>
                <w:szCs w:val="24"/>
              </w:rPr>
              <w:t>防潮</w:t>
            </w:r>
            <w:r>
              <w:rPr>
                <w:rFonts w:hint="eastAsia"/>
                <w:bCs/>
                <w:color w:val="auto"/>
                <w:sz w:val="24"/>
                <w:szCs w:val="24"/>
                <w:lang w:eastAsia="zh-CN"/>
              </w:rPr>
              <w:t>”</w:t>
            </w:r>
            <w:r>
              <w:rPr>
                <w:bCs/>
                <w:color w:val="auto"/>
                <w:sz w:val="24"/>
                <w:szCs w:val="24"/>
              </w:rPr>
              <w:t>等警</w:t>
            </w:r>
            <w:r>
              <w:rPr>
                <w:rFonts w:hint="eastAsia"/>
                <w:bCs/>
                <w:color w:val="auto"/>
                <w:sz w:val="24"/>
                <w:szCs w:val="24"/>
                <w:lang w:val="en-US" w:eastAsia="zh-CN"/>
              </w:rPr>
              <w:t>示</w:t>
            </w:r>
            <w:r>
              <w:rPr>
                <w:bCs/>
                <w:color w:val="auto"/>
                <w:sz w:val="24"/>
                <w:szCs w:val="24"/>
              </w:rPr>
              <w:t>标志。</w:t>
            </w:r>
          </w:p>
          <w:p w14:paraId="0ED7F97E">
            <w:pPr>
              <w:pStyle w:val="87"/>
              <w:spacing w:line="360" w:lineRule="auto"/>
              <w:ind w:firstLine="480"/>
              <w:rPr>
                <w:bCs/>
                <w:color w:val="auto"/>
                <w:sz w:val="24"/>
                <w:szCs w:val="24"/>
              </w:rPr>
            </w:pPr>
            <w:r>
              <w:rPr>
                <w:rFonts w:hint="eastAsia"/>
                <w:bCs/>
                <w:color w:val="auto"/>
                <w:sz w:val="24"/>
                <w:szCs w:val="24"/>
              </w:rPr>
              <w:t>②</w:t>
            </w:r>
            <w:r>
              <w:rPr>
                <w:bCs/>
                <w:color w:val="auto"/>
                <w:sz w:val="24"/>
                <w:szCs w:val="24"/>
              </w:rPr>
              <w:t>各种物料应按其相应堆存规范堆置，禁止堆叠过高，防止滚动。</w:t>
            </w:r>
          </w:p>
          <w:p w14:paraId="52384462">
            <w:pPr>
              <w:pStyle w:val="87"/>
              <w:spacing w:line="360" w:lineRule="auto"/>
              <w:ind w:firstLine="480"/>
              <w:rPr>
                <w:b/>
                <w:bCs/>
                <w:color w:val="auto"/>
                <w:sz w:val="24"/>
                <w:szCs w:val="24"/>
              </w:rPr>
            </w:pPr>
            <w:r>
              <w:rPr>
                <w:rFonts w:hint="eastAsia" w:ascii="宋体" w:hAnsi="宋体" w:cs="宋体"/>
                <w:bCs/>
                <w:color w:val="auto"/>
                <w:sz w:val="24"/>
                <w:szCs w:val="24"/>
              </w:rPr>
              <w:t>③</w:t>
            </w:r>
            <w:r>
              <w:rPr>
                <w:rFonts w:hint="eastAsia" w:ascii="宋体" w:hAnsi="宋体" w:cs="宋体"/>
                <w:bCs/>
                <w:color w:val="auto"/>
                <w:sz w:val="24"/>
                <w:szCs w:val="24"/>
                <w:lang w:val="en-US" w:eastAsia="zh-CN"/>
              </w:rPr>
              <w:t>危化品库</w:t>
            </w:r>
            <w:r>
              <w:rPr>
                <w:rFonts w:hint="eastAsia"/>
                <w:bCs/>
                <w:color w:val="auto"/>
                <w:sz w:val="24"/>
                <w:szCs w:val="24"/>
                <w:lang w:eastAsia="zh-CN"/>
              </w:rPr>
              <w:t>、</w:t>
            </w:r>
            <w:r>
              <w:rPr>
                <w:rFonts w:hint="eastAsia"/>
                <w:bCs/>
                <w:color w:val="auto"/>
                <w:sz w:val="24"/>
                <w:szCs w:val="24"/>
                <w:lang w:val="en-US" w:eastAsia="zh-CN"/>
              </w:rPr>
              <w:t>样品间、危废仓库</w:t>
            </w:r>
            <w:r>
              <w:rPr>
                <w:bCs/>
                <w:color w:val="auto"/>
                <w:sz w:val="24"/>
                <w:szCs w:val="24"/>
              </w:rPr>
              <w:t>存放危险物质</w:t>
            </w:r>
            <w:r>
              <w:rPr>
                <w:rFonts w:hint="eastAsia"/>
                <w:bCs/>
                <w:color w:val="auto"/>
                <w:sz w:val="24"/>
                <w:szCs w:val="24"/>
              </w:rPr>
              <w:t>，</w:t>
            </w:r>
            <w:r>
              <w:rPr>
                <w:bCs/>
                <w:color w:val="auto"/>
                <w:sz w:val="24"/>
                <w:szCs w:val="24"/>
              </w:rPr>
              <w:t>为防止泄漏造成污染</w:t>
            </w:r>
            <w:r>
              <w:rPr>
                <w:rFonts w:hint="eastAsia"/>
                <w:bCs/>
                <w:color w:val="auto"/>
                <w:sz w:val="24"/>
                <w:szCs w:val="24"/>
              </w:rPr>
              <w:t>，</w:t>
            </w:r>
            <w:r>
              <w:rPr>
                <w:bCs/>
                <w:color w:val="auto"/>
                <w:sz w:val="24"/>
                <w:szCs w:val="24"/>
              </w:rPr>
              <w:t>应在仓库内采用混凝土防渗</w:t>
            </w:r>
            <w:r>
              <w:rPr>
                <w:rFonts w:hint="eastAsia"/>
                <w:bCs/>
                <w:color w:val="auto"/>
                <w:sz w:val="24"/>
                <w:szCs w:val="24"/>
              </w:rPr>
              <w:t>；</w:t>
            </w:r>
            <w:r>
              <w:rPr>
                <w:rFonts w:hint="eastAsia"/>
                <w:bCs/>
                <w:color w:val="auto"/>
                <w:sz w:val="24"/>
                <w:szCs w:val="24"/>
                <w:lang w:val="en-US" w:eastAsia="zh-CN"/>
              </w:rPr>
              <w:t>危废仓库</w:t>
            </w:r>
            <w:r>
              <w:rPr>
                <w:bCs/>
                <w:color w:val="auto"/>
                <w:sz w:val="24"/>
                <w:szCs w:val="24"/>
              </w:rPr>
              <w:t>必须按照</w:t>
            </w:r>
            <w:r>
              <w:rPr>
                <w:rFonts w:eastAsiaTheme="minorEastAsia"/>
                <w:color w:val="auto"/>
                <w:sz w:val="24"/>
                <w:szCs w:val="24"/>
              </w:rPr>
              <w:t>《危险废物贮存污染控制</w:t>
            </w:r>
            <w:r>
              <w:rPr>
                <w:rFonts w:hint="eastAsia" w:eastAsiaTheme="minorEastAsia"/>
                <w:color w:val="auto"/>
                <w:sz w:val="24"/>
                <w:szCs w:val="24"/>
                <w:lang w:eastAsia="zh-CN"/>
              </w:rPr>
              <w:t>标准</w:t>
            </w:r>
            <w:r>
              <w:rPr>
                <w:rFonts w:eastAsiaTheme="minorEastAsia"/>
                <w:color w:val="auto"/>
                <w:sz w:val="24"/>
                <w:szCs w:val="24"/>
              </w:rPr>
              <w:t>》</w:t>
            </w:r>
            <w:r>
              <w:rPr>
                <w:rFonts w:hint="eastAsia" w:eastAsiaTheme="minorEastAsia"/>
                <w:color w:val="auto"/>
                <w:sz w:val="24"/>
                <w:szCs w:val="24"/>
                <w:lang w:eastAsia="zh-CN"/>
              </w:rPr>
              <w:t>（</w:t>
            </w:r>
            <w:r>
              <w:rPr>
                <w:rFonts w:eastAsiaTheme="minorEastAsia"/>
                <w:color w:val="auto"/>
                <w:sz w:val="24"/>
                <w:szCs w:val="24"/>
              </w:rPr>
              <w:t>GB18597-20</w:t>
            </w:r>
            <w:r>
              <w:rPr>
                <w:rFonts w:hint="eastAsia" w:eastAsiaTheme="minorEastAsia"/>
                <w:color w:val="auto"/>
                <w:sz w:val="24"/>
                <w:szCs w:val="24"/>
                <w:lang w:val="en-US" w:eastAsia="zh-CN"/>
              </w:rPr>
              <w:t>23</w:t>
            </w:r>
            <w:r>
              <w:rPr>
                <w:rFonts w:eastAsiaTheme="minorEastAsia"/>
                <w:color w:val="auto"/>
                <w:sz w:val="24"/>
                <w:szCs w:val="24"/>
              </w:rPr>
              <w:t>）的要求设置</w:t>
            </w:r>
            <w:r>
              <w:rPr>
                <w:rFonts w:hint="eastAsia" w:eastAsiaTheme="minorEastAsia"/>
                <w:color w:val="auto"/>
                <w:sz w:val="24"/>
                <w:szCs w:val="24"/>
              </w:rPr>
              <w:t>。</w:t>
            </w:r>
          </w:p>
          <w:p w14:paraId="2B9C82F8">
            <w:pPr>
              <w:spacing w:line="360" w:lineRule="auto"/>
              <w:ind w:firstLine="482" w:firstLineChars="200"/>
              <w:jc w:val="center"/>
              <w:rPr>
                <w:b/>
                <w:bCs/>
                <w:color w:val="auto"/>
                <w:sz w:val="24"/>
                <w:szCs w:val="24"/>
              </w:rPr>
            </w:pPr>
            <w:r>
              <w:rPr>
                <w:b/>
                <w:bCs/>
                <w:color w:val="auto"/>
                <w:sz w:val="24"/>
                <w:szCs w:val="24"/>
              </w:rPr>
              <w:t>表</w:t>
            </w:r>
            <w:r>
              <w:rPr>
                <w:rFonts w:hint="eastAsia"/>
                <w:b/>
                <w:bCs/>
                <w:color w:val="auto"/>
                <w:sz w:val="24"/>
                <w:szCs w:val="24"/>
              </w:rPr>
              <w:t>4</w:t>
            </w:r>
            <w:r>
              <w:rPr>
                <w:rFonts w:hint="eastAsia"/>
                <w:b/>
                <w:bCs/>
                <w:color w:val="auto"/>
                <w:sz w:val="24"/>
                <w:szCs w:val="24"/>
                <w:lang w:val="en-US" w:eastAsia="zh-CN"/>
              </w:rPr>
              <w:t>-29</w:t>
            </w:r>
            <w:r>
              <w:rPr>
                <w:b/>
                <w:bCs/>
                <w:color w:val="auto"/>
                <w:sz w:val="24"/>
                <w:szCs w:val="24"/>
              </w:rPr>
              <w:t>环境风险防范及应急措施一览表</w:t>
            </w:r>
          </w:p>
          <w:tbl>
            <w:tblPr>
              <w:tblStyle w:val="3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6233"/>
            </w:tblGrid>
            <w:tr w14:paraId="392B0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blHeader/>
              </w:trPr>
              <w:tc>
                <w:tcPr>
                  <w:tcW w:w="1020" w:type="pct"/>
                  <w:vAlign w:val="center"/>
                </w:tcPr>
                <w:p w14:paraId="310599F3">
                  <w:pPr>
                    <w:tabs>
                      <w:tab w:val="left" w:pos="0"/>
                    </w:tabs>
                    <w:jc w:val="center"/>
                    <w:rPr>
                      <w:b/>
                      <w:bCs/>
                      <w:color w:val="auto"/>
                      <w:szCs w:val="21"/>
                    </w:rPr>
                  </w:pPr>
                  <w:r>
                    <w:rPr>
                      <w:b/>
                      <w:bCs/>
                      <w:color w:val="auto"/>
                      <w:szCs w:val="21"/>
                    </w:rPr>
                    <w:t>序号</w:t>
                  </w:r>
                </w:p>
              </w:tc>
              <w:tc>
                <w:tcPr>
                  <w:tcW w:w="3979" w:type="pct"/>
                  <w:vAlign w:val="center"/>
                </w:tcPr>
                <w:p w14:paraId="18FD01AA">
                  <w:pPr>
                    <w:tabs>
                      <w:tab w:val="left" w:pos="0"/>
                    </w:tabs>
                    <w:jc w:val="center"/>
                    <w:rPr>
                      <w:b/>
                      <w:bCs/>
                      <w:color w:val="auto"/>
                      <w:szCs w:val="21"/>
                    </w:rPr>
                  </w:pPr>
                  <w:r>
                    <w:rPr>
                      <w:b/>
                      <w:bCs/>
                      <w:color w:val="auto"/>
                      <w:szCs w:val="21"/>
                    </w:rPr>
                    <w:t>措施名称</w:t>
                  </w:r>
                </w:p>
              </w:tc>
            </w:tr>
            <w:tr w14:paraId="628AB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020" w:type="pct"/>
                  <w:vAlign w:val="center"/>
                </w:tcPr>
                <w:p w14:paraId="151E4D46">
                  <w:pPr>
                    <w:adjustRightInd w:val="0"/>
                    <w:jc w:val="center"/>
                    <w:rPr>
                      <w:color w:val="auto"/>
                      <w:szCs w:val="21"/>
                    </w:rPr>
                  </w:pPr>
                  <w:r>
                    <w:rPr>
                      <w:color w:val="auto"/>
                      <w:szCs w:val="21"/>
                    </w:rPr>
                    <w:t>1</w:t>
                  </w:r>
                </w:p>
              </w:tc>
              <w:tc>
                <w:tcPr>
                  <w:tcW w:w="3979" w:type="pct"/>
                  <w:vAlign w:val="center"/>
                </w:tcPr>
                <w:p w14:paraId="25976C87">
                  <w:pPr>
                    <w:tabs>
                      <w:tab w:val="left" w:pos="0"/>
                    </w:tabs>
                    <w:jc w:val="center"/>
                    <w:rPr>
                      <w:rFonts w:hint="eastAsia" w:ascii="Times New Roman" w:hAnsi="Times New Roman" w:eastAsia="宋体" w:cs="Times New Roman"/>
                      <w:b/>
                      <w:bCs/>
                      <w:color w:val="auto"/>
                      <w:kern w:val="2"/>
                      <w:sz w:val="21"/>
                      <w:szCs w:val="21"/>
                      <w:lang w:val="en-US" w:eastAsia="zh-CN" w:bidi="ar-SA"/>
                    </w:rPr>
                  </w:pPr>
                  <w:r>
                    <w:rPr>
                      <w:color w:val="auto"/>
                      <w:szCs w:val="21"/>
                    </w:rPr>
                    <w:t>雨水</w:t>
                  </w:r>
                  <w:r>
                    <w:rPr>
                      <w:rFonts w:hint="eastAsia"/>
                      <w:color w:val="auto"/>
                      <w:szCs w:val="21"/>
                      <w:lang w:val="en-US" w:eastAsia="zh-CN"/>
                    </w:rPr>
                    <w:t>排放口</w:t>
                  </w:r>
                  <w:r>
                    <w:rPr>
                      <w:rFonts w:hint="eastAsia"/>
                      <w:bCs/>
                      <w:color w:val="auto"/>
                      <w:szCs w:val="21"/>
                      <w:lang w:eastAsia="zh-CN"/>
                    </w:rPr>
                    <w:t>（</w:t>
                  </w:r>
                  <w:r>
                    <w:rPr>
                      <w:rFonts w:hint="eastAsia"/>
                      <w:bCs/>
                      <w:color w:val="auto"/>
                      <w:szCs w:val="21"/>
                      <w:lang w:val="en-US" w:eastAsia="zh-CN"/>
                    </w:rPr>
                    <w:t>依托</w:t>
                  </w:r>
                  <w:r>
                    <w:rPr>
                      <w:rFonts w:hint="eastAsia"/>
                      <w:bCs/>
                      <w:color w:val="auto"/>
                      <w:szCs w:val="21"/>
                      <w:lang w:eastAsia="zh-CN"/>
                    </w:rPr>
                    <w:t>）</w:t>
                  </w:r>
                </w:p>
              </w:tc>
            </w:tr>
            <w:tr w14:paraId="52C03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20" w:type="pct"/>
                  <w:vAlign w:val="center"/>
                </w:tcPr>
                <w:p w14:paraId="10F5E186">
                  <w:pPr>
                    <w:adjustRightInd w:val="0"/>
                    <w:jc w:val="center"/>
                    <w:rPr>
                      <w:rFonts w:hint="eastAsia" w:eastAsia="宋体"/>
                      <w:color w:val="auto"/>
                      <w:szCs w:val="21"/>
                      <w:lang w:val="en-US" w:eastAsia="zh-CN"/>
                    </w:rPr>
                  </w:pPr>
                  <w:r>
                    <w:rPr>
                      <w:rFonts w:hint="eastAsia"/>
                      <w:color w:val="auto"/>
                      <w:szCs w:val="21"/>
                      <w:lang w:val="en-US" w:eastAsia="zh-CN"/>
                    </w:rPr>
                    <w:t>2</w:t>
                  </w:r>
                </w:p>
              </w:tc>
              <w:tc>
                <w:tcPr>
                  <w:tcW w:w="3979" w:type="pct"/>
                  <w:vAlign w:val="center"/>
                </w:tcPr>
                <w:p w14:paraId="76DFAE1C">
                  <w:pPr>
                    <w:jc w:val="center"/>
                    <w:rPr>
                      <w:rFonts w:ascii="Times New Roman" w:hAnsi="Times New Roman" w:eastAsia="宋体" w:cs="Times New Roman"/>
                      <w:color w:val="auto"/>
                      <w:kern w:val="2"/>
                      <w:sz w:val="21"/>
                      <w:szCs w:val="21"/>
                      <w:lang w:val="en-US" w:eastAsia="zh-CN" w:bidi="ar-SA"/>
                    </w:rPr>
                  </w:pPr>
                  <w:r>
                    <w:rPr>
                      <w:color w:val="auto"/>
                      <w:szCs w:val="21"/>
                    </w:rPr>
                    <w:t>干黄砂、灭火器、消防栓</w:t>
                  </w:r>
                  <w:r>
                    <w:rPr>
                      <w:rFonts w:hint="eastAsia"/>
                      <w:color w:val="auto"/>
                      <w:szCs w:val="21"/>
                      <w:lang w:eastAsia="zh-CN"/>
                    </w:rPr>
                    <w:t>、</w:t>
                  </w:r>
                  <w:r>
                    <w:rPr>
                      <w:rFonts w:hint="eastAsia"/>
                      <w:color w:val="auto"/>
                      <w:szCs w:val="21"/>
                      <w:lang w:val="en-US" w:eastAsia="zh-CN"/>
                    </w:rPr>
                    <w:t>堵漏球</w:t>
                  </w:r>
                  <w:r>
                    <w:rPr>
                      <w:color w:val="auto"/>
                      <w:szCs w:val="21"/>
                    </w:rPr>
                    <w:t>等消防设施</w:t>
                  </w:r>
                </w:p>
              </w:tc>
            </w:tr>
            <w:tr w14:paraId="63969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20" w:type="pct"/>
                  <w:vAlign w:val="center"/>
                </w:tcPr>
                <w:p w14:paraId="71B5D398">
                  <w:pPr>
                    <w:adjustRightInd w:val="0"/>
                    <w:jc w:val="center"/>
                    <w:rPr>
                      <w:rFonts w:hint="default"/>
                      <w:color w:val="auto"/>
                      <w:szCs w:val="21"/>
                      <w:lang w:val="en-US" w:eastAsia="zh-CN"/>
                    </w:rPr>
                  </w:pPr>
                  <w:r>
                    <w:rPr>
                      <w:rFonts w:hint="eastAsia"/>
                      <w:color w:val="auto"/>
                      <w:szCs w:val="21"/>
                      <w:lang w:val="en-US" w:eastAsia="zh-CN"/>
                    </w:rPr>
                    <w:t>3</w:t>
                  </w:r>
                </w:p>
              </w:tc>
              <w:tc>
                <w:tcPr>
                  <w:tcW w:w="3979" w:type="pct"/>
                  <w:vAlign w:val="center"/>
                </w:tcPr>
                <w:p w14:paraId="0A4EB7E5">
                  <w:pPr>
                    <w:jc w:val="center"/>
                    <w:rPr>
                      <w:rFonts w:hint="default" w:eastAsia="宋体"/>
                      <w:color w:val="auto"/>
                      <w:szCs w:val="21"/>
                      <w:lang w:val="en-US" w:eastAsia="zh-CN"/>
                    </w:rPr>
                  </w:pPr>
                  <w:r>
                    <w:rPr>
                      <w:rFonts w:hint="eastAsia"/>
                      <w:color w:val="auto"/>
                      <w:szCs w:val="21"/>
                      <w:lang w:val="en-US" w:eastAsia="zh-CN"/>
                    </w:rPr>
                    <w:t>事故应急池及阀门</w:t>
                  </w:r>
                  <w:r>
                    <w:rPr>
                      <w:rFonts w:hint="eastAsia"/>
                      <w:bCs/>
                      <w:color w:val="auto"/>
                      <w:szCs w:val="21"/>
                      <w:lang w:eastAsia="zh-CN"/>
                    </w:rPr>
                    <w:t>（</w:t>
                  </w:r>
                  <w:r>
                    <w:rPr>
                      <w:rFonts w:hint="eastAsia"/>
                      <w:bCs/>
                      <w:color w:val="auto"/>
                      <w:szCs w:val="21"/>
                      <w:lang w:val="en-US" w:eastAsia="zh-CN"/>
                    </w:rPr>
                    <w:t>依托</w:t>
                  </w:r>
                  <w:r>
                    <w:rPr>
                      <w:rFonts w:hint="eastAsia"/>
                      <w:bCs/>
                      <w:color w:val="auto"/>
                      <w:szCs w:val="21"/>
                      <w:lang w:eastAsia="zh-CN"/>
                    </w:rPr>
                    <w:t>）</w:t>
                  </w:r>
                </w:p>
              </w:tc>
            </w:tr>
          </w:tbl>
          <w:p w14:paraId="1A2533B7">
            <w:pPr>
              <w:pStyle w:val="18"/>
              <w:snapToGrid w:val="0"/>
              <w:spacing w:line="240" w:lineRule="auto"/>
              <w:ind w:firstLine="200" w:firstLineChars="200"/>
              <w:rPr>
                <w:color w:val="auto"/>
                <w:sz w:val="10"/>
                <w:szCs w:val="10"/>
              </w:rPr>
            </w:pPr>
          </w:p>
          <w:p w14:paraId="5E57E797">
            <w:pPr>
              <w:pStyle w:val="18"/>
              <w:ind w:firstLineChars="200"/>
              <w:rPr>
                <w:color w:val="auto"/>
                <w:szCs w:val="24"/>
              </w:rPr>
            </w:pPr>
            <w:r>
              <w:rPr>
                <w:rFonts w:hint="eastAsia"/>
                <w:color w:val="auto"/>
                <w:szCs w:val="24"/>
              </w:rPr>
              <w:t>（4）</w:t>
            </w:r>
            <w:r>
              <w:rPr>
                <w:color w:val="auto"/>
                <w:szCs w:val="24"/>
              </w:rPr>
              <w:t>事故应急对策措施</w:t>
            </w:r>
          </w:p>
          <w:p w14:paraId="1A418812">
            <w:pPr>
              <w:pStyle w:val="18"/>
              <w:rPr>
                <w:color w:val="auto"/>
                <w:szCs w:val="24"/>
              </w:rPr>
            </w:pPr>
            <w:r>
              <w:rPr>
                <w:color w:val="auto"/>
                <w:szCs w:val="24"/>
              </w:rPr>
              <w:t>小量泄漏：尽可能采用不产生冲击、静电火花的工具进行泄漏物的回收，将泄漏物收集在密闭容器内，用砂土、活性炭或其它惰性材料吸收残</w:t>
            </w:r>
            <w:r>
              <w:rPr>
                <w:rFonts w:hint="eastAsia"/>
                <w:color w:val="auto"/>
                <w:szCs w:val="24"/>
                <w:lang w:val="en-US" w:eastAsia="zh-CN"/>
              </w:rPr>
              <w:t>液</w:t>
            </w:r>
            <w:r>
              <w:rPr>
                <w:color w:val="auto"/>
                <w:szCs w:val="24"/>
              </w:rPr>
              <w:t>，也可以用不燃性分散剂制成的乳液刷洗。</w:t>
            </w:r>
          </w:p>
          <w:p w14:paraId="67906E2E">
            <w:pPr>
              <w:pStyle w:val="18"/>
              <w:ind w:firstLineChars="200"/>
              <w:rPr>
                <w:color w:val="auto"/>
                <w:szCs w:val="24"/>
              </w:rPr>
            </w:pPr>
            <w:r>
              <w:rPr>
                <w:color w:val="auto"/>
                <w:szCs w:val="24"/>
              </w:rPr>
              <w:t>大量泄漏：构筑围堤或挖坑收容。用泡沫覆盖。保护现场人员。用防爆泵转移至槽车或专用收集器内，回收或运至废物处理场所处理。</w:t>
            </w:r>
          </w:p>
          <w:p w14:paraId="5E5B9702">
            <w:pPr>
              <w:pStyle w:val="18"/>
              <w:ind w:firstLine="480" w:firstLineChars="200"/>
              <w:rPr>
                <w:b w:val="0"/>
                <w:bCs w:val="0"/>
                <w:color w:val="auto"/>
                <w:szCs w:val="24"/>
              </w:rPr>
            </w:pPr>
            <w:r>
              <w:rPr>
                <w:rFonts w:hint="eastAsia"/>
                <w:b w:val="0"/>
                <w:bCs w:val="0"/>
                <w:color w:val="auto"/>
                <w:szCs w:val="24"/>
                <w:lang w:val="en-US" w:eastAsia="zh-CN"/>
              </w:rPr>
              <w:t>2、</w:t>
            </w:r>
            <w:r>
              <w:rPr>
                <w:b w:val="0"/>
                <w:bCs w:val="0"/>
                <w:color w:val="auto"/>
                <w:szCs w:val="24"/>
              </w:rPr>
              <w:t>环境风险分析结论</w:t>
            </w:r>
          </w:p>
          <w:p w14:paraId="6DDF0418">
            <w:pPr>
              <w:spacing w:line="360" w:lineRule="auto"/>
              <w:jc w:val="center"/>
              <w:rPr>
                <w:b/>
                <w:bCs/>
                <w:color w:val="auto"/>
                <w:sz w:val="24"/>
                <w:szCs w:val="24"/>
              </w:rPr>
            </w:pPr>
            <w:r>
              <w:rPr>
                <w:b/>
                <w:bCs/>
                <w:color w:val="auto"/>
                <w:sz w:val="24"/>
                <w:szCs w:val="24"/>
              </w:rPr>
              <w:t>表</w:t>
            </w:r>
            <w:r>
              <w:rPr>
                <w:rFonts w:hint="eastAsia"/>
                <w:b/>
                <w:bCs/>
                <w:color w:val="auto"/>
                <w:sz w:val="24"/>
                <w:szCs w:val="24"/>
              </w:rPr>
              <w:t>4</w:t>
            </w:r>
            <w:r>
              <w:rPr>
                <w:rFonts w:hint="eastAsia"/>
                <w:b/>
                <w:bCs/>
                <w:color w:val="auto"/>
                <w:sz w:val="24"/>
                <w:szCs w:val="24"/>
                <w:lang w:val="en-US" w:eastAsia="zh-CN"/>
              </w:rPr>
              <w:t>-30</w:t>
            </w:r>
            <w:r>
              <w:rPr>
                <w:b/>
                <w:bCs/>
                <w:color w:val="auto"/>
                <w:sz w:val="24"/>
                <w:szCs w:val="24"/>
              </w:rPr>
              <w:t>建设项目环境风险简单分析内容表</w:t>
            </w:r>
          </w:p>
          <w:tbl>
            <w:tblPr>
              <w:tblStyle w:val="3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62"/>
              <w:gridCol w:w="1828"/>
              <w:gridCol w:w="1565"/>
              <w:gridCol w:w="1702"/>
            </w:tblGrid>
            <w:tr w14:paraId="73C9E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4" w:type="pct"/>
                  <w:vAlign w:val="center"/>
                </w:tcPr>
                <w:p w14:paraId="521AEB4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建设项目名称</w:t>
                  </w:r>
                </w:p>
              </w:tc>
              <w:tc>
                <w:tcPr>
                  <w:tcW w:w="3995" w:type="pct"/>
                  <w:gridSpan w:val="4"/>
                  <w:vAlign w:val="center"/>
                </w:tcPr>
                <w:p w14:paraId="4D2D0456">
                  <w:pPr>
                    <w:jc w:val="center"/>
                    <w:rPr>
                      <w:rFonts w:hint="eastAsia" w:ascii="Times New Roman" w:hAnsi="Times New Roman" w:eastAsia="宋体" w:cs="Times New Roman"/>
                      <w:color w:val="auto"/>
                      <w:szCs w:val="21"/>
                      <w:lang w:eastAsia="zh-CN"/>
                    </w:rPr>
                  </w:pPr>
                  <w:r>
                    <w:rPr>
                      <w:rFonts w:hint="eastAsia" w:cs="Times New Roman"/>
                      <w:color w:val="auto"/>
                      <w:szCs w:val="21"/>
                      <w:lang w:val="en-US" w:eastAsia="zh-CN"/>
                    </w:rPr>
                    <w:t>Sigma高端医用设备生产项目</w:t>
                  </w:r>
                </w:p>
              </w:tc>
            </w:tr>
            <w:tr w14:paraId="45FE6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04" w:type="pct"/>
                  <w:vAlign w:val="center"/>
                </w:tcPr>
                <w:p w14:paraId="4A6398E0">
                  <w:pPr>
                    <w:jc w:val="center"/>
                    <w:rPr>
                      <w:color w:val="auto"/>
                      <w:szCs w:val="21"/>
                    </w:rPr>
                  </w:pPr>
                  <w:r>
                    <w:rPr>
                      <w:color w:val="auto"/>
                      <w:szCs w:val="21"/>
                    </w:rPr>
                    <w:t>建设地点</w:t>
                  </w:r>
                </w:p>
              </w:tc>
              <w:tc>
                <w:tcPr>
                  <w:tcW w:w="741" w:type="pct"/>
                  <w:vAlign w:val="center"/>
                </w:tcPr>
                <w:p w14:paraId="2AF4B0A0">
                  <w:pPr>
                    <w:jc w:val="center"/>
                    <w:rPr>
                      <w:color w:val="auto"/>
                      <w:szCs w:val="21"/>
                    </w:rPr>
                  </w:pPr>
                  <w:r>
                    <w:rPr>
                      <w:color w:val="auto"/>
                      <w:szCs w:val="21"/>
                    </w:rPr>
                    <w:t>（江苏）省</w:t>
                  </w:r>
                </w:p>
              </w:tc>
              <w:tc>
                <w:tcPr>
                  <w:tcW w:w="1167" w:type="pct"/>
                  <w:vAlign w:val="center"/>
                </w:tcPr>
                <w:p w14:paraId="396E3DA3">
                  <w:pPr>
                    <w:jc w:val="center"/>
                    <w:rPr>
                      <w:color w:val="auto"/>
                      <w:szCs w:val="21"/>
                    </w:rPr>
                  </w:pPr>
                  <w:r>
                    <w:rPr>
                      <w:color w:val="auto"/>
                      <w:szCs w:val="21"/>
                    </w:rPr>
                    <w:t>（常州）市</w:t>
                  </w:r>
                </w:p>
              </w:tc>
              <w:tc>
                <w:tcPr>
                  <w:tcW w:w="999" w:type="pct"/>
                  <w:vAlign w:val="center"/>
                </w:tcPr>
                <w:p w14:paraId="5178EACD">
                  <w:pPr>
                    <w:jc w:val="center"/>
                    <w:rPr>
                      <w:color w:val="auto"/>
                      <w:szCs w:val="21"/>
                    </w:rPr>
                  </w:pPr>
                  <w:r>
                    <w:rPr>
                      <w:color w:val="auto"/>
                      <w:szCs w:val="21"/>
                    </w:rPr>
                    <w:t>（</w:t>
                  </w:r>
                  <w:r>
                    <w:rPr>
                      <w:rFonts w:hint="eastAsia"/>
                      <w:color w:val="auto"/>
                      <w:szCs w:val="21"/>
                      <w:lang w:val="en-US" w:eastAsia="zh-CN"/>
                    </w:rPr>
                    <w:t>新北</w:t>
                  </w:r>
                  <w:r>
                    <w:rPr>
                      <w:color w:val="auto"/>
                      <w:szCs w:val="21"/>
                    </w:rPr>
                    <w:t>）区</w:t>
                  </w:r>
                </w:p>
              </w:tc>
              <w:tc>
                <w:tcPr>
                  <w:tcW w:w="1086" w:type="pct"/>
                  <w:vAlign w:val="center"/>
                </w:tcPr>
                <w:p w14:paraId="3A4CE65B">
                  <w:pPr>
                    <w:jc w:val="center"/>
                    <w:rPr>
                      <w:rFonts w:hint="default" w:eastAsia="宋体"/>
                      <w:color w:val="auto"/>
                      <w:szCs w:val="21"/>
                      <w:lang w:val="en-US" w:eastAsia="zh-CN"/>
                    </w:rPr>
                  </w:pPr>
                  <w:r>
                    <w:rPr>
                      <w:rFonts w:hint="eastAsia"/>
                      <w:color w:val="auto"/>
                      <w:szCs w:val="21"/>
                      <w:lang w:val="en-US" w:eastAsia="zh-CN"/>
                    </w:rPr>
                    <w:t>滨开区</w:t>
                  </w:r>
                </w:p>
              </w:tc>
            </w:tr>
            <w:tr w14:paraId="4BFBC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 w:type="pct"/>
                  <w:vAlign w:val="center"/>
                </w:tcPr>
                <w:p w14:paraId="56AF1693">
                  <w:pPr>
                    <w:jc w:val="center"/>
                    <w:rPr>
                      <w:color w:val="auto"/>
                      <w:szCs w:val="21"/>
                    </w:rPr>
                  </w:pPr>
                  <w:r>
                    <w:rPr>
                      <w:color w:val="auto"/>
                      <w:szCs w:val="21"/>
                    </w:rPr>
                    <w:t>地理坐标</w:t>
                  </w:r>
                </w:p>
              </w:tc>
              <w:tc>
                <w:tcPr>
                  <w:tcW w:w="741" w:type="pct"/>
                  <w:vAlign w:val="center"/>
                </w:tcPr>
                <w:p w14:paraId="0772EE2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经度</w:t>
                  </w:r>
                </w:p>
              </w:tc>
              <w:tc>
                <w:tcPr>
                  <w:tcW w:w="1167" w:type="pct"/>
                  <w:vAlign w:val="center"/>
                </w:tcPr>
                <w:p w14:paraId="02621424">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E119</w:t>
                  </w: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57</w:t>
                  </w: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38.562</w:t>
                  </w:r>
                  <w:r>
                    <w:rPr>
                      <w:rFonts w:hint="default" w:ascii="Times New Roman" w:hAnsi="Times New Roman" w:eastAsia="宋体" w:cs="Times New Roman"/>
                      <w:color w:val="auto"/>
                      <w:szCs w:val="21"/>
                      <w:lang w:val="en-US" w:eastAsia="zh-CN"/>
                    </w:rPr>
                    <w:t>"</w:t>
                  </w:r>
                </w:p>
              </w:tc>
              <w:tc>
                <w:tcPr>
                  <w:tcW w:w="999" w:type="pct"/>
                  <w:vAlign w:val="center"/>
                </w:tcPr>
                <w:p w14:paraId="22BFDD90">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纬度</w:t>
                  </w:r>
                </w:p>
              </w:tc>
              <w:tc>
                <w:tcPr>
                  <w:tcW w:w="1086" w:type="pct"/>
                  <w:vAlign w:val="center"/>
                </w:tcPr>
                <w:p w14:paraId="43DDB7C2">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N</w:t>
                  </w:r>
                  <w:r>
                    <w:rPr>
                      <w:rFonts w:hint="default" w:ascii="Times New Roman" w:hAnsi="Times New Roman" w:eastAsia="宋体" w:cs="Times New Roman"/>
                      <w:color w:val="auto"/>
                      <w:szCs w:val="21"/>
                      <w:lang w:val="en-US" w:eastAsia="zh-CN"/>
                    </w:rPr>
                    <w:t>31°56'</w:t>
                  </w:r>
                  <w:r>
                    <w:rPr>
                      <w:rFonts w:hint="eastAsia" w:ascii="Times New Roman" w:hAnsi="Times New Roman" w:eastAsia="宋体" w:cs="Times New Roman"/>
                      <w:color w:val="auto"/>
                      <w:szCs w:val="21"/>
                      <w:lang w:val="en-US" w:eastAsia="zh-CN"/>
                    </w:rPr>
                    <w:t>9.576</w:t>
                  </w:r>
                  <w:r>
                    <w:rPr>
                      <w:rFonts w:hint="default" w:ascii="Times New Roman" w:hAnsi="Times New Roman" w:eastAsia="宋体" w:cs="Times New Roman"/>
                      <w:color w:val="auto"/>
                      <w:szCs w:val="21"/>
                      <w:lang w:val="en-US" w:eastAsia="zh-CN"/>
                    </w:rPr>
                    <w:t>"</w:t>
                  </w:r>
                </w:p>
              </w:tc>
            </w:tr>
            <w:tr w14:paraId="03415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04" w:type="pct"/>
                  <w:vAlign w:val="center"/>
                </w:tcPr>
                <w:p w14:paraId="2C7443DC">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主要危险物质及分布</w:t>
                  </w:r>
                </w:p>
              </w:tc>
              <w:tc>
                <w:tcPr>
                  <w:tcW w:w="3995" w:type="pct"/>
                  <w:gridSpan w:val="4"/>
                  <w:vAlign w:val="center"/>
                </w:tcPr>
                <w:p w14:paraId="421B84F3">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丙烷、发泡主剂、发泡固化剂、水性脱模剂、制冷剂、酒精：</w:t>
                  </w:r>
                </w:p>
                <w:p w14:paraId="521EA0D7">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原料仓库</w:t>
                  </w:r>
                </w:p>
                <w:p w14:paraId="673546E6">
                  <w:pPr>
                    <w:jc w:val="center"/>
                    <w:rPr>
                      <w:rFonts w:hint="eastAsia" w:ascii="Times New Roman" w:hAnsi="Times New Roman" w:eastAsia="宋体" w:cs="Times New Roman"/>
                      <w:color w:val="FF0000"/>
                      <w:szCs w:val="21"/>
                      <w:lang w:val="en-US" w:eastAsia="zh-CN"/>
                    </w:rPr>
                  </w:pPr>
                  <w:r>
                    <w:rPr>
                      <w:rFonts w:hint="eastAsia" w:ascii="Times New Roman" w:hAnsi="Times New Roman" w:eastAsia="宋体" w:cs="Times New Roman"/>
                      <w:color w:val="auto"/>
                      <w:szCs w:val="21"/>
                      <w:lang w:val="en-US" w:eastAsia="zh-CN"/>
                    </w:rPr>
                    <w:t>废抹布、手套（含酒精）、废活性炭、废包装容器：危废仓库</w:t>
                  </w:r>
                </w:p>
              </w:tc>
            </w:tr>
            <w:tr w14:paraId="1CDBC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4" w:type="pct"/>
                  <w:vAlign w:val="center"/>
                </w:tcPr>
                <w:p w14:paraId="40459B57">
                  <w:pPr>
                    <w:jc w:val="center"/>
                    <w:rPr>
                      <w:color w:val="auto"/>
                      <w:szCs w:val="21"/>
                    </w:rPr>
                  </w:pPr>
                  <w:r>
                    <w:rPr>
                      <w:color w:val="auto"/>
                      <w:szCs w:val="21"/>
                    </w:rPr>
                    <w:t>环境影响途径及危害后果（大气、地表水、地下水等）</w:t>
                  </w:r>
                </w:p>
              </w:tc>
              <w:tc>
                <w:tcPr>
                  <w:tcW w:w="3995" w:type="pct"/>
                  <w:gridSpan w:val="4"/>
                  <w:vAlign w:val="center"/>
                </w:tcPr>
                <w:p w14:paraId="286EC980">
                  <w:pPr>
                    <w:ind w:firstLine="420" w:firstLineChars="200"/>
                    <w:jc w:val="left"/>
                    <w:rPr>
                      <w:rFonts w:ascii="Times New Roman" w:hAnsi="Times New Roman" w:eastAsia="宋体" w:cs="Times New Roman"/>
                      <w:color w:val="auto"/>
                      <w:szCs w:val="21"/>
                    </w:rPr>
                  </w:pPr>
                  <w:r>
                    <w:rPr>
                      <w:color w:val="auto"/>
                      <w:szCs w:val="21"/>
                    </w:rPr>
                    <w:t>大气：危险物质</w:t>
                  </w:r>
                  <w:r>
                    <w:rPr>
                      <w:rFonts w:hint="eastAsia"/>
                      <w:color w:val="auto"/>
                      <w:szCs w:val="21"/>
                      <w:lang w:eastAsia="zh-CN"/>
                    </w:rPr>
                    <w:t>泄漏</w:t>
                  </w:r>
                  <w:r>
                    <w:rPr>
                      <w:color w:val="auto"/>
                      <w:szCs w:val="21"/>
                    </w:rPr>
                    <w:t>、火灾爆</w:t>
                  </w:r>
                  <w:r>
                    <w:rPr>
                      <w:rFonts w:hint="eastAsia"/>
                      <w:color w:val="auto"/>
                      <w:szCs w:val="21"/>
                      <w:lang w:val="en-US" w:eastAsia="zh-CN"/>
                    </w:rPr>
                    <w:t>炸</w:t>
                  </w:r>
                  <w:r>
                    <w:rPr>
                      <w:color w:val="auto"/>
                      <w:szCs w:val="21"/>
                    </w:rPr>
                    <w:t>事故等引发的伴生/次生污染物排放对大气环境造成影响，项目涉及可燃液体遇明火等发生火灾、爆炸事故，引起未燃烧完全或次生的CO排放至大气环境中，对大气环境造成影响。从而造成对厂外环境敏</w:t>
                  </w:r>
                  <w:r>
                    <w:rPr>
                      <w:rFonts w:ascii="Times New Roman" w:hAnsi="Times New Roman" w:eastAsia="宋体" w:cs="Times New Roman"/>
                      <w:color w:val="auto"/>
                      <w:szCs w:val="21"/>
                    </w:rPr>
                    <w:t>感点和人群的影响。</w:t>
                  </w:r>
                </w:p>
                <w:p w14:paraId="4D472936">
                  <w:pPr>
                    <w:ind w:firstLine="420" w:firstLineChars="200"/>
                    <w:jc w:val="left"/>
                    <w:rPr>
                      <w:rFonts w:ascii="Times New Roman" w:hAnsi="Times New Roman" w:eastAsia="宋体" w:cs="Times New Roman"/>
                      <w:color w:val="auto"/>
                      <w:szCs w:val="21"/>
                    </w:rPr>
                  </w:pPr>
                  <w:r>
                    <w:rPr>
                      <w:rFonts w:ascii="Times New Roman" w:hAnsi="Times New Roman" w:eastAsia="宋体" w:cs="Times New Roman"/>
                      <w:color w:val="auto"/>
                      <w:szCs w:val="21"/>
                    </w:rPr>
                    <w:t>地表水：火灾、爆炸事故发生时，</w:t>
                  </w:r>
                  <w:r>
                    <w:rPr>
                      <w:rFonts w:hint="eastAsia" w:ascii="Times New Roman" w:hAnsi="Times New Roman" w:eastAsia="宋体" w:cs="Times New Roman"/>
                      <w:color w:val="auto"/>
                      <w:szCs w:val="21"/>
                      <w:lang w:val="en-US" w:eastAsia="zh-CN"/>
                    </w:rPr>
                    <w:t>风险物质</w:t>
                  </w:r>
                  <w:r>
                    <w:rPr>
                      <w:rFonts w:ascii="Times New Roman" w:hAnsi="Times New Roman" w:eastAsia="宋体" w:cs="Times New Roman"/>
                      <w:color w:val="auto"/>
                      <w:szCs w:val="21"/>
                    </w:rPr>
                    <w:t>燃烧生成的有害燃烧产物进入消防废水。消防废水处理不当而排入</w:t>
                  </w:r>
                  <w:r>
                    <w:rPr>
                      <w:color w:val="auto"/>
                      <w:szCs w:val="21"/>
                    </w:rPr>
                    <w:t>附近地表水体时，将对周边地表水环境产生污染，影响周边水体水质，进而影响水生生</w:t>
                  </w:r>
                  <w:r>
                    <w:rPr>
                      <w:rFonts w:ascii="Times New Roman" w:hAnsi="Times New Roman" w:eastAsia="宋体" w:cs="Times New Roman"/>
                      <w:color w:val="auto"/>
                      <w:szCs w:val="21"/>
                    </w:rPr>
                    <w:t>物的生存。</w:t>
                  </w:r>
                </w:p>
                <w:p w14:paraId="0D4F1F54">
                  <w:pPr>
                    <w:ind w:firstLine="420" w:firstLineChars="200"/>
                    <w:jc w:val="left"/>
                    <w:rPr>
                      <w:color w:val="auto"/>
                    </w:rPr>
                  </w:pPr>
                  <w:r>
                    <w:rPr>
                      <w:rFonts w:ascii="Times New Roman" w:hAnsi="Times New Roman" w:eastAsia="宋体" w:cs="Times New Roman"/>
                      <w:color w:val="auto"/>
                      <w:szCs w:val="21"/>
                    </w:rPr>
                    <w:t>地下水：本</w:t>
                  </w:r>
                  <w:r>
                    <w:rPr>
                      <w:color w:val="auto"/>
                      <w:szCs w:val="21"/>
                    </w:rPr>
                    <w:t>项目</w:t>
                  </w:r>
                  <w:r>
                    <w:rPr>
                      <w:rFonts w:hint="eastAsia" w:ascii="Times New Roman" w:hAnsi="Times New Roman" w:eastAsia="宋体" w:cs="Times New Roman"/>
                      <w:color w:val="auto"/>
                      <w:szCs w:val="21"/>
                      <w:lang w:val="en-US" w:eastAsia="zh-CN"/>
                    </w:rPr>
                    <w:t>风险物质</w:t>
                  </w:r>
                  <w:r>
                    <w:rPr>
                      <w:color w:val="auto"/>
                      <w:szCs w:val="21"/>
                    </w:rPr>
                    <w:t>在</w:t>
                  </w:r>
                  <w:r>
                    <w:rPr>
                      <w:rFonts w:hint="eastAsia"/>
                      <w:color w:val="auto"/>
                      <w:szCs w:val="21"/>
                      <w:lang w:val="en-US" w:eastAsia="zh-CN"/>
                    </w:rPr>
                    <w:t>运输</w:t>
                  </w:r>
                  <w:r>
                    <w:rPr>
                      <w:color w:val="auto"/>
                      <w:szCs w:val="21"/>
                    </w:rPr>
                    <w:t>过程中由于操作不当、原料桶破裂等原因而</w:t>
                  </w:r>
                  <w:r>
                    <w:rPr>
                      <w:rFonts w:hint="eastAsia"/>
                      <w:color w:val="auto"/>
                      <w:szCs w:val="21"/>
                      <w:lang w:eastAsia="zh-CN"/>
                    </w:rPr>
                    <w:t>泄漏</w:t>
                  </w:r>
                  <w:r>
                    <w:rPr>
                      <w:color w:val="auto"/>
                      <w:szCs w:val="21"/>
                    </w:rPr>
                    <w:t>，将对地下水环境产生污染，破坏地下水环境。</w:t>
                  </w:r>
                </w:p>
              </w:tc>
            </w:tr>
            <w:tr w14:paraId="57CA1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4" w:type="pct"/>
                  <w:vAlign w:val="center"/>
                </w:tcPr>
                <w:p w14:paraId="2C26A624">
                  <w:pPr>
                    <w:jc w:val="center"/>
                    <w:rPr>
                      <w:color w:val="auto"/>
                      <w:szCs w:val="21"/>
                    </w:rPr>
                  </w:pPr>
                  <w:r>
                    <w:rPr>
                      <w:color w:val="auto"/>
                      <w:szCs w:val="21"/>
                    </w:rPr>
                    <w:t>风险防范措施要求</w:t>
                  </w:r>
                </w:p>
              </w:tc>
              <w:tc>
                <w:tcPr>
                  <w:tcW w:w="3995" w:type="pct"/>
                  <w:gridSpan w:val="4"/>
                  <w:vAlign w:val="center"/>
                </w:tcPr>
                <w:p w14:paraId="509E18FF">
                  <w:pPr>
                    <w:jc w:val="center"/>
                    <w:rPr>
                      <w:color w:val="auto"/>
                      <w:szCs w:val="21"/>
                    </w:rPr>
                  </w:pPr>
                  <w:r>
                    <w:rPr>
                      <w:color w:val="auto"/>
                      <w:szCs w:val="21"/>
                    </w:rPr>
                    <w:t>企业需要加强日常的运行管理，特别注重装置区、固废区、仓库等地方，加强员工风险防范意识，培训员工应急技能，相应的应急器材和物资要到位，确保发生事故时能及时处置。</w:t>
                  </w:r>
                </w:p>
              </w:tc>
            </w:tr>
            <w:tr w14:paraId="14B83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4" w:type="pct"/>
                  <w:vAlign w:val="center"/>
                </w:tcPr>
                <w:p w14:paraId="7DF235F3">
                  <w:pPr>
                    <w:jc w:val="center"/>
                    <w:rPr>
                      <w:color w:val="auto"/>
                      <w:szCs w:val="21"/>
                    </w:rPr>
                  </w:pPr>
                  <w:r>
                    <w:rPr>
                      <w:color w:val="auto"/>
                      <w:szCs w:val="21"/>
                    </w:rPr>
                    <w:t>填表说明（列出项目相关信息及评价说明）</w:t>
                  </w:r>
                </w:p>
              </w:tc>
              <w:tc>
                <w:tcPr>
                  <w:tcW w:w="3995" w:type="pct"/>
                  <w:gridSpan w:val="4"/>
                  <w:vAlign w:val="center"/>
                </w:tcPr>
                <w:p w14:paraId="38B74478">
                  <w:pPr>
                    <w:jc w:val="center"/>
                    <w:rPr>
                      <w:color w:val="auto"/>
                      <w:szCs w:val="21"/>
                    </w:rPr>
                  </w:pPr>
                  <w:r>
                    <w:rPr>
                      <w:color w:val="auto"/>
                      <w:szCs w:val="21"/>
                    </w:rPr>
                    <w:t>本项目</w:t>
                  </w:r>
                  <w:r>
                    <w:rPr>
                      <w:color w:val="auto"/>
                      <w:szCs w:val="24"/>
                    </w:rPr>
                    <w:t>环境风险潜势为Ⅰ</w:t>
                  </w:r>
                  <w:r>
                    <w:rPr>
                      <w:color w:val="auto"/>
                      <w:szCs w:val="21"/>
                    </w:rPr>
                    <w:t>，环境风险影响较小。企业在做好相应风险防范措施前提下，风险可防控。</w:t>
                  </w:r>
                </w:p>
              </w:tc>
            </w:tr>
          </w:tbl>
          <w:p w14:paraId="767B4571">
            <w:pPr>
              <w:pStyle w:val="18"/>
              <w:snapToGrid w:val="0"/>
              <w:spacing w:line="240" w:lineRule="auto"/>
              <w:ind w:firstLine="0"/>
              <w:rPr>
                <w:color w:val="FF0000"/>
                <w:sz w:val="10"/>
                <w:szCs w:val="10"/>
              </w:rPr>
            </w:pPr>
          </w:p>
          <w:p w14:paraId="090535CF">
            <w:pPr>
              <w:pStyle w:val="2"/>
              <w:keepNext w:val="0"/>
              <w:keepLines w:val="0"/>
              <w:pageBreakBefore w:val="0"/>
              <w:widowControl w:val="0"/>
              <w:kinsoku/>
              <w:wordWrap/>
              <w:overflowPunct/>
              <w:topLinePunct w:val="0"/>
              <w:autoSpaceDE/>
              <w:autoSpaceDN/>
              <w:bidi w:val="0"/>
              <w:adjustRightInd/>
              <w:spacing w:after="0"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本项目风险物质为</w:t>
            </w:r>
            <w:r>
              <w:rPr>
                <w:rFonts w:hint="eastAsia" w:ascii="Times New Roman" w:hAnsi="Times New Roman" w:eastAsia="宋体" w:cs="Times New Roman"/>
                <w:bCs/>
                <w:color w:val="auto"/>
                <w:sz w:val="24"/>
                <w:szCs w:val="24"/>
                <w:lang w:val="en-US" w:eastAsia="zh-CN"/>
              </w:rPr>
              <w:t>丙烷、</w:t>
            </w:r>
            <w:r>
              <w:rPr>
                <w:rFonts w:hint="eastAsia"/>
                <w:color w:val="auto"/>
                <w:sz w:val="24"/>
                <w:szCs w:val="24"/>
                <w:lang w:val="en-US" w:eastAsia="zh-CN"/>
              </w:rPr>
              <w:t>发泡主剂、发泡固化剂、水性脱模剂、制冷剂、酒精、</w:t>
            </w:r>
            <w:r>
              <w:rPr>
                <w:rFonts w:hint="eastAsia" w:ascii="Times New Roman" w:hAnsi="Times New Roman" w:eastAsia="宋体" w:cs="Times New Roman"/>
                <w:bCs/>
                <w:color w:val="auto"/>
                <w:sz w:val="24"/>
                <w:szCs w:val="24"/>
                <w:lang w:val="en-US" w:eastAsia="zh-CN"/>
              </w:rPr>
              <w:t>废抹布、手套（含酒精）、废活性炭、废包装容器</w:t>
            </w:r>
            <w:r>
              <w:rPr>
                <w:rFonts w:hint="default" w:ascii="Times New Roman" w:hAnsi="Times New Roman" w:eastAsia="宋体" w:cs="Times New Roman"/>
                <w:color w:val="auto"/>
                <w:kern w:val="2"/>
                <w:sz w:val="24"/>
                <w:szCs w:val="24"/>
                <w:lang w:val="en-US" w:eastAsia="zh-CN" w:bidi="ar-SA"/>
              </w:rPr>
              <w:t>，存在于</w:t>
            </w:r>
            <w:r>
              <w:rPr>
                <w:rFonts w:hint="eastAsia" w:cs="Times New Roman"/>
                <w:color w:val="auto"/>
                <w:kern w:val="2"/>
                <w:sz w:val="24"/>
                <w:szCs w:val="24"/>
                <w:lang w:val="en-US" w:eastAsia="zh-CN" w:bidi="ar-SA"/>
              </w:rPr>
              <w:t>原料仓库、生产区</w:t>
            </w:r>
            <w:r>
              <w:rPr>
                <w:rFonts w:hint="eastAsia" w:ascii="Times New Roman" w:hAnsi="Times New Roman" w:eastAsia="宋体" w:cs="Times New Roman"/>
                <w:color w:val="auto"/>
                <w:kern w:val="2"/>
                <w:sz w:val="24"/>
                <w:szCs w:val="24"/>
                <w:lang w:val="en-US" w:eastAsia="zh-CN" w:bidi="ar-SA"/>
              </w:rPr>
              <w:t>及危废仓库</w:t>
            </w:r>
            <w:r>
              <w:rPr>
                <w:rFonts w:hint="default" w:ascii="Times New Roman" w:hAnsi="Times New Roman" w:eastAsia="宋体" w:cs="Times New Roman"/>
                <w:color w:val="auto"/>
                <w:kern w:val="2"/>
                <w:sz w:val="24"/>
                <w:szCs w:val="24"/>
                <w:lang w:val="en-US" w:eastAsia="zh-CN" w:bidi="ar-SA"/>
              </w:rPr>
              <w:t>中，意外情况下一旦发生</w:t>
            </w:r>
            <w:r>
              <w:rPr>
                <w:rFonts w:hint="eastAsia" w:ascii="Times New Roman" w:hAnsi="Times New Roman" w:eastAsia="宋体" w:cs="Times New Roman"/>
                <w:color w:val="auto"/>
                <w:kern w:val="2"/>
                <w:sz w:val="24"/>
                <w:szCs w:val="24"/>
                <w:lang w:val="en-US" w:eastAsia="zh-CN" w:bidi="ar-SA"/>
              </w:rPr>
              <w:t>泄漏</w:t>
            </w:r>
            <w:r>
              <w:rPr>
                <w:rFonts w:hint="default" w:ascii="Times New Roman" w:hAnsi="Times New Roman" w:eastAsia="宋体" w:cs="Times New Roman"/>
                <w:color w:val="auto"/>
                <w:kern w:val="2"/>
                <w:sz w:val="24"/>
                <w:szCs w:val="24"/>
                <w:lang w:val="en-US" w:eastAsia="zh-CN" w:bidi="ar-SA"/>
              </w:rPr>
              <w:t>，对周围环境会产生一定的影响；在加强管理和严格规范操作，做好各项风险防范措施后，本项目的风险事故发生概率较小，风险可防控。</w:t>
            </w:r>
          </w:p>
          <w:p w14:paraId="0AC9E63E">
            <w:pPr>
              <w:rPr>
                <w:rFonts w:ascii="宋体" w:hAnsi="宋体" w:cs="宋体"/>
                <w:bCs/>
                <w:color w:val="auto"/>
                <w:spacing w:val="-10"/>
                <w:szCs w:val="21"/>
              </w:rPr>
            </w:pPr>
          </w:p>
          <w:p w14:paraId="76B8EE6B">
            <w:pPr>
              <w:rPr>
                <w:color w:val="FF0000"/>
              </w:rPr>
            </w:pPr>
          </w:p>
        </w:tc>
      </w:tr>
    </w:tbl>
    <w:p w14:paraId="646B570E">
      <w:pPr>
        <w:pStyle w:val="4"/>
        <w:rPr>
          <w:rFonts w:eastAsiaTheme="minorEastAsia"/>
          <w:color w:val="auto"/>
        </w:rPr>
      </w:pPr>
      <w:bookmarkStart w:id="12" w:name="_Toc444"/>
      <w:bookmarkStart w:id="13" w:name="_Toc20667"/>
      <w:r>
        <w:rPr>
          <w:rFonts w:eastAsiaTheme="minorEastAsia"/>
          <w:color w:val="auto"/>
        </w:rPr>
        <w:t>五、</w:t>
      </w:r>
      <w:bookmarkStart w:id="14" w:name="_Hlk54167917"/>
      <w:r>
        <w:rPr>
          <w:rFonts w:hint="eastAsia" w:ascii="宋体" w:hAnsi="宋体" w:eastAsia="宋体" w:cs="宋体"/>
          <w:snapToGrid w:val="0"/>
          <w:color w:val="auto"/>
          <w:szCs w:val="28"/>
        </w:rPr>
        <w:t>环境保护措施监督检查清单</w:t>
      </w:r>
      <w:bookmarkEnd w:id="12"/>
      <w:bookmarkEnd w:id="13"/>
      <w:bookmarkEnd w:id="14"/>
    </w:p>
    <w:tbl>
      <w:tblPr>
        <w:tblStyle w:val="35"/>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068"/>
        <w:gridCol w:w="1069"/>
        <w:gridCol w:w="983"/>
        <w:gridCol w:w="1376"/>
        <w:gridCol w:w="2648"/>
      </w:tblGrid>
      <w:tr w14:paraId="7854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56" w:type="dxa"/>
            <w:tcBorders>
              <w:tl2br w:val="single" w:color="auto" w:sz="4" w:space="0"/>
            </w:tcBorders>
          </w:tcPr>
          <w:p w14:paraId="76C402E2">
            <w:pPr>
              <w:adjustRightInd w:val="0"/>
              <w:snapToGrid w:val="0"/>
              <w:ind w:firstLine="840"/>
              <w:rPr>
                <w:rFonts w:ascii="宋体" w:hAnsi="宋体" w:cs="宋体"/>
                <w:b/>
                <w:bCs/>
                <w:color w:val="auto"/>
                <w:szCs w:val="21"/>
              </w:rPr>
            </w:pPr>
            <w:r>
              <w:rPr>
                <w:rFonts w:hint="eastAsia" w:ascii="宋体" w:hAnsi="宋体" w:cs="宋体"/>
                <w:b/>
                <w:bCs/>
                <w:color w:val="auto"/>
                <w:szCs w:val="21"/>
              </w:rPr>
              <w:t>内容</w:t>
            </w:r>
          </w:p>
          <w:p w14:paraId="1CFA5AB4">
            <w:pPr>
              <w:adjustRightInd w:val="0"/>
              <w:snapToGrid w:val="0"/>
              <w:rPr>
                <w:rFonts w:ascii="宋体" w:hAnsi="宋体" w:cs="宋体"/>
                <w:b/>
                <w:bCs/>
                <w:color w:val="auto"/>
                <w:szCs w:val="21"/>
              </w:rPr>
            </w:pPr>
            <w:r>
              <w:rPr>
                <w:rFonts w:hint="eastAsia" w:ascii="宋体" w:hAnsi="宋体" w:cs="宋体"/>
                <w:b/>
                <w:bCs/>
                <w:color w:val="auto"/>
                <w:szCs w:val="21"/>
              </w:rPr>
              <w:t>要素</w:t>
            </w:r>
          </w:p>
        </w:tc>
        <w:tc>
          <w:tcPr>
            <w:tcW w:w="2137" w:type="dxa"/>
            <w:gridSpan w:val="2"/>
            <w:vAlign w:val="center"/>
          </w:tcPr>
          <w:p w14:paraId="013C8BDF">
            <w:pPr>
              <w:adjustRightInd w:val="0"/>
              <w:snapToGrid w:val="0"/>
              <w:jc w:val="center"/>
              <w:rPr>
                <w:rFonts w:ascii="宋体" w:hAnsi="宋体" w:cs="宋体"/>
                <w:b/>
                <w:bCs/>
                <w:color w:val="auto"/>
                <w:szCs w:val="21"/>
              </w:rPr>
            </w:pPr>
            <w:r>
              <w:rPr>
                <w:rFonts w:hint="eastAsia" w:ascii="宋体" w:hAnsi="宋体" w:cs="宋体"/>
                <w:b/>
                <w:bCs/>
                <w:color w:val="auto"/>
                <w:szCs w:val="21"/>
              </w:rPr>
              <w:t>排放口</w:t>
            </w:r>
            <w:r>
              <w:rPr>
                <w:rFonts w:hint="eastAsia" w:ascii="宋体" w:hAnsi="宋体" w:cs="宋体"/>
                <w:b/>
                <w:bCs/>
                <w:color w:val="auto"/>
                <w:szCs w:val="21"/>
                <w:lang w:eastAsia="zh-CN"/>
              </w:rPr>
              <w:t>（</w:t>
            </w:r>
            <w:r>
              <w:rPr>
                <w:rFonts w:hint="eastAsia" w:ascii="宋体" w:hAnsi="宋体" w:cs="宋体"/>
                <w:b/>
                <w:bCs/>
                <w:color w:val="auto"/>
                <w:szCs w:val="21"/>
              </w:rPr>
              <w:t>编号、</w:t>
            </w:r>
          </w:p>
          <w:p w14:paraId="5A472320">
            <w:pPr>
              <w:adjustRightInd w:val="0"/>
              <w:snapToGrid w:val="0"/>
              <w:jc w:val="center"/>
              <w:rPr>
                <w:rFonts w:ascii="宋体" w:hAnsi="宋体" w:cs="宋体"/>
                <w:b/>
                <w:bCs/>
                <w:color w:val="auto"/>
                <w:szCs w:val="21"/>
              </w:rPr>
            </w:pPr>
            <w:r>
              <w:rPr>
                <w:rFonts w:hint="eastAsia" w:ascii="宋体" w:hAnsi="宋体" w:cs="宋体"/>
                <w:b/>
                <w:bCs/>
                <w:color w:val="auto"/>
                <w:szCs w:val="21"/>
              </w:rPr>
              <w:t>名称</w:t>
            </w:r>
            <w:r>
              <w:rPr>
                <w:rFonts w:hint="eastAsia" w:ascii="宋体" w:hAnsi="宋体" w:cs="宋体"/>
                <w:b/>
                <w:bCs/>
                <w:color w:val="auto"/>
                <w:szCs w:val="21"/>
                <w:lang w:eastAsia="zh-CN"/>
              </w:rPr>
              <w:t>）</w:t>
            </w:r>
            <w:r>
              <w:rPr>
                <w:rFonts w:hint="eastAsia" w:ascii="宋体" w:hAnsi="宋体" w:cs="宋体"/>
                <w:b/>
                <w:bCs/>
                <w:color w:val="auto"/>
                <w:szCs w:val="21"/>
              </w:rPr>
              <w:t>/污染源</w:t>
            </w:r>
          </w:p>
        </w:tc>
        <w:tc>
          <w:tcPr>
            <w:tcW w:w="983" w:type="dxa"/>
            <w:vAlign w:val="center"/>
          </w:tcPr>
          <w:p w14:paraId="5028AA4F">
            <w:pPr>
              <w:adjustRightInd w:val="0"/>
              <w:snapToGrid w:val="0"/>
              <w:jc w:val="center"/>
              <w:rPr>
                <w:rFonts w:ascii="宋体" w:hAnsi="宋体" w:cs="宋体"/>
                <w:b/>
                <w:bCs/>
                <w:color w:val="auto"/>
                <w:szCs w:val="21"/>
              </w:rPr>
            </w:pPr>
            <w:r>
              <w:rPr>
                <w:rFonts w:hint="eastAsia" w:ascii="宋体" w:hAnsi="宋体" w:cs="宋体"/>
                <w:b/>
                <w:bCs/>
                <w:color w:val="auto"/>
                <w:szCs w:val="21"/>
              </w:rPr>
              <w:t>污染物项目</w:t>
            </w:r>
          </w:p>
        </w:tc>
        <w:tc>
          <w:tcPr>
            <w:tcW w:w="1376" w:type="dxa"/>
            <w:vAlign w:val="center"/>
          </w:tcPr>
          <w:p w14:paraId="6513C00B">
            <w:pPr>
              <w:adjustRightInd w:val="0"/>
              <w:snapToGrid w:val="0"/>
              <w:jc w:val="center"/>
              <w:rPr>
                <w:rFonts w:ascii="宋体" w:hAnsi="宋体" w:cs="宋体"/>
                <w:b/>
                <w:bCs/>
                <w:color w:val="auto"/>
                <w:szCs w:val="21"/>
              </w:rPr>
            </w:pPr>
            <w:r>
              <w:rPr>
                <w:rFonts w:hint="eastAsia" w:ascii="宋体" w:hAnsi="宋体" w:cs="宋体"/>
                <w:b/>
                <w:bCs/>
                <w:color w:val="auto"/>
                <w:szCs w:val="21"/>
              </w:rPr>
              <w:t>环境保护措施</w:t>
            </w:r>
          </w:p>
        </w:tc>
        <w:tc>
          <w:tcPr>
            <w:tcW w:w="2648" w:type="dxa"/>
            <w:vAlign w:val="center"/>
          </w:tcPr>
          <w:p w14:paraId="04BB0F79">
            <w:pPr>
              <w:adjustRightInd w:val="0"/>
              <w:snapToGrid w:val="0"/>
              <w:jc w:val="center"/>
              <w:rPr>
                <w:rFonts w:ascii="宋体" w:hAnsi="宋体" w:cs="宋体"/>
                <w:b/>
                <w:bCs/>
                <w:color w:val="auto"/>
                <w:szCs w:val="21"/>
              </w:rPr>
            </w:pPr>
            <w:r>
              <w:rPr>
                <w:rFonts w:hint="eastAsia" w:ascii="宋体" w:hAnsi="宋体" w:cs="宋体"/>
                <w:b/>
                <w:bCs/>
                <w:color w:val="auto"/>
                <w:szCs w:val="21"/>
              </w:rPr>
              <w:t>执行标准</w:t>
            </w:r>
          </w:p>
        </w:tc>
      </w:tr>
      <w:tr w14:paraId="3072D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656" w:type="dxa"/>
            <w:vMerge w:val="restart"/>
            <w:vAlign w:val="center"/>
          </w:tcPr>
          <w:p w14:paraId="177E6B02">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大气环境</w:t>
            </w:r>
          </w:p>
        </w:tc>
        <w:tc>
          <w:tcPr>
            <w:tcW w:w="2137" w:type="dxa"/>
            <w:gridSpan w:val="2"/>
            <w:vMerge w:val="restart"/>
            <w:shd w:val="clear" w:color="auto" w:fill="auto"/>
            <w:vAlign w:val="center"/>
          </w:tcPr>
          <w:p w14:paraId="72170989">
            <w:pPr>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DA001排气筒</w:t>
            </w:r>
          </w:p>
          <w:p w14:paraId="53D8F857">
            <w:pPr>
              <w:jc w:val="center"/>
              <w:rPr>
                <w:rFonts w:hint="eastAsia"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eastAsiaTheme="minorEastAsia"/>
                <w:color w:val="auto"/>
                <w:szCs w:val="21"/>
                <w:lang w:val="en-US" w:eastAsia="zh-CN"/>
              </w:rPr>
              <w:t>（</w:t>
            </w:r>
            <w:r>
              <w:rPr>
                <w:rFonts w:hint="eastAsia" w:cs="Times New Roman" w:eastAsiaTheme="minorEastAsia"/>
                <w:color w:val="auto"/>
                <w:szCs w:val="21"/>
                <w:lang w:val="en-US" w:eastAsia="zh-CN"/>
              </w:rPr>
              <w:t>发泡废气G1、擦拭废气G3</w:t>
            </w:r>
            <w:r>
              <w:rPr>
                <w:rFonts w:hint="default" w:ascii="Times New Roman" w:hAnsi="Times New Roman" w:cs="Times New Roman" w:eastAsiaTheme="minorEastAsia"/>
                <w:color w:val="auto"/>
                <w:szCs w:val="21"/>
                <w:lang w:val="en-US" w:eastAsia="zh-CN"/>
              </w:rPr>
              <w:t>）</w:t>
            </w:r>
          </w:p>
        </w:tc>
        <w:tc>
          <w:tcPr>
            <w:tcW w:w="983" w:type="dxa"/>
            <w:shd w:val="clear" w:color="auto" w:fill="auto"/>
            <w:vAlign w:val="center"/>
          </w:tcPr>
          <w:p w14:paraId="594FB25E">
            <w:pPr>
              <w:adjustRightInd w:val="0"/>
              <w:snapToGrid w:val="0"/>
              <w:jc w:val="center"/>
              <w:rPr>
                <w:rFonts w:hint="default" w:ascii="Times New Roman" w:hAnsi="Times New Roman" w:eastAsia="宋体" w:cs="Times New Roman"/>
                <w:color w:val="FF0000"/>
                <w:szCs w:val="21"/>
                <w:lang w:val="en-US" w:eastAsia="zh-CN"/>
              </w:rPr>
            </w:pPr>
            <w:r>
              <w:rPr>
                <w:rFonts w:hint="eastAsia" w:ascii="Times New Roman" w:hAnsi="Times New Roman" w:eastAsia="宋体" w:cs="Times New Roman"/>
                <w:color w:val="auto"/>
                <w:kern w:val="2"/>
                <w:sz w:val="21"/>
                <w:szCs w:val="21"/>
                <w:lang w:val="en-US" w:eastAsia="zh-CN" w:bidi="ar-SA"/>
              </w:rPr>
              <w:t>非甲烷总烃、</w:t>
            </w:r>
            <w:r>
              <w:rPr>
                <w:rFonts w:hint="eastAsia" w:cs="Times New Roman"/>
                <w:color w:val="auto"/>
                <w:kern w:val="2"/>
                <w:sz w:val="21"/>
                <w:szCs w:val="21"/>
                <w:lang w:val="en-US" w:eastAsia="zh-CN" w:bidi="ar-SA"/>
              </w:rPr>
              <w:t>PAPI、MDI</w:t>
            </w:r>
          </w:p>
        </w:tc>
        <w:tc>
          <w:tcPr>
            <w:tcW w:w="1376" w:type="dxa"/>
            <w:vMerge w:val="restart"/>
            <w:shd w:val="clear" w:color="auto" w:fill="auto"/>
            <w:vAlign w:val="center"/>
          </w:tcPr>
          <w:p w14:paraId="5CB622CC">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TA001废气收集及处理系统（</w:t>
            </w:r>
            <w:r>
              <w:rPr>
                <w:rFonts w:hint="eastAsia"/>
                <w:color w:val="auto"/>
                <w:szCs w:val="21"/>
                <w:lang w:val="en-US" w:eastAsia="zh-CN"/>
              </w:rPr>
              <w:t>两级活性炭</w:t>
            </w:r>
            <w:r>
              <w:rPr>
                <w:rFonts w:hint="eastAsia" w:ascii="Times New Roman" w:hAnsi="Times New Roman" w:eastAsia="宋体" w:cs="Times New Roman"/>
                <w:color w:val="auto"/>
                <w:szCs w:val="21"/>
                <w:lang w:val="en-US" w:eastAsia="zh-CN"/>
              </w:rPr>
              <w:t>，风量</w:t>
            </w:r>
            <w:r>
              <w:rPr>
                <w:rFonts w:hint="eastAsia" w:cs="Times New Roman"/>
                <w:color w:val="auto"/>
                <w:szCs w:val="21"/>
                <w:lang w:val="en-US" w:eastAsia="zh-CN"/>
              </w:rPr>
              <w:t>4</w:t>
            </w:r>
            <w:r>
              <w:rPr>
                <w:rFonts w:hint="eastAsia" w:ascii="Times New Roman" w:hAnsi="Times New Roman" w:eastAsia="宋体" w:cs="Times New Roman"/>
                <w:color w:val="auto"/>
                <w:szCs w:val="21"/>
                <w:lang w:val="en-US" w:eastAsia="zh-CN"/>
              </w:rPr>
              <w:t>000</w:t>
            </w:r>
            <w:r>
              <w:rPr>
                <w:rFonts w:hint="default" w:ascii="Times New Roman" w:hAnsi="Times New Roman" w:eastAsia="宋体" w:cs="Times New Roman"/>
                <w:color w:val="auto"/>
                <w:szCs w:val="21"/>
                <w:lang w:val="en-US" w:eastAsia="zh-CN"/>
              </w:rPr>
              <w:t>m</w:t>
            </w:r>
            <w:r>
              <w:rPr>
                <w:rFonts w:hint="default" w:ascii="Times New Roman" w:hAnsi="Times New Roman" w:eastAsia="宋体" w:cs="Times New Roman"/>
                <w:color w:val="auto"/>
                <w:szCs w:val="21"/>
                <w:vertAlign w:val="superscript"/>
                <w:lang w:val="en-US" w:eastAsia="zh-CN"/>
              </w:rPr>
              <w:t>3</w:t>
            </w:r>
            <w:r>
              <w:rPr>
                <w:rFonts w:hint="default" w:ascii="Times New Roman" w:hAnsi="Times New Roman" w:eastAsia="宋体" w:cs="Times New Roman"/>
                <w:color w:val="auto"/>
                <w:szCs w:val="21"/>
                <w:lang w:val="en-US" w:eastAsia="zh-CN"/>
              </w:rPr>
              <w:t>/h</w:t>
            </w:r>
            <w:r>
              <w:rPr>
                <w:rFonts w:hint="eastAsia" w:ascii="Times New Roman" w:hAnsi="Times New Roman" w:eastAsia="宋体" w:cs="Times New Roman"/>
                <w:color w:val="auto"/>
                <w:szCs w:val="21"/>
                <w:lang w:val="en-US" w:eastAsia="zh-CN"/>
              </w:rPr>
              <w:t>）</w:t>
            </w:r>
          </w:p>
        </w:tc>
        <w:tc>
          <w:tcPr>
            <w:tcW w:w="2648" w:type="dxa"/>
            <w:shd w:val="clear" w:color="auto" w:fill="auto"/>
            <w:vAlign w:val="center"/>
          </w:tcPr>
          <w:p w14:paraId="7D8D043B">
            <w:pPr>
              <w:jc w:val="center"/>
              <w:rPr>
                <w:rFonts w:hint="default" w:ascii="Times New Roman" w:hAnsi="Times New Roman" w:eastAsia="宋体" w:cs="Times New Roman"/>
                <w:color w:val="FF0000"/>
                <w:szCs w:val="21"/>
                <w:lang w:val="en-US" w:eastAsia="zh-CN"/>
              </w:rPr>
            </w:pPr>
            <w:r>
              <w:rPr>
                <w:color w:val="auto"/>
                <w:szCs w:val="21"/>
              </w:rPr>
              <w:t>《合成树</w:t>
            </w:r>
            <w:r>
              <w:rPr>
                <w:rFonts w:ascii="Times New Roman" w:hAnsi="Times New Roman" w:eastAsia="宋体" w:cs="Times New Roman"/>
                <w:color w:val="auto"/>
                <w:szCs w:val="21"/>
              </w:rPr>
              <w:t>脂工业污染物排放标准》（GB31572-2015）</w:t>
            </w:r>
            <w:r>
              <w:rPr>
                <w:rFonts w:hint="eastAsia" w:ascii="Times New Roman" w:hAnsi="Times New Roman" w:eastAsia="宋体" w:cs="Times New Roman"/>
                <w:color w:val="auto"/>
                <w:szCs w:val="21"/>
                <w:lang w:val="en-US" w:eastAsia="zh-CN"/>
              </w:rPr>
              <w:t>及修改单（生态环境部公告2024年第17号）表5标准</w:t>
            </w:r>
          </w:p>
        </w:tc>
      </w:tr>
      <w:tr w14:paraId="2A069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6" w:type="dxa"/>
            <w:vMerge w:val="continue"/>
            <w:vAlign w:val="center"/>
          </w:tcPr>
          <w:p w14:paraId="51145CDF">
            <w:pPr>
              <w:adjustRightInd w:val="0"/>
              <w:snapToGrid w:val="0"/>
              <w:jc w:val="center"/>
              <w:rPr>
                <w:rFonts w:hint="eastAsia" w:ascii="宋体" w:hAnsi="宋体" w:cs="宋体"/>
                <w:b/>
                <w:bCs/>
                <w:color w:val="auto"/>
                <w:szCs w:val="21"/>
              </w:rPr>
            </w:pPr>
          </w:p>
        </w:tc>
        <w:tc>
          <w:tcPr>
            <w:tcW w:w="2137" w:type="dxa"/>
            <w:gridSpan w:val="2"/>
            <w:vMerge w:val="continue"/>
            <w:shd w:val="clear" w:color="auto" w:fill="auto"/>
            <w:vAlign w:val="center"/>
          </w:tcPr>
          <w:p w14:paraId="3E8D11CF">
            <w:pPr>
              <w:jc w:val="center"/>
              <w:rPr>
                <w:rFonts w:hint="default" w:ascii="Times New Roman" w:hAnsi="Times New Roman" w:cs="Times New Roman" w:eastAsiaTheme="minorEastAsia"/>
                <w:color w:val="auto"/>
                <w:szCs w:val="21"/>
                <w:lang w:val="en-US" w:eastAsia="zh-CN"/>
              </w:rPr>
            </w:pPr>
          </w:p>
        </w:tc>
        <w:tc>
          <w:tcPr>
            <w:tcW w:w="983" w:type="dxa"/>
            <w:shd w:val="clear" w:color="auto" w:fill="auto"/>
            <w:vAlign w:val="center"/>
          </w:tcPr>
          <w:p w14:paraId="578FA6A2">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臭气浓度</w:t>
            </w:r>
          </w:p>
        </w:tc>
        <w:tc>
          <w:tcPr>
            <w:tcW w:w="1376" w:type="dxa"/>
            <w:vMerge w:val="continue"/>
            <w:shd w:val="clear" w:color="auto" w:fill="auto"/>
            <w:vAlign w:val="center"/>
          </w:tcPr>
          <w:p w14:paraId="421F826D">
            <w:pPr>
              <w:jc w:val="center"/>
              <w:rPr>
                <w:rFonts w:hint="eastAsia" w:ascii="Times New Roman" w:hAnsi="Times New Roman" w:eastAsia="宋体" w:cs="Times New Roman"/>
                <w:color w:val="auto"/>
                <w:szCs w:val="21"/>
                <w:lang w:val="en-US" w:eastAsia="zh-CN"/>
              </w:rPr>
            </w:pPr>
          </w:p>
        </w:tc>
        <w:tc>
          <w:tcPr>
            <w:tcW w:w="2648" w:type="dxa"/>
            <w:shd w:val="clear" w:color="auto" w:fill="auto"/>
            <w:vAlign w:val="center"/>
          </w:tcPr>
          <w:p w14:paraId="6AC91C9D">
            <w:pPr>
              <w:jc w:val="center"/>
              <w:rPr>
                <w:color w:val="auto"/>
                <w:szCs w:val="21"/>
              </w:rPr>
            </w:pPr>
            <w:r>
              <w:rPr>
                <w:rFonts w:hint="eastAsia" w:ascii="Times New Roman" w:hAnsi="Times New Roman" w:cs="Times New Roman" w:eastAsiaTheme="minorEastAsia"/>
                <w:color w:val="auto"/>
                <w:szCs w:val="21"/>
                <w:lang w:val="en-US" w:eastAsia="zh-CN"/>
              </w:rPr>
              <w:t>《恶臭污染物排放标准》（GB14554-93）表2标准</w:t>
            </w:r>
          </w:p>
        </w:tc>
      </w:tr>
      <w:tr w14:paraId="7D3FC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656" w:type="dxa"/>
            <w:vMerge w:val="continue"/>
            <w:vAlign w:val="center"/>
          </w:tcPr>
          <w:p w14:paraId="4681FC4D">
            <w:pPr>
              <w:adjustRightInd w:val="0"/>
              <w:snapToGrid w:val="0"/>
              <w:jc w:val="center"/>
              <w:rPr>
                <w:rFonts w:hint="eastAsia" w:ascii="宋体" w:hAnsi="宋体" w:cs="宋体"/>
                <w:b/>
                <w:bCs/>
                <w:color w:val="auto"/>
                <w:szCs w:val="21"/>
              </w:rPr>
            </w:pPr>
          </w:p>
        </w:tc>
        <w:tc>
          <w:tcPr>
            <w:tcW w:w="1068" w:type="dxa"/>
            <w:vMerge w:val="restart"/>
            <w:shd w:val="clear" w:color="auto" w:fill="auto"/>
            <w:vAlign w:val="center"/>
          </w:tcPr>
          <w:p w14:paraId="6E453353">
            <w:pPr>
              <w:jc w:val="center"/>
              <w:rPr>
                <w:rFonts w:hint="eastAsia" w:cs="Times New Roman" w:eastAsiaTheme="minorEastAsia"/>
                <w:color w:val="auto"/>
                <w:szCs w:val="21"/>
                <w:lang w:val="en-US" w:eastAsia="zh-CN"/>
              </w:rPr>
            </w:pPr>
            <w:r>
              <w:rPr>
                <w:rFonts w:hint="eastAsia" w:cs="Times New Roman" w:eastAsiaTheme="minorEastAsia"/>
                <w:color w:val="auto"/>
                <w:szCs w:val="21"/>
                <w:lang w:val="en-US" w:eastAsia="zh-CN"/>
              </w:rPr>
              <w:t>面源</w:t>
            </w:r>
          </w:p>
          <w:p w14:paraId="4807875B">
            <w:pPr>
              <w:jc w:val="center"/>
              <w:rPr>
                <w:rFonts w:hint="eastAsia"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szCs w:val="21"/>
                <w:lang w:val="en-US" w:eastAsia="zh-CN"/>
              </w:rPr>
              <w:t>（生产车间）</w:t>
            </w:r>
          </w:p>
        </w:tc>
        <w:tc>
          <w:tcPr>
            <w:tcW w:w="1069" w:type="dxa"/>
            <w:shd w:val="clear" w:color="auto" w:fill="auto"/>
            <w:vAlign w:val="center"/>
          </w:tcPr>
          <w:p w14:paraId="3DD5FCE0">
            <w:pPr>
              <w:jc w:val="center"/>
              <w:rPr>
                <w:rFonts w:hint="default" w:ascii="Times New Roman" w:hAnsi="Times New Roman" w:cs="Times New Roman" w:eastAsiaTheme="minorEastAsia"/>
                <w:color w:val="auto"/>
                <w:szCs w:val="21"/>
                <w:lang w:val="en-US" w:eastAsia="zh-CN"/>
              </w:rPr>
            </w:pPr>
            <w:r>
              <w:rPr>
                <w:rFonts w:hint="eastAsia" w:cs="Times New Roman" w:eastAsiaTheme="minorEastAsia"/>
                <w:color w:val="auto"/>
                <w:szCs w:val="21"/>
                <w:lang w:val="en-US" w:eastAsia="zh-CN"/>
              </w:rPr>
              <w:t>焊接烟尘G2</w:t>
            </w:r>
          </w:p>
        </w:tc>
        <w:tc>
          <w:tcPr>
            <w:tcW w:w="983" w:type="dxa"/>
            <w:shd w:val="clear" w:color="auto" w:fill="auto"/>
            <w:vAlign w:val="center"/>
          </w:tcPr>
          <w:p w14:paraId="1F0D2B09">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颗粒物</w:t>
            </w:r>
          </w:p>
        </w:tc>
        <w:tc>
          <w:tcPr>
            <w:tcW w:w="1376" w:type="dxa"/>
            <w:shd w:val="clear" w:color="auto" w:fill="auto"/>
            <w:vAlign w:val="center"/>
          </w:tcPr>
          <w:p w14:paraId="4F607CC3">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移动式焊烟净化器（1#）</w:t>
            </w:r>
          </w:p>
        </w:tc>
        <w:tc>
          <w:tcPr>
            <w:tcW w:w="2648" w:type="dxa"/>
            <w:vMerge w:val="restart"/>
            <w:shd w:val="clear" w:color="auto" w:fill="auto"/>
            <w:vAlign w:val="center"/>
          </w:tcPr>
          <w:p w14:paraId="159290C1">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厂界非甲烷总烃：</w:t>
            </w:r>
            <w:r>
              <w:rPr>
                <w:rFonts w:hint="eastAsia" w:ascii="Times New Roman" w:hAnsi="Times New Roman" w:eastAsia="宋体" w:cs="Times New Roman"/>
                <w:color w:val="000000" w:themeColor="text1"/>
                <w:szCs w:val="21"/>
                <w:lang w:val="en-US" w:eastAsia="zh-CN"/>
                <w14:textFill>
                  <w14:solidFill>
                    <w14:schemeClr w14:val="tx1"/>
                  </w14:solidFill>
                </w14:textFill>
              </w:rPr>
              <w:t>《合成树脂工业污染物排放标准》（GB31572-2015）及修改单（生态环境部公告2024年第17号）表9标准</w:t>
            </w:r>
            <w:r>
              <w:rPr>
                <w:rFonts w:hint="eastAsia" w:ascii="Times New Roman" w:hAnsi="Times New Roman" w:cs="Times New Roman" w:eastAsiaTheme="minorEastAsia"/>
                <w:color w:val="auto"/>
                <w:szCs w:val="21"/>
                <w:lang w:val="en-US" w:eastAsia="zh-CN"/>
              </w:rPr>
              <w:t xml:space="preserve">；厂界臭气浓度：《恶臭污染物排放标准》 </w:t>
            </w:r>
          </w:p>
          <w:p w14:paraId="3CABC752">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（GB14554-93）表1标准；厂界颗粒物：《大气污染物综合排放标准》（DB32/4041-2021）表3标准；厂区内：</w:t>
            </w:r>
            <w:r>
              <w:rPr>
                <w:rFonts w:hint="default" w:ascii="Times New Roman" w:hAnsi="Times New Roman" w:cs="Times New Roman" w:eastAsiaTheme="minorEastAsia"/>
                <w:color w:val="auto"/>
                <w:szCs w:val="21"/>
                <w:lang w:val="en-US" w:eastAsia="zh-CN"/>
              </w:rPr>
              <w:t>《大气污染物综合排放标准》</w:t>
            </w:r>
            <w:r>
              <w:rPr>
                <w:rFonts w:hint="eastAsia" w:ascii="Times New Roman" w:hAnsi="Times New Roman" w:cs="Times New Roman" w:eastAsiaTheme="minorEastAsia"/>
                <w:color w:val="auto"/>
                <w:szCs w:val="21"/>
                <w:lang w:val="en-US" w:eastAsia="zh-CN"/>
              </w:rPr>
              <w:t>（DB32/4041-2021</w:t>
            </w:r>
            <w:r>
              <w:rPr>
                <w:rFonts w:hint="default" w:ascii="Times New Roman" w:hAnsi="Times New Roman" w:cs="Times New Roman" w:eastAsiaTheme="minorEastAsia"/>
                <w:color w:val="auto"/>
                <w:szCs w:val="21"/>
                <w:lang w:val="en-US" w:eastAsia="zh-CN"/>
              </w:rPr>
              <w:t>）表</w:t>
            </w:r>
            <w:r>
              <w:rPr>
                <w:rFonts w:hint="eastAsia" w:ascii="Times New Roman" w:hAnsi="Times New Roman" w:cs="Times New Roman" w:eastAsiaTheme="minorEastAsia"/>
                <w:color w:val="auto"/>
                <w:szCs w:val="21"/>
                <w:lang w:val="en-US" w:eastAsia="zh-CN"/>
              </w:rPr>
              <w:t>2标准、《挥发性有机物无组织排放控制标准》（GB37822-2019）附录A标准</w:t>
            </w:r>
          </w:p>
        </w:tc>
      </w:tr>
      <w:tr w14:paraId="10AF7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656" w:type="dxa"/>
            <w:vMerge w:val="continue"/>
            <w:vAlign w:val="center"/>
          </w:tcPr>
          <w:p w14:paraId="2A0A2ED2">
            <w:pPr>
              <w:adjustRightInd w:val="0"/>
              <w:snapToGrid w:val="0"/>
              <w:jc w:val="center"/>
              <w:rPr>
                <w:rFonts w:hint="eastAsia" w:ascii="宋体" w:hAnsi="宋体" w:cs="宋体"/>
                <w:b/>
                <w:bCs/>
                <w:color w:val="auto"/>
                <w:szCs w:val="21"/>
              </w:rPr>
            </w:pPr>
          </w:p>
        </w:tc>
        <w:tc>
          <w:tcPr>
            <w:tcW w:w="1068" w:type="dxa"/>
            <w:vMerge w:val="continue"/>
            <w:shd w:val="clear" w:color="auto" w:fill="auto"/>
            <w:vAlign w:val="center"/>
          </w:tcPr>
          <w:p w14:paraId="75FE194E">
            <w:pPr>
              <w:jc w:val="center"/>
              <w:rPr>
                <w:rFonts w:hint="eastAsia" w:cs="Times New Roman" w:eastAsiaTheme="minorEastAsia"/>
                <w:color w:val="auto"/>
                <w:szCs w:val="21"/>
                <w:lang w:val="en-US" w:eastAsia="zh-CN"/>
              </w:rPr>
            </w:pPr>
          </w:p>
        </w:tc>
        <w:tc>
          <w:tcPr>
            <w:tcW w:w="1069" w:type="dxa"/>
            <w:shd w:val="clear" w:color="auto" w:fill="auto"/>
            <w:vAlign w:val="center"/>
          </w:tcPr>
          <w:p w14:paraId="79696BAF">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szCs w:val="21"/>
                <w:lang w:val="en-US" w:eastAsia="zh-CN"/>
              </w:rPr>
              <w:t>未捕集的发泡废气、擦拭废气</w:t>
            </w:r>
          </w:p>
        </w:tc>
        <w:tc>
          <w:tcPr>
            <w:tcW w:w="983" w:type="dxa"/>
            <w:shd w:val="clear" w:color="auto" w:fill="auto"/>
            <w:vAlign w:val="center"/>
          </w:tcPr>
          <w:p w14:paraId="7D1F0959">
            <w:pPr>
              <w:jc w:val="center"/>
              <w:rPr>
                <w:rFonts w:hint="eastAsia" w:ascii="Times New Roman" w:hAnsi="Times New Roman" w:cs="Times New Roman" w:eastAsiaTheme="minorEastAsia"/>
                <w:color w:val="FF0000"/>
                <w:kern w:val="2"/>
                <w:sz w:val="21"/>
                <w:szCs w:val="21"/>
                <w:lang w:val="en-US" w:eastAsia="zh-CN" w:bidi="ar-SA"/>
              </w:rPr>
            </w:pPr>
            <w:r>
              <w:rPr>
                <w:rFonts w:hint="eastAsia" w:cs="Times New Roman" w:eastAsiaTheme="minorEastAsia"/>
                <w:color w:val="auto"/>
                <w:szCs w:val="21"/>
                <w:lang w:val="en-US" w:eastAsia="zh-CN"/>
              </w:rPr>
              <w:t>非甲烷总烃、臭气浓度</w:t>
            </w:r>
          </w:p>
        </w:tc>
        <w:tc>
          <w:tcPr>
            <w:tcW w:w="1376" w:type="dxa"/>
            <w:shd w:val="clear" w:color="auto" w:fill="auto"/>
            <w:vAlign w:val="center"/>
          </w:tcPr>
          <w:p w14:paraId="7B9B7AF6">
            <w:pPr>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color w:val="auto"/>
                <w:szCs w:val="21"/>
                <w:lang w:val="en-US" w:eastAsia="zh-CN"/>
              </w:rPr>
              <w:t>加强车间通排风</w:t>
            </w:r>
          </w:p>
        </w:tc>
        <w:tc>
          <w:tcPr>
            <w:tcW w:w="2648" w:type="dxa"/>
            <w:vMerge w:val="continue"/>
            <w:shd w:val="clear" w:color="auto" w:fill="auto"/>
            <w:vAlign w:val="center"/>
          </w:tcPr>
          <w:p w14:paraId="263D91D6">
            <w:pPr>
              <w:jc w:val="center"/>
              <w:rPr>
                <w:rFonts w:hint="eastAsia" w:ascii="Times New Roman" w:hAnsi="Times New Roman" w:cs="Times New Roman" w:eastAsiaTheme="minorEastAsia"/>
                <w:color w:val="auto"/>
                <w:szCs w:val="21"/>
                <w:lang w:val="en-US" w:eastAsia="zh-CN"/>
              </w:rPr>
            </w:pPr>
          </w:p>
        </w:tc>
      </w:tr>
      <w:tr w14:paraId="0355D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656" w:type="dxa"/>
            <w:vAlign w:val="center"/>
          </w:tcPr>
          <w:p w14:paraId="1B4E9968">
            <w:pPr>
              <w:adjustRightInd w:val="0"/>
              <w:snapToGrid w:val="0"/>
              <w:jc w:val="center"/>
              <w:rPr>
                <w:rFonts w:ascii="宋体" w:hAnsi="宋体" w:cs="宋体"/>
                <w:b/>
                <w:bCs/>
                <w:color w:val="auto"/>
                <w:szCs w:val="21"/>
              </w:rPr>
            </w:pPr>
            <w:r>
              <w:rPr>
                <w:rFonts w:hint="eastAsia" w:ascii="宋体" w:hAnsi="宋体" w:cs="宋体"/>
                <w:b/>
                <w:bCs/>
                <w:color w:val="auto"/>
                <w:szCs w:val="21"/>
              </w:rPr>
              <w:t>地表水环境</w:t>
            </w:r>
          </w:p>
        </w:tc>
        <w:tc>
          <w:tcPr>
            <w:tcW w:w="2137" w:type="dxa"/>
            <w:gridSpan w:val="2"/>
            <w:vAlign w:val="center"/>
          </w:tcPr>
          <w:p w14:paraId="10453F52">
            <w:pPr>
              <w:jc w:val="center"/>
              <w:rPr>
                <w:rFonts w:hint="eastAsia" w:eastAsiaTheme="minorEastAsia"/>
                <w:color w:val="auto"/>
                <w:szCs w:val="21"/>
                <w:lang w:eastAsia="zh-CN"/>
              </w:rPr>
            </w:pPr>
            <w:r>
              <w:rPr>
                <w:rFonts w:eastAsiaTheme="minorEastAsia"/>
                <w:color w:val="auto"/>
                <w:szCs w:val="21"/>
              </w:rPr>
              <w:t>生活污水</w:t>
            </w:r>
          </w:p>
          <w:p w14:paraId="4729C0D4">
            <w:pPr>
              <w:jc w:val="center"/>
              <w:rPr>
                <w:rFonts w:ascii="宋体" w:hAnsi="宋体" w:cs="宋体"/>
                <w:color w:val="auto"/>
                <w:szCs w:val="21"/>
              </w:rPr>
            </w:pPr>
            <w:r>
              <w:rPr>
                <w:rFonts w:hint="eastAsia" w:ascii="Times New Roman" w:hAnsi="Times New Roman" w:eastAsia="宋体" w:cs="Times New Roman"/>
                <w:snapToGrid w:val="0"/>
                <w:color w:val="auto"/>
                <w:kern w:val="21"/>
                <w:sz w:val="21"/>
                <w:szCs w:val="21"/>
                <w:lang w:val="en-US" w:eastAsia="zh-CN"/>
              </w:rPr>
              <w:t>6</w:t>
            </w:r>
            <w:r>
              <w:rPr>
                <w:rFonts w:hint="eastAsia" w:cs="Times New Roman"/>
                <w:snapToGrid w:val="0"/>
                <w:color w:val="auto"/>
                <w:kern w:val="21"/>
                <w:sz w:val="21"/>
                <w:szCs w:val="21"/>
                <w:lang w:val="en-US" w:eastAsia="zh-CN"/>
              </w:rPr>
              <w:t>48</w:t>
            </w:r>
            <w:r>
              <w:rPr>
                <w:color w:val="auto"/>
                <w:szCs w:val="21"/>
              </w:rPr>
              <w:t>m</w:t>
            </w:r>
            <w:r>
              <w:rPr>
                <w:color w:val="auto"/>
                <w:szCs w:val="21"/>
                <w:vertAlign w:val="superscript"/>
              </w:rPr>
              <w:t>3</w:t>
            </w:r>
            <w:r>
              <w:rPr>
                <w:color w:val="auto"/>
                <w:szCs w:val="21"/>
              </w:rPr>
              <w:t>/a</w:t>
            </w:r>
          </w:p>
        </w:tc>
        <w:tc>
          <w:tcPr>
            <w:tcW w:w="983" w:type="dxa"/>
            <w:vAlign w:val="center"/>
          </w:tcPr>
          <w:p w14:paraId="38F547F9">
            <w:pPr>
              <w:adjustRightInd w:val="0"/>
              <w:snapToGrid w:val="0"/>
              <w:jc w:val="center"/>
              <w:rPr>
                <w:rFonts w:hint="default" w:ascii="宋体" w:hAnsi="宋体" w:cs="宋体" w:eastAsiaTheme="minorEastAsia"/>
                <w:color w:val="auto"/>
                <w:szCs w:val="21"/>
                <w:lang w:val="en-US" w:eastAsia="zh-CN"/>
              </w:rPr>
            </w:pPr>
            <w:r>
              <w:rPr>
                <w:rFonts w:hint="eastAsia" w:eastAsiaTheme="minorEastAsia"/>
                <w:color w:val="auto"/>
                <w:szCs w:val="21"/>
              </w:rPr>
              <w:t>pH、</w:t>
            </w:r>
            <w:r>
              <w:rPr>
                <w:rFonts w:eastAsiaTheme="minorEastAsia"/>
                <w:color w:val="auto"/>
                <w:szCs w:val="21"/>
              </w:rPr>
              <w:t>COD、SS、NH</w:t>
            </w:r>
            <w:r>
              <w:rPr>
                <w:rFonts w:eastAsiaTheme="minorEastAsia"/>
                <w:color w:val="auto"/>
                <w:szCs w:val="21"/>
                <w:vertAlign w:val="subscript"/>
              </w:rPr>
              <w:t>3</w:t>
            </w:r>
            <w:r>
              <w:rPr>
                <w:rFonts w:eastAsiaTheme="minorEastAsia"/>
                <w:color w:val="auto"/>
                <w:szCs w:val="21"/>
              </w:rPr>
              <w:t>-N、TP</w:t>
            </w:r>
            <w:r>
              <w:rPr>
                <w:rFonts w:hint="eastAsia" w:eastAsiaTheme="minorEastAsia"/>
                <w:color w:val="auto"/>
                <w:szCs w:val="21"/>
              </w:rPr>
              <w:t>、TN</w:t>
            </w:r>
          </w:p>
        </w:tc>
        <w:tc>
          <w:tcPr>
            <w:tcW w:w="1376" w:type="dxa"/>
            <w:vAlign w:val="center"/>
          </w:tcPr>
          <w:p w14:paraId="47E1FE1B">
            <w:pPr>
              <w:adjustRightInd w:val="0"/>
              <w:snapToGrid w:val="0"/>
              <w:jc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化粪池</w:t>
            </w:r>
          </w:p>
          <w:p w14:paraId="52F381E2">
            <w:pPr>
              <w:adjustRightInd w:val="0"/>
              <w:snapToGrid w:val="0"/>
              <w:jc w:val="center"/>
              <w:rPr>
                <w:rFonts w:hint="eastAsia" w:eastAsia="宋体"/>
                <w:color w:val="auto"/>
                <w:szCs w:val="21"/>
                <w:lang w:eastAsia="zh-CN"/>
              </w:rPr>
            </w:pPr>
            <w:r>
              <w:rPr>
                <w:rFonts w:hint="eastAsia" w:eastAsiaTheme="minorEastAsia"/>
                <w:color w:val="auto"/>
                <w:sz w:val="21"/>
                <w:szCs w:val="21"/>
                <w:lang w:val="en-US" w:eastAsia="zh-CN"/>
              </w:rPr>
              <w:t>（依托）</w:t>
            </w:r>
          </w:p>
        </w:tc>
        <w:tc>
          <w:tcPr>
            <w:tcW w:w="2648" w:type="dxa"/>
            <w:vAlign w:val="center"/>
          </w:tcPr>
          <w:p w14:paraId="4238AE4F">
            <w:pPr>
              <w:adjustRightInd w:val="0"/>
              <w:snapToGrid w:val="0"/>
              <w:jc w:val="center"/>
              <w:rPr>
                <w:rFonts w:ascii="宋体" w:hAnsi="宋体" w:cs="宋体"/>
                <w:color w:val="auto"/>
                <w:szCs w:val="21"/>
              </w:rPr>
            </w:pPr>
            <w:r>
              <w:rPr>
                <w:rFonts w:eastAsiaTheme="minorEastAsia"/>
                <w:color w:val="auto"/>
                <w:szCs w:val="21"/>
              </w:rPr>
              <w:t>《污水排入城镇下水道水质标准》（GB/T31962-2015）表1中B等级标准</w:t>
            </w:r>
          </w:p>
        </w:tc>
      </w:tr>
      <w:tr w14:paraId="34899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1656" w:type="dxa"/>
            <w:vAlign w:val="center"/>
          </w:tcPr>
          <w:p w14:paraId="5158070B">
            <w:pPr>
              <w:adjustRightInd w:val="0"/>
              <w:snapToGrid w:val="0"/>
              <w:jc w:val="center"/>
              <w:rPr>
                <w:rFonts w:ascii="宋体" w:hAnsi="宋体" w:cs="宋体"/>
                <w:b/>
                <w:bCs/>
                <w:color w:val="auto"/>
                <w:szCs w:val="21"/>
              </w:rPr>
            </w:pPr>
            <w:r>
              <w:rPr>
                <w:rFonts w:hint="eastAsia" w:ascii="宋体" w:hAnsi="宋体" w:cs="宋体"/>
                <w:b/>
                <w:bCs/>
                <w:color w:val="auto"/>
                <w:szCs w:val="21"/>
              </w:rPr>
              <w:t>声环境</w:t>
            </w:r>
          </w:p>
        </w:tc>
        <w:tc>
          <w:tcPr>
            <w:tcW w:w="2137" w:type="dxa"/>
            <w:gridSpan w:val="2"/>
            <w:vAlign w:val="center"/>
          </w:tcPr>
          <w:p w14:paraId="47509094">
            <w:pPr>
              <w:adjustRightInd w:val="0"/>
              <w:snapToGrid w:val="0"/>
              <w:jc w:val="center"/>
              <w:rPr>
                <w:rFonts w:eastAsiaTheme="minorEastAsia"/>
                <w:color w:val="auto"/>
                <w:szCs w:val="21"/>
              </w:rPr>
            </w:pPr>
            <w:r>
              <w:rPr>
                <w:rFonts w:hint="eastAsia" w:eastAsiaTheme="minorEastAsia"/>
                <w:color w:val="auto"/>
                <w:szCs w:val="21"/>
                <w:lang w:val="en-US" w:eastAsia="zh-CN"/>
              </w:rPr>
              <w:t>发泡机（1台）、冷媒充注机（2台）、空压机（1台）、风机（1台）</w:t>
            </w:r>
          </w:p>
        </w:tc>
        <w:tc>
          <w:tcPr>
            <w:tcW w:w="983" w:type="dxa"/>
            <w:vAlign w:val="center"/>
          </w:tcPr>
          <w:p w14:paraId="5F2ACBEE">
            <w:pPr>
              <w:adjustRightInd w:val="0"/>
              <w:snapToGrid w:val="0"/>
              <w:jc w:val="center"/>
              <w:rPr>
                <w:rFonts w:eastAsiaTheme="minorEastAsia"/>
                <w:color w:val="auto"/>
                <w:szCs w:val="21"/>
              </w:rPr>
            </w:pPr>
            <w:r>
              <w:rPr>
                <w:rFonts w:eastAsiaTheme="minorEastAsia"/>
                <w:color w:val="auto"/>
                <w:szCs w:val="21"/>
              </w:rPr>
              <w:t>噪声</w:t>
            </w:r>
          </w:p>
        </w:tc>
        <w:tc>
          <w:tcPr>
            <w:tcW w:w="1376" w:type="dxa"/>
            <w:vAlign w:val="center"/>
          </w:tcPr>
          <w:p w14:paraId="6106E57D">
            <w:pPr>
              <w:adjustRightInd w:val="0"/>
              <w:snapToGrid w:val="0"/>
              <w:jc w:val="center"/>
              <w:rPr>
                <w:rFonts w:hint="eastAsia" w:eastAsiaTheme="minorEastAsia"/>
                <w:color w:val="auto"/>
                <w:szCs w:val="21"/>
                <w:lang w:eastAsia="zh-CN"/>
              </w:rPr>
            </w:pPr>
            <w:r>
              <w:rPr>
                <w:rFonts w:eastAsiaTheme="minorEastAsia"/>
                <w:color w:val="auto"/>
                <w:szCs w:val="21"/>
              </w:rPr>
              <w:t>厂房隔声、消声减振基础，降噪</w:t>
            </w:r>
            <w:r>
              <w:rPr>
                <w:rFonts w:hint="eastAsia" w:eastAsiaTheme="minorEastAsia"/>
                <w:color w:val="auto"/>
                <w:szCs w:val="21"/>
                <w:lang w:val="en-US" w:eastAsia="zh-CN"/>
              </w:rPr>
              <w:t>15-20</w:t>
            </w:r>
            <w:r>
              <w:rPr>
                <w:rFonts w:eastAsiaTheme="minorEastAsia"/>
                <w:color w:val="auto"/>
                <w:szCs w:val="21"/>
              </w:rPr>
              <w:t>dB</w:t>
            </w:r>
            <w:r>
              <w:rPr>
                <w:rFonts w:hint="eastAsia" w:eastAsiaTheme="minorEastAsia"/>
                <w:color w:val="auto"/>
                <w:szCs w:val="21"/>
                <w:lang w:eastAsia="zh-CN"/>
              </w:rPr>
              <w:t>（</w:t>
            </w:r>
            <w:r>
              <w:rPr>
                <w:rFonts w:eastAsiaTheme="minorEastAsia"/>
                <w:color w:val="auto"/>
                <w:szCs w:val="21"/>
              </w:rPr>
              <w:t>A</w:t>
            </w:r>
            <w:r>
              <w:rPr>
                <w:rFonts w:hint="eastAsia" w:eastAsiaTheme="minorEastAsia"/>
                <w:color w:val="auto"/>
                <w:szCs w:val="21"/>
                <w:lang w:eastAsia="zh-CN"/>
              </w:rPr>
              <w:t>）</w:t>
            </w:r>
          </w:p>
        </w:tc>
        <w:tc>
          <w:tcPr>
            <w:tcW w:w="2648" w:type="dxa"/>
            <w:vAlign w:val="center"/>
          </w:tcPr>
          <w:p w14:paraId="7514C9EF">
            <w:pPr>
              <w:adjustRightInd w:val="0"/>
              <w:snapToGrid w:val="0"/>
              <w:jc w:val="center"/>
              <w:rPr>
                <w:rFonts w:eastAsiaTheme="minorEastAsia"/>
                <w:color w:val="auto"/>
                <w:szCs w:val="21"/>
              </w:rPr>
            </w:pPr>
            <w:r>
              <w:rPr>
                <w:rFonts w:eastAsiaTheme="minorEastAsia"/>
                <w:color w:val="auto"/>
                <w:szCs w:val="21"/>
              </w:rPr>
              <w:t>《工业企业厂界环境噪声排放标准》（GB12348-2008）表1中</w:t>
            </w:r>
            <w:r>
              <w:rPr>
                <w:rFonts w:hint="eastAsia" w:eastAsiaTheme="minorEastAsia"/>
                <w:color w:val="auto"/>
                <w:szCs w:val="21"/>
                <w:lang w:val="en-US" w:eastAsia="zh-CN"/>
              </w:rPr>
              <w:t>3</w:t>
            </w:r>
            <w:r>
              <w:rPr>
                <w:rFonts w:eastAsiaTheme="minorEastAsia"/>
                <w:color w:val="auto"/>
                <w:szCs w:val="21"/>
              </w:rPr>
              <w:t>类功能区对应标准限值</w:t>
            </w:r>
          </w:p>
        </w:tc>
      </w:tr>
      <w:tr w14:paraId="09355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56" w:type="dxa"/>
            <w:vAlign w:val="center"/>
          </w:tcPr>
          <w:p w14:paraId="22B69200">
            <w:pPr>
              <w:adjustRightInd w:val="0"/>
              <w:snapToGrid w:val="0"/>
              <w:jc w:val="center"/>
              <w:rPr>
                <w:rFonts w:ascii="宋体" w:hAnsi="宋体" w:cs="宋体"/>
                <w:b/>
                <w:bCs/>
                <w:color w:val="auto"/>
                <w:szCs w:val="21"/>
              </w:rPr>
            </w:pPr>
            <w:r>
              <w:rPr>
                <w:rFonts w:hint="eastAsia" w:ascii="宋体" w:hAnsi="宋体" w:cs="宋体"/>
                <w:b/>
                <w:bCs/>
                <w:color w:val="auto"/>
                <w:szCs w:val="21"/>
              </w:rPr>
              <w:t>电磁辐射</w:t>
            </w:r>
          </w:p>
        </w:tc>
        <w:tc>
          <w:tcPr>
            <w:tcW w:w="2137" w:type="dxa"/>
            <w:gridSpan w:val="2"/>
            <w:vAlign w:val="center"/>
          </w:tcPr>
          <w:p w14:paraId="67B8906E">
            <w:pPr>
              <w:jc w:val="center"/>
              <w:rPr>
                <w:rFonts w:ascii="宋体" w:hAnsi="宋体" w:cs="宋体"/>
                <w:color w:val="auto"/>
                <w:szCs w:val="21"/>
              </w:rPr>
            </w:pPr>
            <w:r>
              <w:rPr>
                <w:rFonts w:eastAsiaTheme="minorEastAsia"/>
                <w:color w:val="auto"/>
                <w:szCs w:val="21"/>
              </w:rPr>
              <w:t>无</w:t>
            </w:r>
          </w:p>
        </w:tc>
        <w:tc>
          <w:tcPr>
            <w:tcW w:w="983" w:type="dxa"/>
            <w:vAlign w:val="center"/>
          </w:tcPr>
          <w:p w14:paraId="24C3161A">
            <w:pPr>
              <w:jc w:val="center"/>
              <w:rPr>
                <w:rFonts w:ascii="宋体" w:hAnsi="宋体" w:cs="宋体"/>
                <w:color w:val="auto"/>
                <w:szCs w:val="21"/>
              </w:rPr>
            </w:pPr>
            <w:r>
              <w:rPr>
                <w:rFonts w:eastAsiaTheme="minorEastAsia"/>
                <w:color w:val="auto"/>
                <w:szCs w:val="21"/>
              </w:rPr>
              <w:t>——</w:t>
            </w:r>
          </w:p>
        </w:tc>
        <w:tc>
          <w:tcPr>
            <w:tcW w:w="1376" w:type="dxa"/>
            <w:vAlign w:val="center"/>
          </w:tcPr>
          <w:p w14:paraId="4402894B">
            <w:pPr>
              <w:jc w:val="center"/>
              <w:rPr>
                <w:rFonts w:ascii="宋体" w:hAnsi="宋体" w:cs="宋体"/>
                <w:color w:val="auto"/>
                <w:szCs w:val="21"/>
              </w:rPr>
            </w:pPr>
            <w:r>
              <w:rPr>
                <w:rFonts w:eastAsiaTheme="minorEastAsia"/>
                <w:color w:val="auto"/>
                <w:szCs w:val="21"/>
              </w:rPr>
              <w:t>——</w:t>
            </w:r>
          </w:p>
        </w:tc>
        <w:tc>
          <w:tcPr>
            <w:tcW w:w="2648" w:type="dxa"/>
            <w:vAlign w:val="center"/>
          </w:tcPr>
          <w:p w14:paraId="308F17CD">
            <w:pPr>
              <w:adjustRightInd w:val="0"/>
              <w:snapToGrid w:val="0"/>
              <w:jc w:val="center"/>
              <w:rPr>
                <w:rFonts w:ascii="宋体" w:hAnsi="宋体" w:cs="宋体"/>
                <w:color w:val="auto"/>
                <w:szCs w:val="21"/>
              </w:rPr>
            </w:pPr>
            <w:r>
              <w:rPr>
                <w:rFonts w:eastAsiaTheme="minorEastAsia"/>
                <w:color w:val="auto"/>
                <w:szCs w:val="21"/>
              </w:rPr>
              <w:t>——</w:t>
            </w:r>
          </w:p>
        </w:tc>
      </w:tr>
      <w:tr w14:paraId="73818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6" w:type="dxa"/>
            <w:vAlign w:val="center"/>
          </w:tcPr>
          <w:p w14:paraId="671F9E79">
            <w:pPr>
              <w:adjustRightInd w:val="0"/>
              <w:snapToGrid w:val="0"/>
              <w:jc w:val="center"/>
              <w:rPr>
                <w:rFonts w:ascii="宋体" w:hAnsi="宋体" w:cs="宋体"/>
                <w:b/>
                <w:bCs/>
                <w:color w:val="auto"/>
                <w:szCs w:val="21"/>
              </w:rPr>
            </w:pPr>
            <w:r>
              <w:rPr>
                <w:rFonts w:hint="eastAsia" w:ascii="宋体" w:hAnsi="宋体" w:cs="宋体"/>
                <w:b/>
                <w:bCs/>
                <w:color w:val="auto"/>
                <w:szCs w:val="21"/>
              </w:rPr>
              <w:t>固体废物</w:t>
            </w:r>
          </w:p>
        </w:tc>
        <w:tc>
          <w:tcPr>
            <w:tcW w:w="7144" w:type="dxa"/>
            <w:gridSpan w:val="5"/>
            <w:vAlign w:val="center"/>
          </w:tcPr>
          <w:p w14:paraId="1E43EFE3">
            <w:pPr>
              <w:adjustRightInd w:val="0"/>
              <w:snapToGrid w:val="0"/>
              <w:spacing w:line="360" w:lineRule="auto"/>
              <w:ind w:firstLine="420" w:firstLineChars="200"/>
              <w:jc w:val="left"/>
              <w:rPr>
                <w:rFonts w:hint="eastAsia" w:ascii="Times New Roman" w:hAnsi="Times New Roman" w:cs="Times New Roman" w:eastAsiaTheme="minorEastAsia"/>
                <w:color w:val="auto"/>
                <w:szCs w:val="21"/>
                <w:lang w:eastAsia="zh-CN"/>
              </w:rPr>
            </w:pPr>
            <w:r>
              <w:rPr>
                <w:rFonts w:hint="eastAsia" w:ascii="Times New Roman" w:hAnsi="Times New Roman" w:cs="Times New Roman" w:eastAsiaTheme="minorEastAsia"/>
                <w:color w:val="auto"/>
                <w:szCs w:val="21"/>
                <w:lang w:eastAsia="zh-CN"/>
              </w:rPr>
              <w:t>本项目</w:t>
            </w:r>
            <w:r>
              <w:rPr>
                <w:rFonts w:hint="eastAsia" w:ascii="Times New Roman" w:hAnsi="Times New Roman" w:cs="Times New Roman" w:eastAsiaTheme="minorEastAsia"/>
                <w:color w:val="auto"/>
                <w:szCs w:val="21"/>
                <w:lang w:val="en-US" w:eastAsia="zh-CN"/>
              </w:rPr>
              <w:t>危险废物为</w:t>
            </w:r>
            <w:r>
              <w:rPr>
                <w:rFonts w:hint="eastAsia" w:cs="Times New Roman" w:eastAsiaTheme="minorEastAsia"/>
                <w:color w:val="auto"/>
                <w:szCs w:val="21"/>
                <w:lang w:val="en-US" w:eastAsia="zh-CN"/>
              </w:rPr>
              <w:t>废抹布、手套（含酒精）、废活性炭、废包装容器</w:t>
            </w:r>
            <w:r>
              <w:rPr>
                <w:rFonts w:hint="eastAsia" w:ascii="Times New Roman" w:hAnsi="Times New Roman" w:cs="Times New Roman" w:eastAsiaTheme="minorEastAsia"/>
                <w:color w:val="auto"/>
                <w:szCs w:val="21"/>
                <w:lang w:val="en-US" w:eastAsia="zh-CN"/>
              </w:rPr>
              <w:t>，委托有资质单位处置；</w:t>
            </w:r>
            <w:r>
              <w:rPr>
                <w:rFonts w:hint="eastAsia" w:ascii="Times New Roman" w:hAnsi="Times New Roman" w:cs="Times New Roman" w:eastAsiaTheme="minorEastAsia"/>
                <w:color w:val="auto"/>
                <w:szCs w:val="21"/>
                <w:lang w:eastAsia="zh-CN"/>
              </w:rPr>
              <w:t>一般工业固废</w:t>
            </w:r>
            <w:r>
              <w:rPr>
                <w:rFonts w:hint="eastAsia" w:ascii="Times New Roman" w:hAnsi="Times New Roman" w:cs="Times New Roman" w:eastAsiaTheme="minorEastAsia"/>
                <w:color w:val="auto"/>
                <w:szCs w:val="21"/>
                <w:lang w:val="en-US" w:eastAsia="zh-CN"/>
              </w:rPr>
              <w:t>为</w:t>
            </w:r>
            <w:r>
              <w:rPr>
                <w:rFonts w:hint="eastAsia" w:cs="Times New Roman" w:eastAsiaTheme="minorEastAsia"/>
                <w:color w:val="auto"/>
                <w:szCs w:val="21"/>
                <w:lang w:val="en-US" w:eastAsia="zh-CN"/>
              </w:rPr>
              <w:t>废滤芯</w:t>
            </w:r>
            <w:r>
              <w:rPr>
                <w:rFonts w:hint="eastAsia" w:ascii="Times New Roman" w:hAnsi="Times New Roman" w:cs="Times New Roman" w:eastAsiaTheme="minorEastAsia"/>
                <w:color w:val="auto"/>
                <w:szCs w:val="21"/>
                <w:lang w:val="en-US" w:eastAsia="zh-CN"/>
              </w:rPr>
              <w:t>，</w:t>
            </w:r>
            <w:r>
              <w:rPr>
                <w:rFonts w:hint="eastAsia" w:ascii="Times New Roman" w:hAnsi="Times New Roman" w:cs="Times New Roman" w:eastAsiaTheme="minorEastAsia"/>
                <w:color w:val="auto"/>
                <w:szCs w:val="21"/>
                <w:lang w:eastAsia="zh-CN"/>
              </w:rPr>
              <w:t>定期外售综合利用处理。</w:t>
            </w:r>
          </w:p>
          <w:p w14:paraId="7BC322FA">
            <w:pPr>
              <w:adjustRightInd w:val="0"/>
              <w:snapToGrid w:val="0"/>
              <w:spacing w:line="360" w:lineRule="auto"/>
              <w:ind w:firstLine="420" w:firstLineChars="200"/>
              <w:jc w:val="left"/>
              <w:rPr>
                <w:rFonts w:ascii="宋体" w:hAnsi="宋体" w:cs="宋体"/>
                <w:color w:val="FF0000"/>
                <w:szCs w:val="21"/>
              </w:rPr>
            </w:pPr>
            <w:r>
              <w:rPr>
                <w:rFonts w:eastAsiaTheme="minorEastAsia"/>
                <w:color w:val="auto"/>
                <w:szCs w:val="21"/>
              </w:rPr>
              <w:t>根据</w:t>
            </w:r>
            <w:r>
              <w:rPr>
                <w:rFonts w:hint="eastAsia" w:eastAsiaTheme="minorEastAsia"/>
                <w:color w:val="auto"/>
                <w:szCs w:val="21"/>
                <w:lang w:eastAsia="zh-CN"/>
              </w:rPr>
              <w:t>“</w:t>
            </w:r>
            <w:r>
              <w:rPr>
                <w:rFonts w:eastAsiaTheme="minorEastAsia"/>
                <w:color w:val="auto"/>
                <w:szCs w:val="21"/>
              </w:rPr>
              <w:t>污染防治措施</w:t>
            </w:r>
            <w:r>
              <w:rPr>
                <w:rFonts w:hint="eastAsia" w:eastAsiaTheme="minorEastAsia"/>
                <w:color w:val="auto"/>
                <w:szCs w:val="21"/>
                <w:lang w:eastAsia="zh-CN"/>
              </w:rPr>
              <w:t>”</w:t>
            </w:r>
            <w:r>
              <w:rPr>
                <w:rFonts w:eastAsiaTheme="minorEastAsia"/>
                <w:color w:val="auto"/>
                <w:szCs w:val="21"/>
              </w:rPr>
              <w:t>，建设项目</w:t>
            </w:r>
            <w:r>
              <w:rPr>
                <w:rFonts w:hint="eastAsia" w:eastAsiaTheme="minorEastAsia"/>
                <w:color w:val="auto"/>
                <w:szCs w:val="21"/>
              </w:rPr>
              <w:t>拟在</w:t>
            </w:r>
            <w:r>
              <w:rPr>
                <w:rFonts w:hint="eastAsia" w:eastAsiaTheme="minorEastAsia"/>
                <w:color w:val="auto"/>
                <w:szCs w:val="21"/>
                <w:lang w:val="en-US" w:eastAsia="zh-CN"/>
              </w:rPr>
              <w:t>生产车间内</w:t>
            </w:r>
            <w:r>
              <w:rPr>
                <w:rFonts w:hint="eastAsia" w:eastAsiaTheme="minorEastAsia"/>
                <w:color w:val="auto"/>
                <w:szCs w:val="21"/>
              </w:rPr>
              <w:t>设1个</w:t>
            </w:r>
            <w:r>
              <w:rPr>
                <w:rFonts w:hint="eastAsia" w:eastAsiaTheme="minorEastAsia"/>
                <w:color w:val="auto"/>
                <w:szCs w:val="21"/>
                <w:lang w:val="en-US" w:eastAsia="zh-CN"/>
              </w:rPr>
              <w:t>10</w:t>
            </w:r>
            <w:r>
              <w:rPr>
                <w:rFonts w:hint="eastAsia" w:eastAsiaTheme="minorEastAsia"/>
                <w:color w:val="auto"/>
                <w:szCs w:val="21"/>
              </w:rPr>
              <w:t>m</w:t>
            </w:r>
            <w:r>
              <w:rPr>
                <w:rFonts w:hint="eastAsia" w:eastAsiaTheme="minorEastAsia"/>
                <w:color w:val="auto"/>
                <w:szCs w:val="21"/>
                <w:vertAlign w:val="superscript"/>
              </w:rPr>
              <w:t>2</w:t>
            </w:r>
            <w:r>
              <w:rPr>
                <w:rFonts w:hint="eastAsia" w:eastAsiaTheme="minorEastAsia"/>
                <w:color w:val="auto"/>
                <w:szCs w:val="21"/>
              </w:rPr>
              <w:t>一般工业固废堆场</w:t>
            </w:r>
            <w:r>
              <w:rPr>
                <w:rFonts w:hint="eastAsia" w:eastAsiaTheme="minorEastAsia"/>
                <w:color w:val="auto"/>
                <w:szCs w:val="21"/>
                <w:lang w:eastAsia="zh-CN"/>
              </w:rPr>
              <w:t>、</w:t>
            </w:r>
            <w:r>
              <w:rPr>
                <w:rFonts w:hint="eastAsia" w:eastAsiaTheme="minorEastAsia"/>
                <w:color w:val="auto"/>
                <w:szCs w:val="21"/>
              </w:rPr>
              <w:t>1个</w:t>
            </w:r>
            <w:r>
              <w:rPr>
                <w:rFonts w:hint="eastAsia" w:eastAsiaTheme="minorEastAsia"/>
                <w:color w:val="auto"/>
                <w:szCs w:val="21"/>
                <w:lang w:val="en-US" w:eastAsia="zh-CN"/>
              </w:rPr>
              <w:t>12m</w:t>
            </w:r>
            <w:r>
              <w:rPr>
                <w:rFonts w:hint="eastAsia" w:eastAsiaTheme="minorEastAsia"/>
                <w:color w:val="auto"/>
                <w:szCs w:val="21"/>
                <w:vertAlign w:val="superscript"/>
              </w:rPr>
              <w:t>2</w:t>
            </w:r>
            <w:r>
              <w:rPr>
                <w:rFonts w:hint="eastAsia" w:eastAsiaTheme="minorEastAsia"/>
                <w:color w:val="auto"/>
                <w:szCs w:val="21"/>
                <w:lang w:eastAsia="zh-CN"/>
              </w:rPr>
              <w:t>危废仓库</w:t>
            </w:r>
            <w:r>
              <w:rPr>
                <w:rFonts w:hint="eastAsia" w:eastAsiaTheme="minorEastAsia"/>
                <w:color w:val="auto"/>
                <w:szCs w:val="21"/>
              </w:rPr>
              <w:t>，</w:t>
            </w:r>
            <w:r>
              <w:rPr>
                <w:rFonts w:eastAsiaTheme="minorEastAsia"/>
                <w:color w:val="auto"/>
                <w:szCs w:val="21"/>
              </w:rPr>
              <w:t>产生的各项固废均可得到有效处置，固废处置率达100％，固废污染防治措施可行，对周围环境影响较小。</w:t>
            </w:r>
          </w:p>
        </w:tc>
      </w:tr>
      <w:tr w14:paraId="70833A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0" w:hRule="atLeast"/>
          <w:jc w:val="center"/>
        </w:trPr>
        <w:tc>
          <w:tcPr>
            <w:tcW w:w="1656" w:type="dxa"/>
            <w:vAlign w:val="center"/>
          </w:tcPr>
          <w:p w14:paraId="308641D9">
            <w:pPr>
              <w:adjustRightInd w:val="0"/>
              <w:snapToGrid w:val="0"/>
              <w:jc w:val="center"/>
              <w:rPr>
                <w:rFonts w:ascii="宋体" w:hAnsi="宋体" w:cs="宋体"/>
                <w:b/>
                <w:bCs/>
                <w:color w:val="auto"/>
                <w:szCs w:val="21"/>
              </w:rPr>
            </w:pPr>
            <w:r>
              <w:rPr>
                <w:rFonts w:hint="eastAsia" w:ascii="宋体" w:hAnsi="宋体" w:cs="宋体"/>
                <w:b/>
                <w:bCs/>
                <w:color w:val="auto"/>
                <w:szCs w:val="21"/>
              </w:rPr>
              <w:t>土壤及地下水</w:t>
            </w:r>
          </w:p>
          <w:p w14:paraId="74C7A30F">
            <w:pPr>
              <w:adjustRightInd w:val="0"/>
              <w:snapToGrid w:val="0"/>
              <w:jc w:val="center"/>
              <w:rPr>
                <w:rFonts w:ascii="宋体" w:hAnsi="宋体" w:cs="宋体"/>
                <w:b/>
                <w:bCs/>
                <w:color w:val="auto"/>
                <w:szCs w:val="21"/>
              </w:rPr>
            </w:pPr>
            <w:r>
              <w:rPr>
                <w:rFonts w:hint="eastAsia" w:ascii="宋体" w:hAnsi="宋体" w:cs="宋体"/>
                <w:b/>
                <w:bCs/>
                <w:color w:val="auto"/>
                <w:szCs w:val="21"/>
              </w:rPr>
              <w:t>污染防治措施</w:t>
            </w:r>
          </w:p>
        </w:tc>
        <w:tc>
          <w:tcPr>
            <w:tcW w:w="7144" w:type="dxa"/>
            <w:gridSpan w:val="5"/>
            <w:vAlign w:val="center"/>
          </w:tcPr>
          <w:p w14:paraId="46667EE5">
            <w:pPr>
              <w:adjustRightInd w:val="0"/>
              <w:snapToGrid w:val="0"/>
              <w:spacing w:line="360" w:lineRule="auto"/>
              <w:ind w:firstLine="420" w:firstLineChars="200"/>
              <w:rPr>
                <w:color w:val="auto"/>
                <w:szCs w:val="21"/>
              </w:rPr>
            </w:pPr>
            <w:r>
              <w:rPr>
                <w:color w:val="auto"/>
                <w:szCs w:val="21"/>
              </w:rPr>
              <w:t>从设计、管理方面防止和减少污染物料的跑、冒、滴、漏，主要措施包括：</w:t>
            </w:r>
          </w:p>
          <w:p w14:paraId="523EF5B6">
            <w:pPr>
              <w:adjustRightInd w:val="0"/>
              <w:snapToGrid w:val="0"/>
              <w:spacing w:line="360" w:lineRule="auto"/>
              <w:ind w:firstLine="420" w:firstLineChars="200"/>
              <w:rPr>
                <w:color w:val="auto"/>
                <w:szCs w:val="21"/>
              </w:rPr>
            </w:pPr>
            <w:r>
              <w:rPr>
                <w:color w:val="auto"/>
                <w:szCs w:val="21"/>
              </w:rPr>
              <w:t>（1）严格按工艺要求稳定工艺操作，减少无序排放。</w:t>
            </w:r>
          </w:p>
          <w:p w14:paraId="2EC9D669">
            <w:pPr>
              <w:adjustRightInd w:val="0"/>
              <w:snapToGrid w:val="0"/>
              <w:spacing w:line="360" w:lineRule="auto"/>
              <w:ind w:firstLine="420" w:firstLineChars="200"/>
              <w:rPr>
                <w:color w:val="auto"/>
                <w:szCs w:val="21"/>
              </w:rPr>
            </w:pPr>
            <w:r>
              <w:rPr>
                <w:color w:val="auto"/>
                <w:szCs w:val="21"/>
              </w:rPr>
              <w:t>（2）原料使用完毕后，将连接管中余料放入容器内回收，严禁</w:t>
            </w:r>
            <w:r>
              <w:rPr>
                <w:rFonts w:hint="eastAsia"/>
                <w:color w:val="auto"/>
                <w:szCs w:val="21"/>
                <w:lang w:val="en-US" w:eastAsia="zh-CN"/>
              </w:rPr>
              <w:t>泄漏</w:t>
            </w:r>
            <w:r>
              <w:rPr>
                <w:color w:val="auto"/>
                <w:szCs w:val="21"/>
              </w:rPr>
              <w:t>到地下。</w:t>
            </w:r>
          </w:p>
          <w:p w14:paraId="472A1975">
            <w:pPr>
              <w:adjustRightInd w:val="0"/>
              <w:snapToGrid w:val="0"/>
              <w:spacing w:line="360" w:lineRule="auto"/>
              <w:ind w:firstLine="420" w:firstLineChars="200"/>
              <w:rPr>
                <w:color w:val="auto"/>
                <w:szCs w:val="21"/>
              </w:rPr>
            </w:pPr>
            <w:r>
              <w:rPr>
                <w:color w:val="auto"/>
                <w:szCs w:val="21"/>
              </w:rPr>
              <w:t>（3）加强各物料机泵的维护保养，定期检修，绝不能带</w:t>
            </w:r>
            <w:r>
              <w:rPr>
                <w:rFonts w:hint="eastAsia"/>
                <w:color w:val="auto"/>
                <w:szCs w:val="21"/>
                <w:lang w:eastAsia="zh-CN"/>
              </w:rPr>
              <w:t>“</w:t>
            </w:r>
            <w:r>
              <w:rPr>
                <w:rFonts w:hint="eastAsia"/>
                <w:color w:val="auto"/>
                <w:szCs w:val="21"/>
                <w:lang w:val="en-US" w:eastAsia="zh-CN"/>
              </w:rPr>
              <w:t>病</w:t>
            </w:r>
            <w:r>
              <w:rPr>
                <w:rFonts w:hint="eastAsia"/>
                <w:color w:val="auto"/>
                <w:szCs w:val="21"/>
                <w:lang w:eastAsia="zh-CN"/>
              </w:rPr>
              <w:t>”</w:t>
            </w:r>
            <w:r>
              <w:rPr>
                <w:color w:val="auto"/>
                <w:szCs w:val="21"/>
              </w:rPr>
              <w:t>作业。</w:t>
            </w:r>
          </w:p>
          <w:p w14:paraId="0AE3A2DD">
            <w:pPr>
              <w:adjustRightInd w:val="0"/>
              <w:snapToGrid w:val="0"/>
              <w:spacing w:line="360" w:lineRule="auto"/>
              <w:ind w:firstLine="420" w:firstLineChars="200"/>
              <w:rPr>
                <w:color w:val="auto"/>
                <w:szCs w:val="21"/>
              </w:rPr>
            </w:pPr>
            <w:r>
              <w:rPr>
                <w:color w:val="auto"/>
                <w:szCs w:val="21"/>
              </w:rPr>
              <w:t>（4）运行期间严格管理，加强巡检，及时发现各阀门、液位计、流量计等液态物料泄漏；一旦出现泄漏及时处理，检查检修设备，将泄漏的环境风险事故降到最低。</w:t>
            </w:r>
          </w:p>
          <w:p w14:paraId="10815096">
            <w:pPr>
              <w:adjustRightInd w:val="0"/>
              <w:snapToGrid w:val="0"/>
              <w:spacing w:line="360" w:lineRule="auto"/>
              <w:ind w:firstLine="420" w:firstLineChars="200"/>
              <w:rPr>
                <w:color w:val="auto"/>
                <w:szCs w:val="21"/>
              </w:rPr>
            </w:pPr>
            <w:r>
              <w:rPr>
                <w:color w:val="auto"/>
                <w:szCs w:val="21"/>
              </w:rPr>
              <w:t>（5）固废堆场在做好地面防渗、耐腐蚀处理的同时，需设置隔离设施以及防风、防晒和防雨设施。</w:t>
            </w:r>
          </w:p>
          <w:p w14:paraId="3328B07E">
            <w:pPr>
              <w:spacing w:line="360" w:lineRule="auto"/>
              <w:ind w:firstLine="420" w:firstLineChars="200"/>
              <w:rPr>
                <w:rFonts w:ascii="宋体" w:hAnsi="宋体" w:cs="宋体"/>
                <w:color w:val="FF0000"/>
                <w:szCs w:val="21"/>
              </w:rPr>
            </w:pPr>
            <w:r>
              <w:rPr>
                <w:color w:val="auto"/>
                <w:szCs w:val="21"/>
              </w:rPr>
              <w:t>（6）</w:t>
            </w:r>
            <w:r>
              <w:rPr>
                <w:rFonts w:hint="eastAsia"/>
                <w:color w:val="auto"/>
                <w:szCs w:val="21"/>
                <w:lang w:val="en-US" w:eastAsia="zh-CN"/>
              </w:rPr>
              <w:t>生产</w:t>
            </w:r>
            <w:r>
              <w:rPr>
                <w:color w:val="auto"/>
                <w:szCs w:val="21"/>
              </w:rPr>
              <w:t>装备符合相关清洁生产标准中国内清洁生产先进要求，设备运行无故障。</w:t>
            </w:r>
          </w:p>
        </w:tc>
      </w:tr>
      <w:tr w14:paraId="27228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56" w:type="dxa"/>
            <w:vAlign w:val="center"/>
          </w:tcPr>
          <w:p w14:paraId="60087884">
            <w:pPr>
              <w:adjustRightInd w:val="0"/>
              <w:snapToGrid w:val="0"/>
              <w:jc w:val="center"/>
              <w:rPr>
                <w:rFonts w:ascii="宋体" w:hAnsi="宋体" w:cs="宋体"/>
                <w:b/>
                <w:bCs/>
                <w:color w:val="auto"/>
                <w:szCs w:val="21"/>
              </w:rPr>
            </w:pPr>
            <w:r>
              <w:rPr>
                <w:rFonts w:hint="eastAsia" w:ascii="宋体" w:hAnsi="宋体" w:cs="宋体"/>
                <w:b/>
                <w:bCs/>
                <w:color w:val="auto"/>
                <w:szCs w:val="21"/>
              </w:rPr>
              <w:t>生态保护措施</w:t>
            </w:r>
          </w:p>
        </w:tc>
        <w:tc>
          <w:tcPr>
            <w:tcW w:w="7144" w:type="dxa"/>
            <w:gridSpan w:val="5"/>
            <w:vAlign w:val="center"/>
          </w:tcPr>
          <w:p w14:paraId="29FF90B7">
            <w:pPr>
              <w:adjustRightInd w:val="0"/>
              <w:snapToGrid w:val="0"/>
              <w:spacing w:line="360" w:lineRule="auto"/>
              <w:ind w:firstLine="420" w:firstLineChars="200"/>
              <w:rPr>
                <w:color w:val="auto"/>
                <w:szCs w:val="21"/>
              </w:rPr>
            </w:pPr>
            <w:r>
              <w:rPr>
                <w:color w:val="auto"/>
                <w:szCs w:val="21"/>
              </w:rPr>
              <w:t>本项目绿化依托</w:t>
            </w:r>
            <w:r>
              <w:rPr>
                <w:rFonts w:hint="eastAsia"/>
                <w:color w:val="auto"/>
                <w:szCs w:val="21"/>
                <w:lang w:val="en-US" w:eastAsia="zh-CN"/>
              </w:rPr>
              <w:t>园区</w:t>
            </w:r>
            <w:r>
              <w:rPr>
                <w:color w:val="auto"/>
                <w:szCs w:val="21"/>
              </w:rPr>
              <w:t>现有绿化，对周围生态环境影响较小。</w:t>
            </w:r>
          </w:p>
        </w:tc>
      </w:tr>
      <w:tr w14:paraId="26E9D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1656" w:type="dxa"/>
            <w:vAlign w:val="center"/>
          </w:tcPr>
          <w:p w14:paraId="31949B5E">
            <w:pPr>
              <w:adjustRightInd w:val="0"/>
              <w:snapToGrid w:val="0"/>
              <w:jc w:val="center"/>
              <w:rPr>
                <w:rFonts w:ascii="宋体" w:hAnsi="宋体" w:cs="宋体"/>
                <w:b/>
                <w:bCs/>
                <w:color w:val="auto"/>
                <w:spacing w:val="-8"/>
                <w:szCs w:val="21"/>
              </w:rPr>
            </w:pPr>
            <w:r>
              <w:rPr>
                <w:rFonts w:hint="eastAsia" w:ascii="宋体" w:hAnsi="宋体" w:cs="宋体"/>
                <w:b/>
                <w:bCs/>
                <w:color w:val="auto"/>
                <w:spacing w:val="-8"/>
                <w:szCs w:val="21"/>
              </w:rPr>
              <w:t>环境风险</w:t>
            </w:r>
          </w:p>
          <w:p w14:paraId="4E99F6EB">
            <w:pPr>
              <w:adjustRightInd w:val="0"/>
              <w:snapToGrid w:val="0"/>
              <w:jc w:val="center"/>
              <w:rPr>
                <w:rFonts w:ascii="宋体" w:hAnsi="宋体" w:cs="宋体"/>
                <w:b/>
                <w:bCs/>
                <w:color w:val="auto"/>
                <w:spacing w:val="-8"/>
                <w:szCs w:val="21"/>
              </w:rPr>
            </w:pPr>
            <w:r>
              <w:rPr>
                <w:rFonts w:hint="eastAsia" w:ascii="宋体" w:hAnsi="宋体" w:cs="宋体"/>
                <w:b/>
                <w:bCs/>
                <w:color w:val="auto"/>
                <w:spacing w:val="-8"/>
                <w:szCs w:val="21"/>
              </w:rPr>
              <w:t>防范措施</w:t>
            </w:r>
          </w:p>
        </w:tc>
        <w:tc>
          <w:tcPr>
            <w:tcW w:w="7144" w:type="dxa"/>
            <w:gridSpan w:val="5"/>
            <w:vAlign w:val="center"/>
          </w:tcPr>
          <w:p w14:paraId="5825FADC">
            <w:pPr>
              <w:adjustRightInd w:val="0"/>
              <w:snapToGrid w:val="0"/>
              <w:spacing w:line="360" w:lineRule="auto"/>
              <w:ind w:firstLine="420" w:firstLineChars="200"/>
              <w:rPr>
                <w:rFonts w:hint="default"/>
                <w:color w:val="auto"/>
                <w:szCs w:val="21"/>
                <w:lang w:val="en-US" w:eastAsia="zh-CN"/>
              </w:rPr>
            </w:pPr>
            <w:r>
              <w:rPr>
                <w:color w:val="auto"/>
                <w:szCs w:val="21"/>
              </w:rPr>
              <w:t>企业需要加强日常的运行管理，特别注重装置区、固废区、仓库等地方，加强员工风险防范意识，培训员工应急技能，相应的应急器材和物资要到位，确保发生事故时能及时处置。</w:t>
            </w:r>
            <w:r>
              <w:rPr>
                <w:rFonts w:hint="eastAsia"/>
                <w:color w:val="auto"/>
                <w:szCs w:val="21"/>
                <w:lang w:val="en-US" w:eastAsia="zh-CN"/>
              </w:rPr>
              <w:t>企业应对项目重点环保设施以及项目安全进行安全风险辨识，开展安全评估。</w:t>
            </w:r>
          </w:p>
        </w:tc>
      </w:tr>
      <w:tr w14:paraId="7B926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1656" w:type="dxa"/>
            <w:vAlign w:val="center"/>
          </w:tcPr>
          <w:p w14:paraId="4B1889B9">
            <w:pPr>
              <w:adjustRightInd w:val="0"/>
              <w:snapToGrid w:val="0"/>
              <w:jc w:val="center"/>
              <w:rPr>
                <w:rFonts w:ascii="宋体" w:hAnsi="宋体" w:cs="宋体"/>
                <w:b/>
                <w:bCs/>
                <w:color w:val="auto"/>
                <w:spacing w:val="-8"/>
                <w:szCs w:val="21"/>
              </w:rPr>
            </w:pPr>
            <w:r>
              <w:rPr>
                <w:rFonts w:hint="eastAsia" w:ascii="宋体" w:hAnsi="宋体" w:cs="宋体"/>
                <w:b/>
                <w:bCs/>
                <w:color w:val="auto"/>
                <w:spacing w:val="-8"/>
                <w:szCs w:val="21"/>
              </w:rPr>
              <w:t>其他环境</w:t>
            </w:r>
          </w:p>
          <w:p w14:paraId="1C5A7BF8">
            <w:pPr>
              <w:adjustRightInd w:val="0"/>
              <w:snapToGrid w:val="0"/>
              <w:jc w:val="center"/>
              <w:rPr>
                <w:rFonts w:ascii="宋体" w:hAnsi="宋体" w:cs="宋体"/>
                <w:b/>
                <w:bCs/>
                <w:color w:val="auto"/>
                <w:spacing w:val="-8"/>
                <w:szCs w:val="21"/>
              </w:rPr>
            </w:pPr>
            <w:r>
              <w:rPr>
                <w:rFonts w:hint="eastAsia" w:ascii="宋体" w:hAnsi="宋体" w:cs="宋体"/>
                <w:b/>
                <w:bCs/>
                <w:color w:val="auto"/>
                <w:spacing w:val="-8"/>
                <w:szCs w:val="21"/>
              </w:rPr>
              <w:t>管理要求</w:t>
            </w:r>
          </w:p>
        </w:tc>
        <w:tc>
          <w:tcPr>
            <w:tcW w:w="7144" w:type="dxa"/>
            <w:gridSpan w:val="5"/>
            <w:vAlign w:val="center"/>
          </w:tcPr>
          <w:p w14:paraId="0DFD5B1D">
            <w:pPr>
              <w:adjustRightInd w:val="0"/>
              <w:snapToGrid w:val="0"/>
              <w:spacing w:line="360" w:lineRule="auto"/>
              <w:ind w:left="29" w:leftChars="14" w:firstLine="420" w:firstLineChars="200"/>
              <w:rPr>
                <w:color w:val="auto"/>
                <w:szCs w:val="21"/>
              </w:rPr>
            </w:pPr>
            <w:r>
              <w:rPr>
                <w:rFonts w:hint="eastAsia"/>
                <w:color w:val="auto"/>
                <w:szCs w:val="21"/>
              </w:rPr>
              <w:t>（1）做好污染防治设施的运行台账等，</w:t>
            </w:r>
            <w:r>
              <w:rPr>
                <w:color w:val="auto"/>
                <w:szCs w:val="21"/>
              </w:rPr>
              <w:t>加强管理及设备维护，强化企业职工自身环保意识；</w:t>
            </w:r>
          </w:p>
          <w:p w14:paraId="3F42CCAD">
            <w:pPr>
              <w:adjustRightInd w:val="0"/>
              <w:snapToGrid w:val="0"/>
              <w:spacing w:line="360" w:lineRule="auto"/>
              <w:ind w:left="29" w:leftChars="14" w:firstLine="420" w:firstLineChars="200"/>
              <w:rPr>
                <w:color w:val="auto"/>
                <w:szCs w:val="21"/>
              </w:rPr>
            </w:pPr>
            <w:r>
              <w:rPr>
                <w:rFonts w:hint="eastAsia"/>
                <w:color w:val="auto"/>
                <w:szCs w:val="21"/>
              </w:rPr>
              <w:t>（2）及时</w:t>
            </w:r>
            <w:r>
              <w:rPr>
                <w:rFonts w:hint="eastAsia"/>
                <w:color w:val="auto"/>
                <w:szCs w:val="21"/>
                <w:lang w:val="en-US" w:eastAsia="zh-CN"/>
              </w:rPr>
              <w:t>完成</w:t>
            </w:r>
            <w:r>
              <w:rPr>
                <w:rFonts w:hint="eastAsia"/>
                <w:color w:val="auto"/>
                <w:szCs w:val="21"/>
              </w:rPr>
              <w:t>排污许可证；</w:t>
            </w:r>
          </w:p>
          <w:p w14:paraId="6AEE77F3">
            <w:pPr>
              <w:adjustRightInd w:val="0"/>
              <w:snapToGrid w:val="0"/>
              <w:spacing w:line="360" w:lineRule="auto"/>
              <w:ind w:left="29" w:leftChars="14" w:firstLine="420" w:firstLineChars="200"/>
              <w:rPr>
                <w:rFonts w:hint="eastAsia"/>
                <w:color w:val="auto"/>
                <w:szCs w:val="21"/>
              </w:rPr>
            </w:pPr>
            <w:r>
              <w:rPr>
                <w:rFonts w:hint="eastAsia"/>
                <w:color w:val="auto"/>
                <w:szCs w:val="21"/>
              </w:rPr>
              <w:t>（3）按要求进行自行监测；</w:t>
            </w:r>
          </w:p>
          <w:p w14:paraId="406B3FA8">
            <w:pPr>
              <w:adjustRightInd w:val="0"/>
              <w:snapToGrid w:val="0"/>
              <w:spacing w:line="360" w:lineRule="auto"/>
              <w:ind w:left="29" w:leftChars="14" w:firstLine="420" w:firstLineChars="200"/>
              <w:rPr>
                <w:rFonts w:hint="eastAsia"/>
                <w:color w:val="auto"/>
                <w:szCs w:val="21"/>
              </w:rPr>
            </w:pPr>
            <w:r>
              <w:rPr>
                <w:rFonts w:hint="eastAsia"/>
                <w:color w:val="auto"/>
                <w:szCs w:val="21"/>
              </w:rPr>
              <w:t>（4）做好危废的管理工作，完成危废管理平台的申报工作，做好危废的管理台账。</w:t>
            </w:r>
          </w:p>
        </w:tc>
      </w:tr>
    </w:tbl>
    <w:p w14:paraId="33FC3B9B">
      <w:pPr>
        <w:spacing w:line="360" w:lineRule="auto"/>
        <w:ind w:left="425" w:hanging="425"/>
        <w:rPr>
          <w:rFonts w:eastAsiaTheme="minorEastAsia"/>
          <w:b/>
          <w:bCs/>
          <w:color w:val="FF0000"/>
          <w:sz w:val="24"/>
        </w:rPr>
        <w:sectPr>
          <w:pgSz w:w="11905" w:h="16838"/>
          <w:pgMar w:top="1276" w:right="1803" w:bottom="1712" w:left="1803" w:header="850" w:footer="992" w:gutter="0"/>
          <w:pgBorders>
            <w:top w:val="none" w:sz="0" w:space="0"/>
            <w:left w:val="none" w:sz="0" w:space="0"/>
            <w:bottom w:val="none" w:sz="0" w:space="0"/>
            <w:right w:val="none" w:sz="0" w:space="0"/>
          </w:pgBorders>
          <w:pgNumType w:fmt="decimal"/>
          <w:cols w:space="0" w:num="1"/>
          <w:docGrid w:type="lines" w:linePitch="319" w:charSpace="0"/>
        </w:sectPr>
      </w:pPr>
    </w:p>
    <w:p w14:paraId="767B2DED">
      <w:pPr>
        <w:pStyle w:val="4"/>
        <w:rPr>
          <w:rFonts w:eastAsiaTheme="minorEastAsia"/>
          <w:color w:val="auto"/>
        </w:rPr>
      </w:pPr>
      <w:bookmarkStart w:id="15" w:name="_Toc32050"/>
      <w:bookmarkStart w:id="16" w:name="_Toc11209"/>
      <w:r>
        <w:rPr>
          <w:rFonts w:hint="eastAsia" w:eastAsiaTheme="minorEastAsia"/>
          <w:color w:val="auto"/>
        </w:rPr>
        <w:t>六</w:t>
      </w:r>
      <w:r>
        <w:rPr>
          <w:rFonts w:eastAsiaTheme="minorEastAsia"/>
          <w:color w:val="auto"/>
        </w:rPr>
        <w:t>、结论</w:t>
      </w:r>
      <w:bookmarkEnd w:id="15"/>
      <w:bookmarkEnd w:id="16"/>
    </w:p>
    <w:tbl>
      <w:tblPr>
        <w:tblStyle w:val="36"/>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5"/>
      </w:tblGrid>
      <w:tr w14:paraId="5716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5" w:type="dxa"/>
          </w:tcPr>
          <w:p w14:paraId="373FD668">
            <w:pPr>
              <w:spacing w:line="360" w:lineRule="auto"/>
              <w:ind w:firstLine="480" w:firstLineChars="200"/>
              <w:rPr>
                <w:rFonts w:hint="eastAsia" w:ascii="Times New Roman" w:hAnsi="Times New Roman" w:eastAsia="宋体" w:cs="Times New Roman"/>
                <w:color w:val="auto"/>
                <w:sz w:val="24"/>
                <w:szCs w:val="24"/>
              </w:rPr>
            </w:pPr>
            <w:r>
              <w:rPr>
                <w:color w:val="auto"/>
                <w:sz w:val="24"/>
                <w:szCs w:val="24"/>
              </w:rPr>
              <w:t>综上所述，建设项目符合国家及地方产业政策</w:t>
            </w:r>
            <w:r>
              <w:rPr>
                <w:rFonts w:hint="eastAsia"/>
                <w:color w:val="auto"/>
                <w:sz w:val="24"/>
                <w:szCs w:val="24"/>
              </w:rPr>
              <w:t>、</w:t>
            </w:r>
            <w:r>
              <w:rPr>
                <w:color w:val="auto"/>
                <w:sz w:val="24"/>
                <w:szCs w:val="24"/>
              </w:rPr>
              <w:t>法律法规</w:t>
            </w:r>
            <w:r>
              <w:rPr>
                <w:rFonts w:hint="eastAsia"/>
                <w:color w:val="auto"/>
                <w:sz w:val="24"/>
                <w:szCs w:val="24"/>
              </w:rPr>
              <w:t>及相关规划</w:t>
            </w:r>
            <w:r>
              <w:rPr>
                <w:color w:val="auto"/>
                <w:sz w:val="24"/>
                <w:szCs w:val="24"/>
              </w:rPr>
              <w:t>，选址合理，工艺成熟，符合区域用地规划</w:t>
            </w:r>
            <w:r>
              <w:rPr>
                <w:rFonts w:hint="eastAsia"/>
                <w:color w:val="auto"/>
                <w:sz w:val="24"/>
                <w:szCs w:val="24"/>
              </w:rPr>
              <w:t>、</w:t>
            </w:r>
            <w:r>
              <w:rPr>
                <w:color w:val="auto"/>
                <w:sz w:val="24"/>
                <w:szCs w:val="24"/>
              </w:rPr>
              <w:t>产业规划及环保规划等相关规划要求</w:t>
            </w:r>
            <w:r>
              <w:rPr>
                <w:rFonts w:hint="eastAsia"/>
                <w:color w:val="auto"/>
                <w:sz w:val="24"/>
                <w:szCs w:val="24"/>
              </w:rPr>
              <w:t>；</w:t>
            </w:r>
            <w:r>
              <w:rPr>
                <w:rFonts w:eastAsiaTheme="minorEastAsia"/>
                <w:bCs/>
                <w:color w:val="auto"/>
                <w:sz w:val="24"/>
                <w:szCs w:val="24"/>
              </w:rPr>
              <w:t>废气拟采取合理有效的措</w:t>
            </w:r>
            <w:r>
              <w:rPr>
                <w:rFonts w:hint="eastAsia" w:ascii="Times New Roman" w:hAnsi="Times New Roman" w:eastAsia="宋体" w:cs="Times New Roman"/>
                <w:color w:val="auto"/>
                <w:sz w:val="24"/>
                <w:szCs w:val="24"/>
              </w:rPr>
              <w:t>施收集治理；噪声可达标排放；固废均能得到合理处置。本项目污染物稳定达标排放，总体对周围环境影响较小，不会造成区域环境质量下降。在做好各项风险防范及应急措施的前提下，本项目的环境风险可防可控。因此，在严格落实本报告提出的各项对策、措施及要求的前提下，从环境保护的角度来讲，本项目</w:t>
            </w:r>
            <w:r>
              <w:rPr>
                <w:rFonts w:hint="eastAsia" w:ascii="Times New Roman" w:hAnsi="Times New Roman" w:eastAsia="宋体" w:cs="Times New Roman"/>
                <w:color w:val="auto"/>
                <w:sz w:val="24"/>
                <w:szCs w:val="24"/>
                <w:lang w:val="en-US" w:eastAsia="zh-CN"/>
              </w:rPr>
              <w:t>具备</w:t>
            </w:r>
            <w:r>
              <w:rPr>
                <w:rFonts w:hint="eastAsia" w:ascii="Times New Roman" w:hAnsi="Times New Roman" w:eastAsia="宋体" w:cs="Times New Roman"/>
                <w:color w:val="auto"/>
                <w:sz w:val="24"/>
                <w:szCs w:val="24"/>
              </w:rPr>
              <w:t>环境</w:t>
            </w:r>
            <w:r>
              <w:rPr>
                <w:rFonts w:hint="eastAsia" w:ascii="Times New Roman" w:hAnsi="Times New Roman" w:eastAsia="宋体" w:cs="Times New Roman"/>
                <w:color w:val="auto"/>
                <w:sz w:val="24"/>
                <w:szCs w:val="24"/>
                <w:lang w:val="en-US" w:eastAsia="zh-CN"/>
              </w:rPr>
              <w:t>可行性</w:t>
            </w:r>
            <w:r>
              <w:rPr>
                <w:rFonts w:hint="eastAsia" w:ascii="Times New Roman" w:hAnsi="Times New Roman" w:eastAsia="宋体" w:cs="Times New Roman"/>
                <w:color w:val="auto"/>
                <w:sz w:val="24"/>
                <w:szCs w:val="24"/>
              </w:rPr>
              <w:t>。</w:t>
            </w:r>
          </w:p>
          <w:p w14:paraId="7D732DCA">
            <w:pPr>
              <w:pStyle w:val="2"/>
              <w:ind w:firstLine="240"/>
              <w:rPr>
                <w:color w:val="FF0000"/>
                <w:sz w:val="24"/>
                <w:szCs w:val="24"/>
              </w:rPr>
            </w:pPr>
          </w:p>
          <w:p w14:paraId="5A5040B4">
            <w:pPr>
              <w:rPr>
                <w:color w:val="FF0000"/>
                <w:sz w:val="24"/>
                <w:szCs w:val="24"/>
              </w:rPr>
            </w:pPr>
          </w:p>
          <w:p w14:paraId="617E58D8">
            <w:pPr>
              <w:pStyle w:val="2"/>
              <w:rPr>
                <w:color w:val="FF0000"/>
                <w:sz w:val="24"/>
                <w:szCs w:val="24"/>
              </w:rPr>
            </w:pPr>
          </w:p>
          <w:p w14:paraId="0AFFB0A4">
            <w:pPr>
              <w:rPr>
                <w:color w:val="FF0000"/>
                <w:sz w:val="24"/>
                <w:szCs w:val="24"/>
              </w:rPr>
            </w:pPr>
          </w:p>
          <w:p w14:paraId="2C50E3BD">
            <w:pPr>
              <w:pStyle w:val="2"/>
              <w:rPr>
                <w:color w:val="FF0000"/>
                <w:sz w:val="24"/>
                <w:szCs w:val="24"/>
              </w:rPr>
            </w:pPr>
          </w:p>
          <w:p w14:paraId="038E7C69">
            <w:pPr>
              <w:rPr>
                <w:color w:val="FF0000"/>
                <w:sz w:val="24"/>
                <w:szCs w:val="24"/>
              </w:rPr>
            </w:pPr>
          </w:p>
          <w:p w14:paraId="26212D4A">
            <w:pPr>
              <w:pStyle w:val="2"/>
              <w:rPr>
                <w:color w:val="FF0000"/>
                <w:sz w:val="24"/>
                <w:szCs w:val="24"/>
              </w:rPr>
            </w:pPr>
          </w:p>
          <w:p w14:paraId="37383D70">
            <w:pPr>
              <w:rPr>
                <w:color w:val="FF0000"/>
                <w:sz w:val="24"/>
                <w:szCs w:val="24"/>
              </w:rPr>
            </w:pPr>
          </w:p>
          <w:p w14:paraId="059EC32A">
            <w:pPr>
              <w:rPr>
                <w:color w:val="FF0000"/>
              </w:rPr>
            </w:pPr>
          </w:p>
          <w:p w14:paraId="478E43E2">
            <w:pPr>
              <w:pStyle w:val="2"/>
              <w:ind w:firstLine="240"/>
              <w:rPr>
                <w:color w:val="FF0000"/>
                <w:sz w:val="24"/>
                <w:szCs w:val="24"/>
              </w:rPr>
            </w:pPr>
          </w:p>
          <w:p w14:paraId="7675D1CE">
            <w:pPr>
              <w:rPr>
                <w:color w:val="FF0000"/>
                <w:sz w:val="24"/>
                <w:szCs w:val="24"/>
              </w:rPr>
            </w:pPr>
          </w:p>
          <w:p w14:paraId="45501652">
            <w:pPr>
              <w:pStyle w:val="2"/>
              <w:ind w:firstLine="240"/>
              <w:rPr>
                <w:color w:val="FF0000"/>
                <w:sz w:val="24"/>
                <w:szCs w:val="24"/>
              </w:rPr>
            </w:pPr>
          </w:p>
          <w:p w14:paraId="41A525FC">
            <w:pPr>
              <w:rPr>
                <w:color w:val="FF0000"/>
                <w:sz w:val="24"/>
                <w:szCs w:val="24"/>
              </w:rPr>
            </w:pPr>
          </w:p>
          <w:p w14:paraId="59488965">
            <w:pPr>
              <w:pStyle w:val="2"/>
              <w:ind w:firstLine="240"/>
              <w:rPr>
                <w:color w:val="FF0000"/>
                <w:sz w:val="24"/>
                <w:szCs w:val="24"/>
              </w:rPr>
            </w:pPr>
          </w:p>
          <w:p w14:paraId="7C4EB3F4">
            <w:pPr>
              <w:rPr>
                <w:color w:val="FF0000"/>
                <w:sz w:val="24"/>
                <w:szCs w:val="24"/>
              </w:rPr>
            </w:pPr>
          </w:p>
          <w:p w14:paraId="590F5967">
            <w:pPr>
              <w:pStyle w:val="2"/>
              <w:ind w:firstLine="240"/>
              <w:rPr>
                <w:color w:val="FF0000"/>
                <w:sz w:val="24"/>
                <w:szCs w:val="24"/>
              </w:rPr>
            </w:pPr>
          </w:p>
          <w:p w14:paraId="1990E476">
            <w:pPr>
              <w:rPr>
                <w:color w:val="FF0000"/>
                <w:sz w:val="24"/>
                <w:szCs w:val="24"/>
              </w:rPr>
            </w:pPr>
          </w:p>
          <w:p w14:paraId="1374121A">
            <w:pPr>
              <w:pStyle w:val="2"/>
              <w:ind w:firstLine="240"/>
              <w:rPr>
                <w:color w:val="FF0000"/>
                <w:sz w:val="24"/>
                <w:szCs w:val="24"/>
              </w:rPr>
            </w:pPr>
          </w:p>
          <w:p w14:paraId="47FEBE6B">
            <w:pPr>
              <w:rPr>
                <w:color w:val="FF0000"/>
                <w:sz w:val="24"/>
                <w:szCs w:val="24"/>
              </w:rPr>
            </w:pPr>
          </w:p>
          <w:p w14:paraId="3A181D82">
            <w:pPr>
              <w:pStyle w:val="2"/>
              <w:ind w:firstLine="240"/>
              <w:rPr>
                <w:color w:val="FF0000"/>
                <w:sz w:val="24"/>
                <w:szCs w:val="24"/>
              </w:rPr>
            </w:pPr>
          </w:p>
          <w:p w14:paraId="7DE5D773">
            <w:pPr>
              <w:rPr>
                <w:color w:val="FF0000"/>
              </w:rPr>
            </w:pPr>
          </w:p>
          <w:p w14:paraId="2DD78DC4">
            <w:pPr>
              <w:pStyle w:val="2"/>
              <w:ind w:firstLine="0" w:firstLineChars="0"/>
              <w:rPr>
                <w:color w:val="FF0000"/>
                <w:sz w:val="24"/>
                <w:szCs w:val="24"/>
              </w:rPr>
            </w:pPr>
          </w:p>
          <w:p w14:paraId="4067431D">
            <w:pPr>
              <w:rPr>
                <w:color w:val="FF0000"/>
                <w:sz w:val="24"/>
                <w:szCs w:val="24"/>
              </w:rPr>
            </w:pPr>
          </w:p>
          <w:p w14:paraId="3CD5A06F">
            <w:pPr>
              <w:pStyle w:val="2"/>
              <w:ind w:firstLine="240"/>
              <w:rPr>
                <w:color w:val="FF0000"/>
                <w:sz w:val="24"/>
                <w:szCs w:val="24"/>
              </w:rPr>
            </w:pPr>
          </w:p>
          <w:p w14:paraId="666F17B0">
            <w:pPr>
              <w:rPr>
                <w:color w:val="FF0000"/>
                <w:sz w:val="24"/>
                <w:szCs w:val="24"/>
              </w:rPr>
            </w:pPr>
          </w:p>
          <w:p w14:paraId="7ED046C6">
            <w:pPr>
              <w:pStyle w:val="2"/>
              <w:ind w:firstLine="210"/>
              <w:rPr>
                <w:color w:val="FF0000"/>
              </w:rPr>
            </w:pPr>
          </w:p>
          <w:p w14:paraId="6510898B">
            <w:pPr>
              <w:rPr>
                <w:color w:val="FF0000"/>
              </w:rPr>
            </w:pPr>
          </w:p>
          <w:p w14:paraId="5AE3E89D">
            <w:pPr>
              <w:pStyle w:val="3"/>
              <w:rPr>
                <w:color w:val="FF0000"/>
              </w:rPr>
            </w:pPr>
          </w:p>
          <w:p w14:paraId="13B0F366">
            <w:pPr>
              <w:pStyle w:val="2"/>
              <w:ind w:firstLine="0" w:firstLineChars="0"/>
              <w:rPr>
                <w:color w:val="FF0000"/>
              </w:rPr>
            </w:pPr>
          </w:p>
        </w:tc>
      </w:tr>
    </w:tbl>
    <w:p w14:paraId="279FE074">
      <w:pPr>
        <w:rPr>
          <w:rFonts w:eastAsiaTheme="minorEastAsia"/>
          <w:color w:val="FF0000"/>
        </w:rPr>
      </w:pPr>
    </w:p>
    <w:p w14:paraId="5CBF4331">
      <w:pPr>
        <w:pStyle w:val="43"/>
        <w:rPr>
          <w:rFonts w:ascii="Times New Roman" w:hAnsi="Times New Roman" w:cs="Times New Roman" w:eastAsiaTheme="minorEastAsia"/>
          <w:color w:val="FF0000"/>
        </w:rPr>
        <w:sectPr>
          <w:headerReference r:id="rId9" w:type="default"/>
          <w:footerReference r:id="rId10" w:type="default"/>
          <w:pgSz w:w="11905" w:h="16838"/>
          <w:pgMar w:top="1276" w:right="1803" w:bottom="1712" w:left="1803" w:header="850" w:footer="992" w:gutter="0"/>
          <w:pgBorders>
            <w:top w:val="none" w:sz="0" w:space="0"/>
            <w:left w:val="none" w:sz="0" w:space="0"/>
            <w:bottom w:val="none" w:sz="0" w:space="0"/>
            <w:right w:val="none" w:sz="0" w:space="0"/>
          </w:pgBorders>
          <w:pgNumType w:fmt="decimal"/>
          <w:cols w:space="0" w:num="1"/>
          <w:docGrid w:type="lines" w:linePitch="319" w:charSpace="0"/>
        </w:sectPr>
      </w:pPr>
    </w:p>
    <w:tbl>
      <w:tblPr>
        <w:tblStyle w:val="35"/>
        <w:tblW w:w="828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8"/>
      </w:tblGrid>
      <w:tr w14:paraId="6D19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3" w:hRule="atLeast"/>
        </w:trPr>
        <w:tc>
          <w:tcPr>
            <w:tcW w:w="8288" w:type="dxa"/>
          </w:tcPr>
          <w:p w14:paraId="51F442B3">
            <w:pPr>
              <w:rPr>
                <w:rFonts w:eastAsiaTheme="minorEastAsia"/>
                <w:color w:val="FF0000"/>
                <w:sz w:val="10"/>
                <w:szCs w:val="10"/>
              </w:rPr>
            </w:pPr>
          </w:p>
          <w:p w14:paraId="3FA48035">
            <w:pPr>
              <w:jc w:val="center"/>
              <w:rPr>
                <w:rFonts w:eastAsiaTheme="minorEastAsia"/>
                <w:color w:val="auto"/>
                <w:sz w:val="28"/>
                <w:szCs w:val="28"/>
              </w:rPr>
            </w:pPr>
            <w:r>
              <w:rPr>
                <w:rFonts w:eastAsiaTheme="minorEastAsia"/>
                <w:color w:val="auto"/>
                <w:sz w:val="28"/>
                <w:szCs w:val="28"/>
              </w:rPr>
              <w:t>注释</w:t>
            </w:r>
          </w:p>
          <w:p w14:paraId="72A3406C">
            <w:pPr>
              <w:rPr>
                <w:rFonts w:eastAsiaTheme="minorEastAsia"/>
                <w:color w:val="auto"/>
                <w:sz w:val="28"/>
                <w:szCs w:val="28"/>
              </w:rPr>
            </w:pPr>
          </w:p>
          <w:p w14:paraId="077239CE">
            <w:pPr>
              <w:numPr>
                <w:ilvl w:val="0"/>
                <w:numId w:val="3"/>
              </w:numPr>
              <w:spacing w:line="360" w:lineRule="auto"/>
              <w:rPr>
                <w:rFonts w:eastAsiaTheme="minorEastAsia"/>
                <w:color w:val="auto"/>
                <w:sz w:val="24"/>
                <w:szCs w:val="24"/>
              </w:rPr>
            </w:pPr>
            <w:r>
              <w:rPr>
                <w:rFonts w:eastAsiaTheme="minorEastAsia"/>
                <w:color w:val="auto"/>
                <w:sz w:val="24"/>
                <w:szCs w:val="24"/>
              </w:rPr>
              <w:t>本报告表应附以下附件、附图：</w:t>
            </w:r>
          </w:p>
          <w:p w14:paraId="7FB7EA1D">
            <w:pPr>
              <w:widowControl/>
              <w:spacing w:line="360" w:lineRule="auto"/>
              <w:ind w:left="564"/>
              <w:jc w:val="left"/>
              <w:rPr>
                <w:rFonts w:hint="eastAsia" w:cs="Times New Roman"/>
                <w:color w:val="auto"/>
                <w:szCs w:val="21"/>
                <w:lang w:val="en-US" w:eastAsia="zh-CN"/>
              </w:rPr>
            </w:pPr>
            <w:r>
              <w:rPr>
                <w:rFonts w:hint="eastAsia" w:ascii="Times New Roman" w:hAnsi="Times New Roman" w:eastAsia="宋体" w:cs="Times New Roman"/>
                <w:color w:val="auto"/>
                <w:szCs w:val="21"/>
              </w:rPr>
              <w:t>附件</w:t>
            </w:r>
            <w:r>
              <w:rPr>
                <w:rFonts w:hint="eastAsia" w:cs="Times New Roman"/>
                <w:color w:val="auto"/>
                <w:szCs w:val="21"/>
                <w:lang w:val="en-US" w:eastAsia="zh-CN"/>
              </w:rPr>
              <w:t>1授权委托书；</w:t>
            </w:r>
          </w:p>
          <w:p w14:paraId="200AF551">
            <w:pPr>
              <w:widowControl/>
              <w:spacing w:line="360" w:lineRule="auto"/>
              <w:ind w:left="564"/>
              <w:jc w:val="left"/>
              <w:rPr>
                <w:rFonts w:hint="eastAsia" w:ascii="Times New Roman" w:hAnsi="Times New Roman" w:eastAsia="宋体" w:cs="Times New Roman"/>
                <w:color w:val="auto"/>
                <w:szCs w:val="21"/>
              </w:rPr>
            </w:pPr>
            <w:r>
              <w:rPr>
                <w:rFonts w:hint="eastAsia" w:cs="Times New Roman"/>
                <w:color w:val="auto"/>
                <w:szCs w:val="21"/>
                <w:lang w:val="en-US" w:eastAsia="zh-CN"/>
              </w:rPr>
              <w:t>附件2</w:t>
            </w:r>
            <w:r>
              <w:rPr>
                <w:rFonts w:hint="eastAsia" w:ascii="Times New Roman" w:hAnsi="Times New Roman" w:eastAsia="宋体" w:cs="Times New Roman"/>
                <w:color w:val="auto"/>
                <w:szCs w:val="21"/>
              </w:rPr>
              <w:t>江苏省投资项目备案证；</w:t>
            </w:r>
          </w:p>
          <w:p w14:paraId="33B4DE5D">
            <w:pPr>
              <w:widowControl/>
              <w:spacing w:line="360" w:lineRule="auto"/>
              <w:ind w:left="564"/>
              <w:jc w:val="left"/>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附件</w:t>
            </w:r>
            <w:r>
              <w:rPr>
                <w:rFonts w:hint="eastAsia" w:cs="Times New Roman"/>
                <w:color w:val="auto"/>
                <w:szCs w:val="21"/>
                <w:lang w:val="en-US" w:eastAsia="zh-CN"/>
              </w:rPr>
              <w:t>3</w:t>
            </w:r>
            <w:r>
              <w:rPr>
                <w:rFonts w:hint="eastAsia" w:ascii="Times New Roman" w:hAnsi="Times New Roman" w:eastAsia="宋体" w:cs="Times New Roman"/>
                <w:color w:val="auto"/>
                <w:szCs w:val="21"/>
              </w:rPr>
              <w:t>营业执照；</w:t>
            </w:r>
          </w:p>
          <w:p w14:paraId="7166CE7A">
            <w:pPr>
              <w:widowControl/>
              <w:spacing w:line="360" w:lineRule="auto"/>
              <w:ind w:left="564"/>
              <w:jc w:val="lef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附件</w:t>
            </w:r>
            <w:r>
              <w:rPr>
                <w:rFonts w:hint="eastAsia" w:ascii="Times New Roman" w:hAnsi="Times New Roman" w:eastAsia="宋体" w:cs="Times New Roman"/>
                <w:color w:val="auto"/>
                <w:szCs w:val="21"/>
                <w:lang w:val="en-US" w:eastAsia="zh-CN"/>
              </w:rPr>
              <w:t>4租赁协议；</w:t>
            </w:r>
          </w:p>
          <w:p w14:paraId="49B53971">
            <w:pPr>
              <w:widowControl/>
              <w:spacing w:line="360" w:lineRule="auto"/>
              <w:ind w:left="564"/>
              <w:jc w:val="left"/>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附件5不动产权证</w:t>
            </w:r>
            <w:r>
              <w:rPr>
                <w:rFonts w:hint="eastAsia" w:ascii="Times New Roman" w:hAnsi="Times New Roman" w:eastAsia="宋体" w:cs="Times New Roman"/>
                <w:color w:val="auto"/>
                <w:szCs w:val="21"/>
              </w:rPr>
              <w:t>；</w:t>
            </w:r>
          </w:p>
          <w:p w14:paraId="24D3B3D7">
            <w:pPr>
              <w:widowControl/>
              <w:spacing w:line="360" w:lineRule="auto"/>
              <w:ind w:left="564"/>
              <w:jc w:val="lef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附件6排水许可证；</w:t>
            </w:r>
          </w:p>
          <w:p w14:paraId="5CD52146">
            <w:pPr>
              <w:widowControl/>
              <w:spacing w:line="360" w:lineRule="auto"/>
              <w:ind w:left="564"/>
              <w:jc w:val="left"/>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附件7危险废物处置承诺书；</w:t>
            </w:r>
          </w:p>
          <w:p w14:paraId="51945A04">
            <w:pPr>
              <w:widowControl/>
              <w:spacing w:line="360" w:lineRule="auto"/>
              <w:ind w:left="564"/>
              <w:jc w:val="lef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附件</w:t>
            </w:r>
            <w:r>
              <w:rPr>
                <w:rFonts w:hint="eastAsia" w:cs="Times New Roman"/>
                <w:color w:val="auto"/>
                <w:szCs w:val="21"/>
                <w:lang w:val="en-US" w:eastAsia="zh-CN"/>
              </w:rPr>
              <w:t>8</w:t>
            </w:r>
            <w:r>
              <w:rPr>
                <w:rFonts w:hint="eastAsia" w:ascii="Times New Roman" w:hAnsi="Times New Roman" w:eastAsia="宋体" w:cs="Times New Roman"/>
                <w:color w:val="auto"/>
                <w:szCs w:val="21"/>
                <w:lang w:val="en-US" w:eastAsia="zh-CN"/>
              </w:rPr>
              <w:t>建设单位作出的环评基础数据真实性承诺书；</w:t>
            </w:r>
          </w:p>
          <w:p w14:paraId="1996FE3E">
            <w:pPr>
              <w:widowControl/>
              <w:spacing w:line="360" w:lineRule="auto"/>
              <w:ind w:left="564"/>
              <w:jc w:val="lef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附件</w:t>
            </w:r>
            <w:r>
              <w:rPr>
                <w:rFonts w:hint="eastAsia" w:cs="Times New Roman"/>
                <w:color w:val="auto"/>
                <w:szCs w:val="21"/>
                <w:lang w:val="en-US" w:eastAsia="zh-CN"/>
              </w:rPr>
              <w:t>9</w:t>
            </w:r>
            <w:r>
              <w:rPr>
                <w:rFonts w:hint="eastAsia" w:ascii="Times New Roman" w:hAnsi="Times New Roman" w:eastAsia="宋体" w:cs="Times New Roman"/>
                <w:color w:val="auto"/>
                <w:szCs w:val="21"/>
                <w:lang w:val="en-US" w:eastAsia="zh-CN"/>
              </w:rPr>
              <w:t>建设单位作出的相关环保措施承诺；</w:t>
            </w:r>
          </w:p>
          <w:p w14:paraId="31C681A3">
            <w:pPr>
              <w:widowControl/>
              <w:spacing w:line="360" w:lineRule="auto"/>
              <w:ind w:left="564"/>
              <w:jc w:val="lef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附件</w:t>
            </w:r>
            <w:r>
              <w:rPr>
                <w:rFonts w:hint="eastAsia" w:cs="Times New Roman"/>
                <w:color w:val="auto"/>
                <w:szCs w:val="21"/>
                <w:lang w:val="en-US" w:eastAsia="zh-CN"/>
              </w:rPr>
              <w:t>10</w:t>
            </w:r>
            <w:r>
              <w:rPr>
                <w:rFonts w:hint="eastAsia" w:ascii="Times New Roman" w:hAnsi="Times New Roman" w:eastAsia="宋体" w:cs="Times New Roman"/>
                <w:color w:val="auto"/>
                <w:szCs w:val="21"/>
                <w:lang w:val="en-US" w:eastAsia="zh-CN"/>
              </w:rPr>
              <w:t>主要环境影响及预防或者减轻不良环境影响的对策和措施；</w:t>
            </w:r>
          </w:p>
          <w:p w14:paraId="53B33C5E">
            <w:pPr>
              <w:widowControl/>
              <w:spacing w:line="360" w:lineRule="auto"/>
              <w:ind w:left="564"/>
              <w:jc w:val="lef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附件1</w:t>
            </w:r>
            <w:r>
              <w:rPr>
                <w:rFonts w:hint="eastAsia" w:cs="Times New Roman"/>
                <w:color w:val="auto"/>
                <w:szCs w:val="21"/>
                <w:lang w:val="en-US" w:eastAsia="zh-CN"/>
              </w:rPr>
              <w:t>1</w:t>
            </w:r>
            <w:r>
              <w:rPr>
                <w:rFonts w:hint="eastAsia" w:ascii="Times New Roman" w:hAnsi="Times New Roman" w:eastAsia="宋体" w:cs="Times New Roman"/>
                <w:color w:val="auto"/>
                <w:szCs w:val="21"/>
                <w:lang w:val="en-US" w:eastAsia="zh-CN"/>
              </w:rPr>
              <w:t>环境影响报告全本信息公开证明材料；</w:t>
            </w:r>
          </w:p>
          <w:p w14:paraId="722E298B">
            <w:pPr>
              <w:widowControl/>
              <w:spacing w:line="360" w:lineRule="auto"/>
              <w:ind w:left="564"/>
              <w:jc w:val="left"/>
              <w:rPr>
                <w:rFonts w:hint="eastAsia"/>
                <w:color w:val="auto"/>
                <w:szCs w:val="21"/>
                <w:lang w:val="en-US" w:eastAsia="zh-CN"/>
              </w:rPr>
            </w:pPr>
            <w:r>
              <w:rPr>
                <w:rFonts w:hint="eastAsia" w:ascii="Times New Roman" w:hAnsi="Times New Roman" w:eastAsia="宋体" w:cs="Times New Roman"/>
                <w:color w:val="auto"/>
                <w:szCs w:val="21"/>
                <w:lang w:val="en-US" w:eastAsia="zh-CN"/>
              </w:rPr>
              <w:t>附件1</w:t>
            </w:r>
            <w:r>
              <w:rPr>
                <w:rFonts w:hint="eastAsia" w:cs="Times New Roman"/>
                <w:color w:val="auto"/>
                <w:szCs w:val="21"/>
                <w:lang w:val="en-US" w:eastAsia="zh-CN"/>
              </w:rPr>
              <w:t>2</w:t>
            </w:r>
            <w:r>
              <w:rPr>
                <w:rFonts w:hint="eastAsia" w:ascii="Times New Roman" w:hAnsi="Times New Roman" w:eastAsia="宋体" w:cs="Times New Roman"/>
                <w:color w:val="auto"/>
                <w:szCs w:val="21"/>
                <w:lang w:val="en-US" w:eastAsia="zh-CN"/>
              </w:rPr>
              <w:t>工</w:t>
            </w:r>
            <w:r>
              <w:rPr>
                <w:rFonts w:hint="eastAsia"/>
                <w:color w:val="auto"/>
                <w:szCs w:val="21"/>
                <w:lang w:val="en-US" w:eastAsia="zh-CN"/>
              </w:rPr>
              <w:t>程师现场照片；</w:t>
            </w:r>
          </w:p>
          <w:p w14:paraId="3177B6DD">
            <w:pPr>
              <w:widowControl/>
              <w:spacing w:line="360" w:lineRule="auto"/>
              <w:ind w:left="564"/>
              <w:jc w:val="left"/>
              <w:rPr>
                <w:rFonts w:hint="default"/>
                <w:color w:val="auto"/>
                <w:szCs w:val="21"/>
                <w:lang w:val="en-US" w:eastAsia="zh-CN"/>
              </w:rPr>
            </w:pPr>
            <w:r>
              <w:rPr>
                <w:rFonts w:hint="eastAsia"/>
                <w:color w:val="auto"/>
                <w:szCs w:val="21"/>
                <w:lang w:val="en-US" w:eastAsia="zh-CN"/>
              </w:rPr>
              <w:t>附件13原辅材料msds；</w:t>
            </w:r>
          </w:p>
          <w:p w14:paraId="4822EB1B">
            <w:pPr>
              <w:widowControl/>
              <w:spacing w:line="360" w:lineRule="auto"/>
              <w:ind w:left="564"/>
              <w:jc w:val="left"/>
              <w:rPr>
                <w:rFonts w:hint="eastAsia"/>
                <w:color w:val="auto"/>
                <w:szCs w:val="21"/>
                <w:lang w:val="en-US" w:eastAsia="zh-CN"/>
              </w:rPr>
            </w:pPr>
            <w:r>
              <w:rPr>
                <w:rFonts w:hint="eastAsia"/>
                <w:color w:val="auto"/>
                <w:szCs w:val="21"/>
                <w:lang w:val="en-US" w:eastAsia="zh-CN"/>
              </w:rPr>
              <w:t>附件14规划环评审查意见；</w:t>
            </w:r>
          </w:p>
          <w:p w14:paraId="23EF650A">
            <w:pPr>
              <w:widowControl/>
              <w:spacing w:line="360" w:lineRule="auto"/>
              <w:ind w:left="564"/>
              <w:jc w:val="left"/>
              <w:rPr>
                <w:rFonts w:hint="default"/>
                <w:color w:val="auto"/>
                <w:szCs w:val="21"/>
                <w:lang w:val="en-US" w:eastAsia="zh-CN"/>
              </w:rPr>
            </w:pPr>
            <w:r>
              <w:rPr>
                <w:rFonts w:hint="eastAsia"/>
                <w:color w:val="auto"/>
                <w:szCs w:val="21"/>
                <w:lang w:val="en-US" w:eastAsia="zh-CN"/>
              </w:rPr>
              <w:t>附件15常州市江边污水处理厂批复。</w:t>
            </w:r>
          </w:p>
          <w:p w14:paraId="43E2F91B">
            <w:pPr>
              <w:widowControl/>
              <w:spacing w:line="360" w:lineRule="auto"/>
              <w:ind w:left="564"/>
              <w:jc w:val="left"/>
              <w:rPr>
                <w:color w:val="FF0000"/>
                <w:szCs w:val="21"/>
              </w:rPr>
            </w:pPr>
          </w:p>
          <w:p w14:paraId="66B3D659">
            <w:pPr>
              <w:pStyle w:val="3"/>
              <w:rPr>
                <w:color w:val="FF0000"/>
              </w:rPr>
            </w:pPr>
          </w:p>
          <w:p w14:paraId="42EBC81C">
            <w:pPr>
              <w:widowControl/>
              <w:spacing w:line="360" w:lineRule="auto"/>
              <w:ind w:left="1405" w:leftChars="269" w:hanging="840" w:hangingChars="400"/>
              <w:jc w:val="left"/>
              <w:rPr>
                <w:color w:val="auto"/>
                <w:szCs w:val="21"/>
              </w:rPr>
            </w:pPr>
            <w:r>
              <w:rPr>
                <w:color w:val="auto"/>
                <w:szCs w:val="21"/>
              </w:rPr>
              <w:t>附图1项目地理位置图；</w:t>
            </w:r>
          </w:p>
          <w:p w14:paraId="6266C4C5">
            <w:pPr>
              <w:widowControl/>
              <w:spacing w:line="360" w:lineRule="auto"/>
              <w:ind w:left="564"/>
              <w:jc w:val="left"/>
              <w:rPr>
                <w:color w:val="auto"/>
                <w:szCs w:val="21"/>
              </w:rPr>
            </w:pPr>
            <w:r>
              <w:rPr>
                <w:color w:val="auto"/>
                <w:szCs w:val="21"/>
              </w:rPr>
              <w:t>附图2项目周边</w:t>
            </w:r>
            <w:r>
              <w:rPr>
                <w:rFonts w:hint="eastAsia"/>
                <w:color w:val="auto"/>
                <w:szCs w:val="21"/>
              </w:rPr>
              <w:t>5</w:t>
            </w:r>
            <w:r>
              <w:rPr>
                <w:color w:val="auto"/>
                <w:szCs w:val="21"/>
              </w:rPr>
              <w:t>00米范围</w:t>
            </w:r>
            <w:r>
              <w:rPr>
                <w:rFonts w:hint="eastAsia"/>
                <w:color w:val="auto"/>
                <w:szCs w:val="21"/>
                <w:lang w:val="en-US" w:eastAsia="zh-CN"/>
              </w:rPr>
              <w:t>土地利用</w:t>
            </w:r>
            <w:r>
              <w:rPr>
                <w:color w:val="auto"/>
                <w:szCs w:val="21"/>
              </w:rPr>
              <w:t>现状</w:t>
            </w:r>
            <w:r>
              <w:rPr>
                <w:rFonts w:hint="eastAsia"/>
                <w:color w:val="auto"/>
                <w:szCs w:val="21"/>
                <w:lang w:val="en-US" w:eastAsia="zh-CN"/>
              </w:rPr>
              <w:t>示意</w:t>
            </w:r>
            <w:r>
              <w:rPr>
                <w:color w:val="auto"/>
                <w:szCs w:val="21"/>
              </w:rPr>
              <w:t>图；</w:t>
            </w:r>
          </w:p>
          <w:p w14:paraId="2747389B">
            <w:pPr>
              <w:widowControl/>
              <w:spacing w:line="360" w:lineRule="auto"/>
              <w:ind w:left="1405" w:leftChars="269" w:hanging="840" w:hangingChars="400"/>
              <w:jc w:val="left"/>
              <w:rPr>
                <w:color w:val="auto"/>
                <w:szCs w:val="21"/>
              </w:rPr>
            </w:pPr>
            <w:r>
              <w:rPr>
                <w:color w:val="auto"/>
                <w:szCs w:val="21"/>
              </w:rPr>
              <w:t>附图</w:t>
            </w:r>
            <w:r>
              <w:rPr>
                <w:rFonts w:hint="eastAsia"/>
                <w:color w:val="auto"/>
                <w:szCs w:val="21"/>
                <w:lang w:val="en-US" w:eastAsia="zh-CN"/>
              </w:rPr>
              <w:t>3厂区</w:t>
            </w:r>
            <w:r>
              <w:rPr>
                <w:rFonts w:hint="eastAsia"/>
                <w:color w:val="auto"/>
                <w:szCs w:val="21"/>
              </w:rPr>
              <w:t>平面布置图</w:t>
            </w:r>
            <w:r>
              <w:rPr>
                <w:color w:val="auto"/>
                <w:szCs w:val="21"/>
              </w:rPr>
              <w:t>；</w:t>
            </w:r>
          </w:p>
          <w:p w14:paraId="3EA87B2E">
            <w:pPr>
              <w:widowControl/>
              <w:spacing w:line="360" w:lineRule="auto"/>
              <w:ind w:left="1405" w:leftChars="269" w:hanging="840" w:hangingChars="400"/>
              <w:jc w:val="left"/>
              <w:rPr>
                <w:color w:val="auto"/>
                <w:szCs w:val="21"/>
              </w:rPr>
            </w:pPr>
            <w:r>
              <w:rPr>
                <w:color w:val="auto"/>
                <w:szCs w:val="21"/>
              </w:rPr>
              <w:t>附图</w:t>
            </w:r>
            <w:r>
              <w:rPr>
                <w:rFonts w:hint="eastAsia"/>
                <w:color w:val="auto"/>
                <w:szCs w:val="21"/>
                <w:lang w:val="en-US" w:eastAsia="zh-CN"/>
              </w:rPr>
              <w:t>4生产车间</w:t>
            </w:r>
            <w:r>
              <w:rPr>
                <w:rFonts w:hint="eastAsia"/>
                <w:color w:val="auto"/>
                <w:szCs w:val="21"/>
              </w:rPr>
              <w:t>平面布置图</w:t>
            </w:r>
            <w:r>
              <w:rPr>
                <w:color w:val="auto"/>
                <w:szCs w:val="21"/>
              </w:rPr>
              <w:t>；</w:t>
            </w:r>
          </w:p>
          <w:p w14:paraId="7ED70704">
            <w:pPr>
              <w:widowControl/>
              <w:spacing w:line="360" w:lineRule="auto"/>
              <w:ind w:left="1405" w:leftChars="269" w:hanging="840" w:hangingChars="400"/>
              <w:jc w:val="left"/>
              <w:rPr>
                <w:color w:val="auto"/>
                <w:szCs w:val="21"/>
              </w:rPr>
            </w:pPr>
            <w:r>
              <w:rPr>
                <w:rFonts w:hint="eastAsia"/>
                <w:color w:val="auto"/>
                <w:szCs w:val="21"/>
              </w:rPr>
              <w:t>附图</w:t>
            </w:r>
            <w:r>
              <w:rPr>
                <w:rFonts w:hint="eastAsia"/>
                <w:color w:val="auto"/>
                <w:szCs w:val="21"/>
                <w:lang w:val="en-US" w:eastAsia="zh-CN"/>
              </w:rPr>
              <w:t>5土地利用</w:t>
            </w:r>
            <w:r>
              <w:rPr>
                <w:rFonts w:hint="eastAsia"/>
                <w:color w:val="auto"/>
                <w:szCs w:val="21"/>
              </w:rPr>
              <w:t>规划</w:t>
            </w:r>
            <w:r>
              <w:rPr>
                <w:color w:val="auto"/>
                <w:szCs w:val="21"/>
              </w:rPr>
              <w:t>图</w:t>
            </w:r>
            <w:r>
              <w:rPr>
                <w:rFonts w:hint="eastAsia"/>
                <w:color w:val="auto"/>
                <w:szCs w:val="21"/>
              </w:rPr>
              <w:t>；</w:t>
            </w:r>
          </w:p>
          <w:p w14:paraId="382A05A2">
            <w:pPr>
              <w:widowControl/>
              <w:spacing w:line="360" w:lineRule="auto"/>
              <w:ind w:left="1405" w:leftChars="269" w:hanging="840" w:hangingChars="400"/>
              <w:jc w:val="left"/>
              <w:rPr>
                <w:color w:val="auto"/>
                <w:szCs w:val="21"/>
              </w:rPr>
            </w:pPr>
            <w:r>
              <w:rPr>
                <w:rFonts w:hint="eastAsia"/>
                <w:color w:val="auto"/>
                <w:szCs w:val="21"/>
              </w:rPr>
              <w:t>附图</w:t>
            </w:r>
            <w:r>
              <w:rPr>
                <w:rFonts w:hint="eastAsia"/>
                <w:color w:val="auto"/>
                <w:szCs w:val="21"/>
                <w:lang w:val="en-US" w:eastAsia="zh-CN"/>
              </w:rPr>
              <w:t>6</w:t>
            </w:r>
            <w:r>
              <w:rPr>
                <w:color w:val="auto"/>
                <w:szCs w:val="21"/>
              </w:rPr>
              <w:t>项目</w:t>
            </w:r>
            <w:r>
              <w:rPr>
                <w:rFonts w:hint="eastAsia"/>
                <w:color w:val="auto"/>
                <w:szCs w:val="21"/>
              </w:rPr>
              <w:t>区域水系</w:t>
            </w:r>
            <w:r>
              <w:rPr>
                <w:color w:val="auto"/>
                <w:szCs w:val="21"/>
              </w:rPr>
              <w:t>图</w:t>
            </w:r>
            <w:r>
              <w:rPr>
                <w:rFonts w:hint="eastAsia"/>
                <w:color w:val="auto"/>
                <w:szCs w:val="21"/>
              </w:rPr>
              <w:t>；</w:t>
            </w:r>
          </w:p>
          <w:p w14:paraId="6B4F9D0B">
            <w:pPr>
              <w:widowControl/>
              <w:spacing w:line="360" w:lineRule="auto"/>
              <w:ind w:left="1405" w:leftChars="269" w:hanging="840" w:hangingChars="400"/>
              <w:jc w:val="left"/>
              <w:rPr>
                <w:color w:val="auto"/>
                <w:szCs w:val="21"/>
              </w:rPr>
            </w:pPr>
            <w:r>
              <w:rPr>
                <w:rFonts w:hint="eastAsia"/>
                <w:color w:val="auto"/>
                <w:szCs w:val="21"/>
              </w:rPr>
              <w:t>附图</w:t>
            </w:r>
            <w:r>
              <w:rPr>
                <w:rFonts w:hint="eastAsia"/>
                <w:color w:val="auto"/>
                <w:szCs w:val="21"/>
                <w:lang w:val="en-US" w:eastAsia="zh-CN"/>
              </w:rPr>
              <w:t>7</w:t>
            </w:r>
            <w:r>
              <w:rPr>
                <w:color w:val="auto"/>
                <w:szCs w:val="21"/>
              </w:rPr>
              <w:t>项目周边生态空间保护区域分布图</w:t>
            </w:r>
            <w:r>
              <w:rPr>
                <w:rFonts w:hint="eastAsia"/>
                <w:color w:val="auto"/>
                <w:szCs w:val="21"/>
              </w:rPr>
              <w:t>；</w:t>
            </w:r>
          </w:p>
          <w:p w14:paraId="7263D1B1">
            <w:pPr>
              <w:widowControl/>
              <w:spacing w:line="360" w:lineRule="auto"/>
              <w:ind w:left="1405" w:leftChars="269" w:hanging="840" w:hangingChars="400"/>
              <w:jc w:val="left"/>
              <w:rPr>
                <w:rFonts w:hint="eastAsia"/>
                <w:color w:val="auto"/>
                <w:szCs w:val="21"/>
                <w:lang w:eastAsia="zh-CN"/>
              </w:rPr>
            </w:pPr>
            <w:r>
              <w:rPr>
                <w:rFonts w:hint="eastAsia"/>
                <w:color w:val="auto"/>
                <w:szCs w:val="21"/>
              </w:rPr>
              <w:t>附图</w:t>
            </w:r>
            <w:r>
              <w:rPr>
                <w:rFonts w:hint="eastAsia"/>
                <w:color w:val="auto"/>
                <w:szCs w:val="21"/>
                <w:lang w:val="en-US" w:eastAsia="zh-CN"/>
              </w:rPr>
              <w:t>8</w:t>
            </w:r>
            <w:r>
              <w:rPr>
                <w:rFonts w:hint="eastAsia"/>
                <w:color w:val="auto"/>
                <w:szCs w:val="21"/>
              </w:rPr>
              <w:t>常州市环境管控单元</w:t>
            </w:r>
            <w:r>
              <w:rPr>
                <w:color w:val="auto"/>
                <w:szCs w:val="21"/>
              </w:rPr>
              <w:t>图</w:t>
            </w:r>
            <w:r>
              <w:rPr>
                <w:rFonts w:hint="eastAsia"/>
                <w:color w:val="auto"/>
                <w:szCs w:val="21"/>
                <w:lang w:eastAsia="zh-CN"/>
              </w:rPr>
              <w:t>；</w:t>
            </w:r>
          </w:p>
          <w:p w14:paraId="3FA0D3AB">
            <w:pPr>
              <w:widowControl/>
              <w:spacing w:line="360" w:lineRule="auto"/>
              <w:ind w:left="1405" w:leftChars="269" w:hanging="840" w:hangingChars="400"/>
              <w:jc w:val="left"/>
              <w:rPr>
                <w:rFonts w:hint="eastAsia"/>
                <w:color w:val="auto"/>
                <w:szCs w:val="21"/>
                <w:lang w:val="en-US" w:eastAsia="zh-CN"/>
              </w:rPr>
            </w:pPr>
            <w:r>
              <w:rPr>
                <w:rFonts w:hint="eastAsia"/>
                <w:color w:val="auto"/>
                <w:szCs w:val="21"/>
                <w:lang w:val="en-US" w:eastAsia="zh-CN"/>
              </w:rPr>
              <w:t>附图9常州市中心城区声环境功能区划图；</w:t>
            </w:r>
          </w:p>
          <w:p w14:paraId="70D10E9C">
            <w:pPr>
              <w:widowControl/>
              <w:spacing w:line="360" w:lineRule="auto"/>
              <w:ind w:left="1405" w:leftChars="269" w:hanging="840" w:hangingChars="400"/>
              <w:jc w:val="left"/>
              <w:rPr>
                <w:color w:val="auto"/>
                <w:szCs w:val="21"/>
              </w:rPr>
            </w:pPr>
            <w:r>
              <w:rPr>
                <w:rFonts w:hint="eastAsia"/>
                <w:color w:val="auto"/>
                <w:szCs w:val="21"/>
                <w:lang w:val="en-US" w:eastAsia="zh-CN"/>
              </w:rPr>
              <w:t>附图10市域国土空间控制线规划图</w:t>
            </w:r>
            <w:r>
              <w:rPr>
                <w:rFonts w:hint="eastAsia"/>
                <w:color w:val="auto"/>
                <w:szCs w:val="21"/>
              </w:rPr>
              <w:t>。</w:t>
            </w:r>
          </w:p>
          <w:p w14:paraId="53BC23E3">
            <w:pPr>
              <w:spacing w:line="360" w:lineRule="auto"/>
              <w:rPr>
                <w:rFonts w:eastAsiaTheme="minorEastAsia"/>
                <w:color w:val="FF0000"/>
              </w:rPr>
            </w:pPr>
          </w:p>
          <w:p w14:paraId="7CA00F18">
            <w:pPr>
              <w:pStyle w:val="45"/>
              <w:rPr>
                <w:rFonts w:eastAsiaTheme="minorEastAsia"/>
                <w:color w:val="FF0000"/>
              </w:rPr>
            </w:pPr>
          </w:p>
        </w:tc>
      </w:tr>
    </w:tbl>
    <w:p w14:paraId="2D9B61E0">
      <w:pPr>
        <w:rPr>
          <w:rFonts w:eastAsiaTheme="minorEastAsia"/>
          <w:color w:val="FF0000"/>
        </w:rPr>
        <w:sectPr>
          <w:pgSz w:w="11905" w:h="16838"/>
          <w:pgMar w:top="1276" w:right="1803" w:bottom="1712" w:left="1803" w:header="850" w:footer="992" w:gutter="0"/>
          <w:pgBorders>
            <w:top w:val="none" w:sz="0" w:space="0"/>
            <w:left w:val="none" w:sz="0" w:space="0"/>
            <w:bottom w:val="none" w:sz="0" w:space="0"/>
            <w:right w:val="none" w:sz="0" w:space="0"/>
          </w:pgBorders>
          <w:pgNumType w:fmt="decimal"/>
          <w:cols w:space="0" w:num="1"/>
          <w:docGrid w:type="lines" w:linePitch="319" w:charSpace="0"/>
        </w:sectPr>
      </w:pPr>
    </w:p>
    <w:p w14:paraId="20460060">
      <w:pPr>
        <w:pStyle w:val="32"/>
        <w:adjustRightInd w:val="0"/>
        <w:snapToGrid w:val="0"/>
        <w:spacing w:before="0" w:beforeAutospacing="0" w:after="0" w:afterAutospacing="0" w:line="360" w:lineRule="auto"/>
        <w:outlineLvl w:val="0"/>
        <w:rPr>
          <w:rFonts w:hint="eastAsia" w:eastAsia="宋体"/>
          <w:color w:val="auto"/>
          <w:lang w:val="en-US" w:eastAsia="zh-CN"/>
        </w:rPr>
      </w:pPr>
      <w:bookmarkStart w:id="17" w:name="_Toc21462"/>
      <w:r>
        <w:rPr>
          <w:rFonts w:hint="eastAsia"/>
          <w:snapToGrid w:val="0"/>
          <w:color w:val="auto"/>
          <w:sz w:val="32"/>
          <w:szCs w:val="32"/>
        </w:rPr>
        <w:t>附表</w:t>
      </w:r>
      <w:bookmarkEnd w:id="17"/>
    </w:p>
    <w:p w14:paraId="7B5C7800">
      <w:pPr>
        <w:pStyle w:val="32"/>
        <w:adjustRightInd w:val="0"/>
        <w:snapToGrid w:val="0"/>
        <w:spacing w:before="0" w:beforeAutospacing="0" w:after="0" w:afterAutospacing="0" w:line="360" w:lineRule="auto"/>
        <w:jc w:val="center"/>
        <w:outlineLvl w:val="0"/>
        <w:rPr>
          <w:color w:val="auto"/>
        </w:rPr>
      </w:pPr>
      <w:bookmarkStart w:id="18" w:name="_Toc9923"/>
      <w:r>
        <w:rPr>
          <w:rFonts w:hint="eastAsia"/>
          <w:snapToGrid w:val="0"/>
          <w:color w:val="auto"/>
          <w:sz w:val="38"/>
          <w:szCs w:val="38"/>
        </w:rPr>
        <w:t>建设项目污染物排放量汇总表</w:t>
      </w:r>
      <w:bookmarkEnd w:id="18"/>
    </w:p>
    <w:tbl>
      <w:tblPr>
        <w:tblStyle w:val="3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987"/>
        <w:gridCol w:w="1560"/>
        <w:gridCol w:w="1185"/>
        <w:gridCol w:w="1397"/>
        <w:gridCol w:w="1559"/>
        <w:gridCol w:w="1761"/>
        <w:gridCol w:w="1748"/>
        <w:gridCol w:w="1037"/>
      </w:tblGrid>
      <w:tr w14:paraId="32AC70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4" w:type="dxa"/>
            <w:tcBorders>
              <w:tl2br w:val="single" w:color="auto" w:sz="4" w:space="0"/>
            </w:tcBorders>
            <w:tcMar>
              <w:left w:w="28" w:type="dxa"/>
              <w:right w:w="28" w:type="dxa"/>
            </w:tcMar>
            <w:vAlign w:val="center"/>
          </w:tcPr>
          <w:p w14:paraId="50B24B85">
            <w:pPr>
              <w:pStyle w:val="53"/>
              <w:jc w:val="right"/>
              <w:rPr>
                <w:rFonts w:ascii="宋体" w:hAnsi="宋体" w:cs="宋体"/>
                <w:snapToGrid w:val="0"/>
                <w:color w:val="auto"/>
                <w:spacing w:val="-6"/>
                <w:kern w:val="21"/>
                <w:sz w:val="21"/>
                <w:szCs w:val="21"/>
              </w:rPr>
            </w:pPr>
            <w:r>
              <w:rPr>
                <w:rFonts w:hint="eastAsia" w:ascii="宋体" w:hAnsi="宋体" w:cs="宋体"/>
                <w:snapToGrid w:val="0"/>
                <w:color w:val="auto"/>
                <w:spacing w:val="-6"/>
                <w:kern w:val="21"/>
                <w:sz w:val="21"/>
                <w:szCs w:val="21"/>
              </w:rPr>
              <w:t>项目</w:t>
            </w:r>
          </w:p>
          <w:p w14:paraId="680EDB3B">
            <w:pPr>
              <w:pStyle w:val="53"/>
              <w:jc w:val="left"/>
              <w:rPr>
                <w:rFonts w:ascii="宋体" w:hAnsi="宋体" w:cs="宋体"/>
                <w:snapToGrid w:val="0"/>
                <w:color w:val="auto"/>
                <w:spacing w:val="-6"/>
                <w:kern w:val="21"/>
                <w:sz w:val="21"/>
                <w:szCs w:val="21"/>
              </w:rPr>
            </w:pPr>
            <w:r>
              <w:rPr>
                <w:rFonts w:hint="eastAsia" w:ascii="宋体" w:hAnsi="宋体" w:cs="宋体"/>
                <w:snapToGrid w:val="0"/>
                <w:color w:val="auto"/>
                <w:spacing w:val="-6"/>
                <w:kern w:val="21"/>
                <w:sz w:val="21"/>
                <w:szCs w:val="21"/>
              </w:rPr>
              <w:t>分类</w:t>
            </w:r>
          </w:p>
        </w:tc>
        <w:tc>
          <w:tcPr>
            <w:tcW w:w="1987" w:type="dxa"/>
            <w:tcMar>
              <w:left w:w="28" w:type="dxa"/>
              <w:right w:w="28" w:type="dxa"/>
            </w:tcMar>
            <w:vAlign w:val="center"/>
          </w:tcPr>
          <w:p w14:paraId="69A08226">
            <w:pPr>
              <w:pStyle w:val="53"/>
              <w:rPr>
                <w:rFonts w:ascii="宋体" w:hAnsi="宋体" w:cs="宋体"/>
                <w:snapToGrid w:val="0"/>
                <w:color w:val="auto"/>
                <w:spacing w:val="-6"/>
                <w:kern w:val="21"/>
                <w:sz w:val="21"/>
                <w:szCs w:val="21"/>
              </w:rPr>
            </w:pPr>
            <w:r>
              <w:rPr>
                <w:rFonts w:hint="eastAsia" w:ascii="宋体" w:hAnsi="宋体" w:cs="宋体"/>
                <w:snapToGrid w:val="0"/>
                <w:color w:val="auto"/>
                <w:spacing w:val="-6"/>
                <w:kern w:val="21"/>
                <w:sz w:val="21"/>
                <w:szCs w:val="21"/>
              </w:rPr>
              <w:t>污染物名称</w:t>
            </w:r>
          </w:p>
        </w:tc>
        <w:tc>
          <w:tcPr>
            <w:tcW w:w="1560" w:type="dxa"/>
            <w:tcMar>
              <w:left w:w="28" w:type="dxa"/>
              <w:right w:w="28" w:type="dxa"/>
            </w:tcMar>
            <w:vAlign w:val="center"/>
          </w:tcPr>
          <w:p w14:paraId="08926404">
            <w:pPr>
              <w:pStyle w:val="53"/>
              <w:rPr>
                <w:rFonts w:ascii="宋体" w:hAnsi="宋体" w:cs="宋体"/>
                <w:snapToGrid w:val="0"/>
                <w:color w:val="auto"/>
                <w:spacing w:val="-6"/>
                <w:kern w:val="21"/>
                <w:sz w:val="21"/>
                <w:szCs w:val="21"/>
              </w:rPr>
            </w:pPr>
            <w:r>
              <w:rPr>
                <w:rFonts w:hint="eastAsia" w:ascii="宋体" w:hAnsi="宋体" w:cs="宋体"/>
                <w:snapToGrid w:val="0"/>
                <w:color w:val="auto"/>
                <w:spacing w:val="-6"/>
                <w:kern w:val="21"/>
                <w:sz w:val="21"/>
                <w:szCs w:val="21"/>
              </w:rPr>
              <w:t>现有工程</w:t>
            </w:r>
          </w:p>
          <w:p w14:paraId="17BC3950">
            <w:pPr>
              <w:pStyle w:val="53"/>
              <w:rPr>
                <w:rFonts w:ascii="宋体" w:hAnsi="宋体" w:cs="宋体"/>
                <w:snapToGrid w:val="0"/>
                <w:color w:val="auto"/>
                <w:spacing w:val="-6"/>
                <w:kern w:val="21"/>
                <w:sz w:val="21"/>
                <w:szCs w:val="21"/>
              </w:rPr>
            </w:pPr>
            <w:r>
              <w:rPr>
                <w:rFonts w:hint="eastAsia" w:ascii="宋体" w:hAnsi="宋体" w:cs="宋体"/>
                <w:snapToGrid w:val="0"/>
                <w:color w:val="auto"/>
                <w:spacing w:val="-6"/>
                <w:kern w:val="21"/>
                <w:sz w:val="21"/>
                <w:szCs w:val="21"/>
              </w:rPr>
              <w:t>排放量（固体废物产生量）</w:t>
            </w:r>
            <w:r>
              <w:rPr>
                <w:rFonts w:hint="eastAsia" w:ascii="宋体" w:hAnsi="宋体" w:cs="宋体"/>
                <w:snapToGrid w:val="0"/>
                <w:color w:val="auto"/>
                <w:spacing w:val="-6"/>
                <w:kern w:val="21"/>
                <w:sz w:val="21"/>
                <w:szCs w:val="21"/>
              </w:rPr>
              <w:fldChar w:fldCharType="begin"/>
            </w:r>
            <w:r>
              <w:rPr>
                <w:rFonts w:hint="eastAsia" w:ascii="宋体" w:hAnsi="宋体" w:cs="宋体"/>
                <w:snapToGrid w:val="0"/>
                <w:color w:val="auto"/>
                <w:spacing w:val="-6"/>
                <w:kern w:val="21"/>
                <w:sz w:val="21"/>
                <w:szCs w:val="21"/>
              </w:rPr>
              <w:instrText xml:space="preserve"> = 1 \* GB3 \* MERGEFORMAT </w:instrText>
            </w:r>
            <w:r>
              <w:rPr>
                <w:rFonts w:hint="eastAsia" w:ascii="宋体" w:hAnsi="宋体" w:cs="宋体"/>
                <w:snapToGrid w:val="0"/>
                <w:color w:val="auto"/>
                <w:spacing w:val="-6"/>
                <w:kern w:val="21"/>
                <w:sz w:val="21"/>
                <w:szCs w:val="21"/>
              </w:rPr>
              <w:fldChar w:fldCharType="separate"/>
            </w:r>
            <w:r>
              <w:rPr>
                <w:rFonts w:hint="eastAsia" w:ascii="宋体" w:hAnsi="宋体" w:cs="宋体"/>
                <w:color w:val="auto"/>
                <w:sz w:val="21"/>
                <w:szCs w:val="21"/>
              </w:rPr>
              <w:t>①</w:t>
            </w:r>
            <w:r>
              <w:rPr>
                <w:rFonts w:hint="eastAsia" w:ascii="宋体" w:hAnsi="宋体" w:cs="宋体"/>
                <w:snapToGrid w:val="0"/>
                <w:color w:val="auto"/>
                <w:spacing w:val="-6"/>
                <w:kern w:val="21"/>
                <w:sz w:val="21"/>
                <w:szCs w:val="21"/>
              </w:rPr>
              <w:fldChar w:fldCharType="end"/>
            </w:r>
          </w:p>
        </w:tc>
        <w:tc>
          <w:tcPr>
            <w:tcW w:w="1185" w:type="dxa"/>
            <w:tcMar>
              <w:left w:w="28" w:type="dxa"/>
              <w:right w:w="28" w:type="dxa"/>
            </w:tcMar>
            <w:vAlign w:val="center"/>
          </w:tcPr>
          <w:p w14:paraId="038B5E11">
            <w:pPr>
              <w:pStyle w:val="53"/>
              <w:rPr>
                <w:rFonts w:ascii="宋体" w:hAnsi="宋体" w:cs="宋体"/>
                <w:snapToGrid w:val="0"/>
                <w:color w:val="auto"/>
                <w:spacing w:val="-6"/>
                <w:kern w:val="21"/>
                <w:sz w:val="21"/>
                <w:szCs w:val="21"/>
              </w:rPr>
            </w:pPr>
            <w:r>
              <w:rPr>
                <w:rFonts w:hint="eastAsia" w:ascii="宋体" w:hAnsi="宋体" w:cs="宋体"/>
                <w:snapToGrid w:val="0"/>
                <w:color w:val="auto"/>
                <w:spacing w:val="-6"/>
                <w:kern w:val="21"/>
                <w:sz w:val="21"/>
                <w:szCs w:val="21"/>
              </w:rPr>
              <w:t>现有工程</w:t>
            </w:r>
          </w:p>
          <w:p w14:paraId="311157AF">
            <w:pPr>
              <w:pStyle w:val="53"/>
              <w:rPr>
                <w:rFonts w:ascii="宋体" w:hAnsi="宋体" w:cs="宋体"/>
                <w:snapToGrid w:val="0"/>
                <w:color w:val="auto"/>
                <w:spacing w:val="-6"/>
                <w:kern w:val="21"/>
                <w:sz w:val="21"/>
                <w:szCs w:val="21"/>
              </w:rPr>
            </w:pPr>
            <w:r>
              <w:rPr>
                <w:rFonts w:hint="eastAsia" w:ascii="宋体" w:hAnsi="宋体" w:cs="宋体"/>
                <w:snapToGrid w:val="0"/>
                <w:color w:val="auto"/>
                <w:spacing w:val="-6"/>
                <w:kern w:val="21"/>
                <w:sz w:val="21"/>
                <w:szCs w:val="21"/>
              </w:rPr>
              <w:t>许可排放量</w:t>
            </w:r>
          </w:p>
          <w:p w14:paraId="7668ED85">
            <w:pPr>
              <w:pStyle w:val="53"/>
              <w:rPr>
                <w:rFonts w:ascii="宋体" w:hAnsi="宋体" w:cs="宋体"/>
                <w:snapToGrid w:val="0"/>
                <w:color w:val="auto"/>
                <w:spacing w:val="-6"/>
                <w:kern w:val="21"/>
                <w:sz w:val="21"/>
                <w:szCs w:val="21"/>
              </w:rPr>
            </w:pPr>
            <w:r>
              <w:rPr>
                <w:rFonts w:hint="eastAsia" w:ascii="宋体" w:hAnsi="宋体" w:cs="宋体"/>
                <w:snapToGrid w:val="0"/>
                <w:color w:val="auto"/>
                <w:spacing w:val="-6"/>
                <w:kern w:val="21"/>
                <w:sz w:val="21"/>
                <w:szCs w:val="21"/>
              </w:rPr>
              <w:fldChar w:fldCharType="begin"/>
            </w:r>
            <w:r>
              <w:rPr>
                <w:rFonts w:hint="eastAsia" w:ascii="宋体" w:hAnsi="宋体" w:cs="宋体"/>
                <w:snapToGrid w:val="0"/>
                <w:color w:val="auto"/>
                <w:spacing w:val="-6"/>
                <w:kern w:val="21"/>
                <w:sz w:val="21"/>
                <w:szCs w:val="21"/>
              </w:rPr>
              <w:instrText xml:space="preserve"> = 2 \* GB3 \* MERGEFORMAT </w:instrText>
            </w:r>
            <w:r>
              <w:rPr>
                <w:rFonts w:hint="eastAsia" w:ascii="宋体" w:hAnsi="宋体" w:cs="宋体"/>
                <w:snapToGrid w:val="0"/>
                <w:color w:val="auto"/>
                <w:spacing w:val="-6"/>
                <w:kern w:val="21"/>
                <w:sz w:val="21"/>
                <w:szCs w:val="21"/>
              </w:rPr>
              <w:fldChar w:fldCharType="separate"/>
            </w:r>
            <w:r>
              <w:rPr>
                <w:rFonts w:hint="eastAsia" w:ascii="宋体" w:hAnsi="宋体" w:cs="宋体"/>
                <w:snapToGrid w:val="0"/>
                <w:color w:val="auto"/>
                <w:spacing w:val="-6"/>
                <w:kern w:val="21"/>
                <w:sz w:val="21"/>
                <w:szCs w:val="21"/>
              </w:rPr>
              <w:t>②</w:t>
            </w:r>
            <w:r>
              <w:rPr>
                <w:rFonts w:hint="eastAsia" w:ascii="宋体" w:hAnsi="宋体" w:cs="宋体"/>
                <w:snapToGrid w:val="0"/>
                <w:color w:val="auto"/>
                <w:spacing w:val="-6"/>
                <w:kern w:val="21"/>
                <w:sz w:val="21"/>
                <w:szCs w:val="21"/>
              </w:rPr>
              <w:fldChar w:fldCharType="end"/>
            </w:r>
          </w:p>
        </w:tc>
        <w:tc>
          <w:tcPr>
            <w:tcW w:w="1397" w:type="dxa"/>
            <w:tcMar>
              <w:left w:w="28" w:type="dxa"/>
              <w:right w:w="28" w:type="dxa"/>
            </w:tcMar>
            <w:vAlign w:val="center"/>
          </w:tcPr>
          <w:p w14:paraId="2B807AFA">
            <w:pPr>
              <w:pStyle w:val="53"/>
              <w:rPr>
                <w:rFonts w:ascii="宋体" w:hAnsi="宋体" w:cs="宋体"/>
                <w:snapToGrid w:val="0"/>
                <w:color w:val="auto"/>
                <w:spacing w:val="-6"/>
                <w:kern w:val="21"/>
                <w:sz w:val="21"/>
                <w:szCs w:val="21"/>
              </w:rPr>
            </w:pPr>
            <w:r>
              <w:rPr>
                <w:rFonts w:hint="eastAsia" w:ascii="宋体" w:hAnsi="宋体" w:cs="宋体"/>
                <w:snapToGrid w:val="0"/>
                <w:color w:val="auto"/>
                <w:spacing w:val="-6"/>
                <w:kern w:val="21"/>
                <w:sz w:val="21"/>
                <w:szCs w:val="21"/>
              </w:rPr>
              <w:t>在建工程</w:t>
            </w:r>
          </w:p>
          <w:p w14:paraId="15EB91C0">
            <w:pPr>
              <w:pStyle w:val="53"/>
              <w:rPr>
                <w:rFonts w:ascii="宋体" w:hAnsi="宋体" w:cs="宋体"/>
                <w:snapToGrid w:val="0"/>
                <w:color w:val="auto"/>
                <w:spacing w:val="-6"/>
                <w:kern w:val="21"/>
                <w:sz w:val="21"/>
                <w:szCs w:val="21"/>
              </w:rPr>
            </w:pPr>
            <w:r>
              <w:rPr>
                <w:rFonts w:hint="eastAsia" w:ascii="宋体" w:hAnsi="宋体" w:cs="宋体"/>
                <w:snapToGrid w:val="0"/>
                <w:color w:val="auto"/>
                <w:spacing w:val="-6"/>
                <w:kern w:val="21"/>
                <w:sz w:val="21"/>
                <w:szCs w:val="21"/>
              </w:rPr>
              <w:t>排放量（固体废物产生量）</w:t>
            </w:r>
            <w:r>
              <w:rPr>
                <w:rFonts w:hint="eastAsia" w:ascii="宋体" w:hAnsi="宋体" w:cs="宋体"/>
                <w:snapToGrid w:val="0"/>
                <w:color w:val="auto"/>
                <w:spacing w:val="-6"/>
                <w:kern w:val="21"/>
                <w:sz w:val="21"/>
                <w:szCs w:val="21"/>
              </w:rPr>
              <w:fldChar w:fldCharType="begin"/>
            </w:r>
            <w:r>
              <w:rPr>
                <w:rFonts w:hint="eastAsia" w:ascii="宋体" w:hAnsi="宋体" w:cs="宋体"/>
                <w:snapToGrid w:val="0"/>
                <w:color w:val="auto"/>
                <w:spacing w:val="-6"/>
                <w:kern w:val="21"/>
                <w:sz w:val="21"/>
                <w:szCs w:val="21"/>
              </w:rPr>
              <w:instrText xml:space="preserve"> = 3 \* GB3 \* MERGEFORMAT </w:instrText>
            </w:r>
            <w:r>
              <w:rPr>
                <w:rFonts w:hint="eastAsia" w:ascii="宋体" w:hAnsi="宋体" w:cs="宋体"/>
                <w:snapToGrid w:val="0"/>
                <w:color w:val="auto"/>
                <w:spacing w:val="-6"/>
                <w:kern w:val="21"/>
                <w:sz w:val="21"/>
                <w:szCs w:val="21"/>
              </w:rPr>
              <w:fldChar w:fldCharType="separate"/>
            </w:r>
            <w:r>
              <w:rPr>
                <w:rFonts w:hint="eastAsia" w:ascii="宋体" w:hAnsi="宋体" w:cs="宋体"/>
                <w:color w:val="auto"/>
                <w:sz w:val="21"/>
                <w:szCs w:val="21"/>
              </w:rPr>
              <w:t>③</w:t>
            </w:r>
            <w:r>
              <w:rPr>
                <w:rFonts w:hint="eastAsia" w:ascii="宋体" w:hAnsi="宋体" w:cs="宋体"/>
                <w:snapToGrid w:val="0"/>
                <w:color w:val="auto"/>
                <w:spacing w:val="-6"/>
                <w:kern w:val="21"/>
                <w:sz w:val="21"/>
                <w:szCs w:val="21"/>
              </w:rPr>
              <w:fldChar w:fldCharType="end"/>
            </w:r>
          </w:p>
        </w:tc>
        <w:tc>
          <w:tcPr>
            <w:tcW w:w="1559" w:type="dxa"/>
            <w:tcMar>
              <w:left w:w="28" w:type="dxa"/>
              <w:right w:w="28" w:type="dxa"/>
            </w:tcMar>
            <w:vAlign w:val="center"/>
          </w:tcPr>
          <w:p w14:paraId="4DEDF5E4">
            <w:pPr>
              <w:pStyle w:val="53"/>
              <w:rPr>
                <w:rFonts w:ascii="宋体" w:hAnsi="宋体" w:cs="宋体"/>
                <w:snapToGrid w:val="0"/>
                <w:color w:val="auto"/>
                <w:spacing w:val="-6"/>
                <w:kern w:val="21"/>
                <w:sz w:val="21"/>
                <w:szCs w:val="21"/>
              </w:rPr>
            </w:pPr>
            <w:r>
              <w:rPr>
                <w:rFonts w:hint="eastAsia" w:ascii="宋体" w:hAnsi="宋体" w:cs="宋体"/>
                <w:snapToGrid w:val="0"/>
                <w:color w:val="auto"/>
                <w:spacing w:val="-6"/>
                <w:kern w:val="21"/>
                <w:sz w:val="21"/>
                <w:szCs w:val="21"/>
              </w:rPr>
              <w:t>本项目</w:t>
            </w:r>
          </w:p>
          <w:p w14:paraId="75C313CD">
            <w:pPr>
              <w:pStyle w:val="53"/>
              <w:rPr>
                <w:rFonts w:ascii="宋体" w:hAnsi="宋体" w:cs="宋体"/>
                <w:snapToGrid w:val="0"/>
                <w:color w:val="auto"/>
                <w:spacing w:val="-6"/>
                <w:kern w:val="21"/>
                <w:sz w:val="21"/>
                <w:szCs w:val="21"/>
              </w:rPr>
            </w:pPr>
            <w:r>
              <w:rPr>
                <w:rFonts w:hint="eastAsia" w:ascii="宋体" w:hAnsi="宋体" w:cs="宋体"/>
                <w:snapToGrid w:val="0"/>
                <w:color w:val="auto"/>
                <w:spacing w:val="-6"/>
                <w:kern w:val="21"/>
                <w:sz w:val="21"/>
                <w:szCs w:val="21"/>
              </w:rPr>
              <w:t>排放量（固体废物产生量）</w:t>
            </w:r>
            <w:r>
              <w:rPr>
                <w:rFonts w:hint="eastAsia" w:ascii="宋体" w:hAnsi="宋体" w:cs="宋体"/>
                <w:snapToGrid w:val="0"/>
                <w:color w:val="auto"/>
                <w:spacing w:val="-6"/>
                <w:kern w:val="21"/>
                <w:sz w:val="21"/>
                <w:szCs w:val="21"/>
              </w:rPr>
              <w:fldChar w:fldCharType="begin"/>
            </w:r>
            <w:r>
              <w:rPr>
                <w:rFonts w:hint="eastAsia" w:ascii="宋体" w:hAnsi="宋体" w:cs="宋体"/>
                <w:snapToGrid w:val="0"/>
                <w:color w:val="auto"/>
                <w:spacing w:val="-6"/>
                <w:kern w:val="21"/>
                <w:sz w:val="21"/>
                <w:szCs w:val="21"/>
              </w:rPr>
              <w:instrText xml:space="preserve"> = 4 \* GB3 \* MERGEFORMAT </w:instrText>
            </w:r>
            <w:r>
              <w:rPr>
                <w:rFonts w:hint="eastAsia" w:ascii="宋体" w:hAnsi="宋体" w:cs="宋体"/>
                <w:snapToGrid w:val="0"/>
                <w:color w:val="auto"/>
                <w:spacing w:val="-6"/>
                <w:kern w:val="21"/>
                <w:sz w:val="21"/>
                <w:szCs w:val="21"/>
              </w:rPr>
              <w:fldChar w:fldCharType="separate"/>
            </w:r>
            <w:r>
              <w:rPr>
                <w:rFonts w:hint="eastAsia" w:ascii="宋体" w:hAnsi="宋体" w:cs="宋体"/>
                <w:color w:val="auto"/>
                <w:sz w:val="21"/>
                <w:szCs w:val="21"/>
              </w:rPr>
              <w:t>④</w:t>
            </w:r>
            <w:r>
              <w:rPr>
                <w:rFonts w:hint="eastAsia" w:ascii="宋体" w:hAnsi="宋体" w:cs="宋体"/>
                <w:snapToGrid w:val="0"/>
                <w:color w:val="auto"/>
                <w:spacing w:val="-6"/>
                <w:kern w:val="21"/>
                <w:sz w:val="21"/>
                <w:szCs w:val="21"/>
              </w:rPr>
              <w:fldChar w:fldCharType="end"/>
            </w:r>
          </w:p>
        </w:tc>
        <w:tc>
          <w:tcPr>
            <w:tcW w:w="1761" w:type="dxa"/>
            <w:tcMar>
              <w:left w:w="28" w:type="dxa"/>
              <w:right w:w="28" w:type="dxa"/>
            </w:tcMar>
            <w:vAlign w:val="center"/>
          </w:tcPr>
          <w:p w14:paraId="7F43227B">
            <w:pPr>
              <w:pStyle w:val="53"/>
              <w:rPr>
                <w:rFonts w:ascii="宋体" w:hAnsi="宋体" w:cs="宋体"/>
                <w:snapToGrid w:val="0"/>
                <w:color w:val="auto"/>
                <w:spacing w:val="-16"/>
                <w:kern w:val="21"/>
                <w:sz w:val="21"/>
                <w:szCs w:val="21"/>
              </w:rPr>
            </w:pPr>
            <w:r>
              <w:rPr>
                <w:rFonts w:hint="eastAsia" w:ascii="宋体" w:hAnsi="宋体" w:cs="宋体"/>
                <w:snapToGrid w:val="0"/>
                <w:color w:val="auto"/>
                <w:spacing w:val="-16"/>
                <w:kern w:val="21"/>
                <w:sz w:val="21"/>
                <w:szCs w:val="21"/>
              </w:rPr>
              <w:t>以新带老削减量</w:t>
            </w:r>
          </w:p>
          <w:p w14:paraId="43A3196C">
            <w:pPr>
              <w:pStyle w:val="53"/>
              <w:rPr>
                <w:rFonts w:ascii="宋体" w:hAnsi="宋体" w:cs="宋体"/>
                <w:snapToGrid w:val="0"/>
                <w:color w:val="auto"/>
                <w:spacing w:val="-16"/>
                <w:kern w:val="21"/>
                <w:sz w:val="21"/>
                <w:szCs w:val="21"/>
              </w:rPr>
            </w:pPr>
            <w:r>
              <w:rPr>
                <w:rFonts w:hint="eastAsia" w:ascii="宋体" w:hAnsi="宋体" w:cs="宋体"/>
                <w:snapToGrid w:val="0"/>
                <w:color w:val="auto"/>
                <w:spacing w:val="-16"/>
                <w:kern w:val="21"/>
                <w:sz w:val="21"/>
                <w:szCs w:val="21"/>
              </w:rPr>
              <w:t>（新建项目不填）</w:t>
            </w:r>
            <w:r>
              <w:rPr>
                <w:rFonts w:hint="eastAsia" w:ascii="宋体" w:hAnsi="宋体" w:cs="宋体"/>
                <w:snapToGrid w:val="0"/>
                <w:color w:val="auto"/>
                <w:spacing w:val="-16"/>
                <w:kern w:val="21"/>
                <w:sz w:val="21"/>
                <w:szCs w:val="21"/>
              </w:rPr>
              <w:fldChar w:fldCharType="begin"/>
            </w:r>
            <w:r>
              <w:rPr>
                <w:rFonts w:hint="eastAsia" w:ascii="宋体" w:hAnsi="宋体" w:cs="宋体"/>
                <w:snapToGrid w:val="0"/>
                <w:color w:val="auto"/>
                <w:spacing w:val="-16"/>
                <w:kern w:val="21"/>
                <w:sz w:val="21"/>
                <w:szCs w:val="21"/>
              </w:rPr>
              <w:instrText xml:space="preserve"> = 5 \* GB3 \* MERGEFORMAT </w:instrText>
            </w:r>
            <w:r>
              <w:rPr>
                <w:rFonts w:hint="eastAsia" w:ascii="宋体" w:hAnsi="宋体" w:cs="宋体"/>
                <w:snapToGrid w:val="0"/>
                <w:color w:val="auto"/>
                <w:spacing w:val="-16"/>
                <w:kern w:val="21"/>
                <w:sz w:val="21"/>
                <w:szCs w:val="21"/>
              </w:rPr>
              <w:fldChar w:fldCharType="separate"/>
            </w:r>
            <w:r>
              <w:rPr>
                <w:rFonts w:hint="eastAsia" w:ascii="宋体" w:hAnsi="宋体" w:cs="宋体"/>
                <w:color w:val="auto"/>
                <w:sz w:val="21"/>
                <w:szCs w:val="21"/>
              </w:rPr>
              <w:t>⑤</w:t>
            </w:r>
            <w:r>
              <w:rPr>
                <w:rFonts w:hint="eastAsia" w:ascii="宋体" w:hAnsi="宋体" w:cs="宋体"/>
                <w:snapToGrid w:val="0"/>
                <w:color w:val="auto"/>
                <w:spacing w:val="-16"/>
                <w:kern w:val="21"/>
                <w:sz w:val="21"/>
                <w:szCs w:val="21"/>
              </w:rPr>
              <w:fldChar w:fldCharType="end"/>
            </w:r>
          </w:p>
        </w:tc>
        <w:tc>
          <w:tcPr>
            <w:tcW w:w="1748" w:type="dxa"/>
            <w:tcMar>
              <w:left w:w="28" w:type="dxa"/>
              <w:right w:w="28" w:type="dxa"/>
            </w:tcMar>
            <w:vAlign w:val="center"/>
          </w:tcPr>
          <w:p w14:paraId="631B847E">
            <w:pPr>
              <w:pStyle w:val="53"/>
              <w:rPr>
                <w:rFonts w:ascii="宋体" w:hAnsi="宋体" w:cs="宋体"/>
                <w:snapToGrid w:val="0"/>
                <w:color w:val="auto"/>
                <w:spacing w:val="-16"/>
                <w:kern w:val="21"/>
                <w:sz w:val="21"/>
                <w:szCs w:val="21"/>
              </w:rPr>
            </w:pPr>
            <w:r>
              <w:rPr>
                <w:rFonts w:hint="eastAsia" w:ascii="宋体" w:hAnsi="宋体" w:cs="宋体"/>
                <w:snapToGrid w:val="0"/>
                <w:color w:val="auto"/>
                <w:spacing w:val="-16"/>
                <w:kern w:val="21"/>
                <w:sz w:val="21"/>
                <w:szCs w:val="21"/>
              </w:rPr>
              <w:t>本项目建成后</w:t>
            </w:r>
          </w:p>
          <w:p w14:paraId="034E183E">
            <w:pPr>
              <w:pStyle w:val="53"/>
              <w:rPr>
                <w:rFonts w:ascii="宋体" w:hAnsi="宋体" w:cs="宋体"/>
                <w:snapToGrid w:val="0"/>
                <w:color w:val="auto"/>
                <w:spacing w:val="-16"/>
                <w:kern w:val="21"/>
                <w:sz w:val="21"/>
                <w:szCs w:val="21"/>
              </w:rPr>
            </w:pPr>
            <w:r>
              <w:rPr>
                <w:rFonts w:hint="eastAsia" w:ascii="宋体" w:hAnsi="宋体" w:cs="宋体"/>
                <w:snapToGrid w:val="0"/>
                <w:color w:val="auto"/>
                <w:spacing w:val="-16"/>
                <w:kern w:val="21"/>
                <w:sz w:val="21"/>
                <w:szCs w:val="21"/>
              </w:rPr>
              <w:t>全厂排放量（固体废物产生量）</w:t>
            </w:r>
            <w:r>
              <w:rPr>
                <w:rFonts w:hint="eastAsia" w:ascii="宋体" w:hAnsi="宋体" w:cs="宋体"/>
                <w:snapToGrid w:val="0"/>
                <w:color w:val="auto"/>
                <w:spacing w:val="-16"/>
                <w:kern w:val="21"/>
                <w:sz w:val="21"/>
                <w:szCs w:val="21"/>
              </w:rPr>
              <w:fldChar w:fldCharType="begin"/>
            </w:r>
            <w:r>
              <w:rPr>
                <w:rFonts w:hint="eastAsia" w:ascii="宋体" w:hAnsi="宋体" w:cs="宋体"/>
                <w:snapToGrid w:val="0"/>
                <w:color w:val="auto"/>
                <w:spacing w:val="-16"/>
                <w:kern w:val="21"/>
                <w:sz w:val="21"/>
                <w:szCs w:val="21"/>
              </w:rPr>
              <w:instrText xml:space="preserve"> = 6 \* GB3 \* MERGEFORMAT </w:instrText>
            </w:r>
            <w:r>
              <w:rPr>
                <w:rFonts w:hint="eastAsia" w:ascii="宋体" w:hAnsi="宋体" w:cs="宋体"/>
                <w:snapToGrid w:val="0"/>
                <w:color w:val="auto"/>
                <w:spacing w:val="-16"/>
                <w:kern w:val="21"/>
                <w:sz w:val="21"/>
                <w:szCs w:val="21"/>
              </w:rPr>
              <w:fldChar w:fldCharType="separate"/>
            </w:r>
            <w:r>
              <w:rPr>
                <w:rFonts w:hint="eastAsia" w:ascii="宋体" w:hAnsi="宋体" w:cs="宋体"/>
                <w:color w:val="auto"/>
                <w:sz w:val="21"/>
                <w:szCs w:val="21"/>
              </w:rPr>
              <w:t>⑥</w:t>
            </w:r>
            <w:r>
              <w:rPr>
                <w:rFonts w:hint="eastAsia" w:ascii="宋体" w:hAnsi="宋体" w:cs="宋体"/>
                <w:snapToGrid w:val="0"/>
                <w:color w:val="auto"/>
                <w:spacing w:val="-16"/>
                <w:kern w:val="21"/>
                <w:sz w:val="21"/>
                <w:szCs w:val="21"/>
              </w:rPr>
              <w:fldChar w:fldCharType="end"/>
            </w:r>
          </w:p>
        </w:tc>
        <w:tc>
          <w:tcPr>
            <w:tcW w:w="1037" w:type="dxa"/>
            <w:tcMar>
              <w:left w:w="28" w:type="dxa"/>
              <w:right w:w="28" w:type="dxa"/>
            </w:tcMar>
            <w:vAlign w:val="center"/>
          </w:tcPr>
          <w:p w14:paraId="475F8601">
            <w:pPr>
              <w:pStyle w:val="53"/>
              <w:rPr>
                <w:rFonts w:ascii="宋体" w:hAnsi="宋体" w:cs="宋体"/>
                <w:snapToGrid w:val="0"/>
                <w:color w:val="auto"/>
                <w:spacing w:val="-6"/>
                <w:kern w:val="21"/>
                <w:sz w:val="21"/>
                <w:szCs w:val="21"/>
              </w:rPr>
            </w:pPr>
            <w:r>
              <w:rPr>
                <w:rFonts w:hint="eastAsia" w:ascii="宋体" w:hAnsi="宋体" w:cs="宋体"/>
                <w:snapToGrid w:val="0"/>
                <w:color w:val="auto"/>
                <w:spacing w:val="-6"/>
                <w:kern w:val="21"/>
                <w:sz w:val="21"/>
                <w:szCs w:val="21"/>
              </w:rPr>
              <w:t>变化量</w:t>
            </w:r>
          </w:p>
          <w:p w14:paraId="55234FD7">
            <w:pPr>
              <w:pStyle w:val="53"/>
              <w:rPr>
                <w:rFonts w:ascii="宋体" w:hAnsi="宋体" w:cs="宋体"/>
                <w:snapToGrid w:val="0"/>
                <w:color w:val="auto"/>
                <w:spacing w:val="-6"/>
                <w:kern w:val="21"/>
                <w:sz w:val="21"/>
                <w:szCs w:val="21"/>
              </w:rPr>
            </w:pPr>
            <w:r>
              <w:rPr>
                <w:rFonts w:hint="eastAsia" w:ascii="宋体" w:hAnsi="宋体" w:cs="宋体"/>
                <w:snapToGrid w:val="0"/>
                <w:color w:val="auto"/>
                <w:spacing w:val="-6"/>
                <w:kern w:val="21"/>
                <w:sz w:val="21"/>
                <w:szCs w:val="21"/>
              </w:rPr>
              <w:fldChar w:fldCharType="begin"/>
            </w:r>
            <w:r>
              <w:rPr>
                <w:rFonts w:hint="eastAsia" w:ascii="宋体" w:hAnsi="宋体" w:cs="宋体"/>
                <w:snapToGrid w:val="0"/>
                <w:color w:val="auto"/>
                <w:spacing w:val="-6"/>
                <w:kern w:val="21"/>
                <w:sz w:val="21"/>
                <w:szCs w:val="21"/>
              </w:rPr>
              <w:instrText xml:space="preserve"> = 7 \* GB3 \* MERGEFORMAT </w:instrText>
            </w:r>
            <w:r>
              <w:rPr>
                <w:rFonts w:hint="eastAsia" w:ascii="宋体" w:hAnsi="宋体" w:cs="宋体"/>
                <w:snapToGrid w:val="0"/>
                <w:color w:val="auto"/>
                <w:spacing w:val="-6"/>
                <w:kern w:val="21"/>
                <w:sz w:val="21"/>
                <w:szCs w:val="21"/>
              </w:rPr>
              <w:fldChar w:fldCharType="separate"/>
            </w:r>
            <w:r>
              <w:rPr>
                <w:rFonts w:hint="eastAsia" w:ascii="宋体" w:hAnsi="宋体" w:cs="宋体"/>
                <w:color w:val="auto"/>
                <w:sz w:val="21"/>
                <w:szCs w:val="21"/>
              </w:rPr>
              <w:t>⑦</w:t>
            </w:r>
            <w:r>
              <w:rPr>
                <w:rFonts w:hint="eastAsia" w:ascii="宋体" w:hAnsi="宋体" w:cs="宋体"/>
                <w:snapToGrid w:val="0"/>
                <w:color w:val="auto"/>
                <w:spacing w:val="-6"/>
                <w:kern w:val="21"/>
                <w:sz w:val="21"/>
                <w:szCs w:val="21"/>
              </w:rPr>
              <w:fldChar w:fldCharType="end"/>
            </w:r>
          </w:p>
        </w:tc>
      </w:tr>
      <w:tr w14:paraId="32AAD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54" w:type="dxa"/>
            <w:vMerge w:val="restart"/>
            <w:vAlign w:val="center"/>
          </w:tcPr>
          <w:p w14:paraId="5C67E4BE">
            <w:pPr>
              <w:pStyle w:val="53"/>
              <w:rPr>
                <w:rFonts w:hint="eastAsia" w:ascii="宋体" w:hAnsi="宋体" w:cs="宋体"/>
                <w:snapToGrid w:val="0"/>
                <w:color w:val="auto"/>
                <w:kern w:val="21"/>
                <w:sz w:val="21"/>
                <w:szCs w:val="21"/>
              </w:rPr>
            </w:pPr>
            <w:r>
              <w:rPr>
                <w:rFonts w:hint="eastAsia" w:ascii="宋体" w:hAnsi="宋体" w:cs="宋体"/>
                <w:snapToGrid w:val="0"/>
                <w:color w:val="auto"/>
                <w:kern w:val="21"/>
                <w:sz w:val="21"/>
                <w:szCs w:val="21"/>
              </w:rPr>
              <w:t>废水</w:t>
            </w:r>
          </w:p>
          <w:p w14:paraId="590E3110">
            <w:pPr>
              <w:pStyle w:val="53"/>
              <w:rPr>
                <w:rFonts w:hint="eastAsia" w:ascii="宋体" w:hAnsi="宋体" w:cs="宋体" w:eastAsiaTheme="minorEastAsia"/>
                <w:snapToGrid w:val="0"/>
                <w:color w:val="auto"/>
                <w:kern w:val="21"/>
                <w:sz w:val="21"/>
                <w:szCs w:val="21"/>
                <w:lang w:eastAsia="zh-CN"/>
              </w:rPr>
            </w:pPr>
            <w:r>
              <w:rPr>
                <w:rFonts w:hint="eastAsia" w:eastAsiaTheme="minorEastAsia"/>
                <w:color w:val="auto"/>
                <w:sz w:val="21"/>
                <w:szCs w:val="21"/>
                <w:lang w:eastAsia="zh-CN"/>
              </w:rPr>
              <w:t>（</w:t>
            </w:r>
            <w:r>
              <w:rPr>
                <w:rFonts w:eastAsiaTheme="minorEastAsia"/>
                <w:color w:val="auto"/>
                <w:sz w:val="21"/>
                <w:szCs w:val="21"/>
              </w:rPr>
              <w:t>m³/a</w:t>
            </w:r>
            <w:r>
              <w:rPr>
                <w:rFonts w:hint="eastAsia" w:eastAsiaTheme="minorEastAsia"/>
                <w:color w:val="auto"/>
                <w:sz w:val="21"/>
                <w:szCs w:val="21"/>
                <w:lang w:eastAsia="zh-CN"/>
              </w:rPr>
              <w:t>）</w:t>
            </w:r>
          </w:p>
        </w:tc>
        <w:tc>
          <w:tcPr>
            <w:tcW w:w="1987" w:type="dxa"/>
            <w:vAlign w:val="center"/>
          </w:tcPr>
          <w:p w14:paraId="72AA4D65">
            <w:pPr>
              <w:pStyle w:val="53"/>
              <w:rPr>
                <w:rFonts w:ascii="宋体" w:hAnsi="宋体" w:cs="宋体"/>
                <w:snapToGrid w:val="0"/>
                <w:color w:val="auto"/>
                <w:kern w:val="21"/>
                <w:sz w:val="21"/>
                <w:szCs w:val="21"/>
              </w:rPr>
            </w:pPr>
            <w:r>
              <w:rPr>
                <w:rFonts w:ascii="Times New Roman"/>
                <w:snapToGrid w:val="0"/>
                <w:color w:val="auto"/>
                <w:kern w:val="21"/>
                <w:sz w:val="21"/>
                <w:szCs w:val="21"/>
              </w:rPr>
              <w:t>废水量</w:t>
            </w:r>
          </w:p>
        </w:tc>
        <w:tc>
          <w:tcPr>
            <w:tcW w:w="1560" w:type="dxa"/>
            <w:vAlign w:val="center"/>
          </w:tcPr>
          <w:p w14:paraId="71F94E18">
            <w:pPr>
              <w:adjustRightInd w:val="0"/>
              <w:snapToGrid w:val="0"/>
              <w:jc w:val="center"/>
              <w:rPr>
                <w:rFonts w:hint="default" w:ascii="Times New Roman" w:hAnsi="Times New Roman" w:eastAsia="宋体" w:cs="Times New Roman"/>
                <w:snapToGrid w:val="0"/>
                <w:color w:val="auto"/>
                <w:kern w:val="21"/>
                <w:sz w:val="21"/>
                <w:szCs w:val="21"/>
                <w:lang w:val="en-US" w:eastAsia="zh-CN"/>
              </w:rPr>
            </w:pPr>
            <w:r>
              <w:rPr>
                <w:rFonts w:hint="eastAsia"/>
                <w:snapToGrid w:val="0"/>
                <w:color w:val="auto"/>
                <w:kern w:val="21"/>
                <w:szCs w:val="21"/>
                <w:lang w:val="en-US" w:eastAsia="zh-CN"/>
              </w:rPr>
              <w:t>0</w:t>
            </w:r>
          </w:p>
        </w:tc>
        <w:tc>
          <w:tcPr>
            <w:tcW w:w="1185" w:type="dxa"/>
            <w:shd w:val="clear" w:color="auto" w:fill="auto"/>
            <w:vAlign w:val="center"/>
          </w:tcPr>
          <w:p w14:paraId="7B18879D">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lang w:val="en-US" w:eastAsia="zh-CN"/>
              </w:rPr>
              <w:t>0</w:t>
            </w:r>
          </w:p>
        </w:tc>
        <w:tc>
          <w:tcPr>
            <w:tcW w:w="1397" w:type="dxa"/>
            <w:vAlign w:val="center"/>
          </w:tcPr>
          <w:p w14:paraId="7BCD7D58">
            <w:pPr>
              <w:jc w:val="center"/>
              <w:rPr>
                <w:rFonts w:ascii="宋体" w:hAnsi="宋体" w:cs="宋体"/>
                <w:snapToGrid w:val="0"/>
                <w:color w:val="auto"/>
                <w:kern w:val="21"/>
                <w:szCs w:val="21"/>
              </w:rPr>
            </w:pPr>
            <w:r>
              <w:rPr>
                <w:rFonts w:hint="eastAsia"/>
                <w:snapToGrid w:val="0"/>
                <w:color w:val="auto"/>
                <w:kern w:val="21"/>
                <w:szCs w:val="21"/>
                <w:lang w:val="en-US" w:eastAsia="zh-CN"/>
              </w:rPr>
              <w:t>0</w:t>
            </w:r>
          </w:p>
        </w:tc>
        <w:tc>
          <w:tcPr>
            <w:tcW w:w="1559" w:type="dxa"/>
            <w:shd w:val="clear" w:color="auto" w:fill="auto"/>
            <w:vAlign w:val="center"/>
          </w:tcPr>
          <w:p w14:paraId="23166A7A">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648</w:t>
            </w:r>
          </w:p>
        </w:tc>
        <w:tc>
          <w:tcPr>
            <w:tcW w:w="1761" w:type="dxa"/>
            <w:shd w:val="clear" w:color="auto" w:fill="auto"/>
            <w:vAlign w:val="center"/>
          </w:tcPr>
          <w:p w14:paraId="411F5468">
            <w:pPr>
              <w:adjustRightInd w:val="0"/>
              <w:snapToGrid w:val="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Cs w:val="21"/>
                <w:shd w:val="clear" w:color="auto" w:fill="auto"/>
                <w:lang w:val="en-US" w:eastAsia="zh-CN"/>
              </w:rPr>
              <w:t>0</w:t>
            </w:r>
          </w:p>
        </w:tc>
        <w:tc>
          <w:tcPr>
            <w:tcW w:w="1748" w:type="dxa"/>
            <w:shd w:val="clear" w:color="auto" w:fill="auto"/>
            <w:vAlign w:val="center"/>
          </w:tcPr>
          <w:p w14:paraId="6DE13CAD">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648</w:t>
            </w:r>
          </w:p>
        </w:tc>
        <w:tc>
          <w:tcPr>
            <w:tcW w:w="1037" w:type="dxa"/>
            <w:shd w:val="clear" w:color="auto" w:fill="auto"/>
            <w:vAlign w:val="center"/>
          </w:tcPr>
          <w:p w14:paraId="574FFC14">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+648</w:t>
            </w:r>
          </w:p>
        </w:tc>
      </w:tr>
      <w:tr w14:paraId="5F8C0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Merge w:val="continue"/>
            <w:vAlign w:val="center"/>
          </w:tcPr>
          <w:p w14:paraId="0030F342">
            <w:pPr>
              <w:pStyle w:val="53"/>
              <w:rPr>
                <w:rFonts w:ascii="宋体" w:hAnsi="宋体" w:cs="宋体"/>
                <w:snapToGrid w:val="0"/>
                <w:color w:val="auto"/>
                <w:kern w:val="21"/>
                <w:sz w:val="21"/>
                <w:szCs w:val="21"/>
              </w:rPr>
            </w:pPr>
          </w:p>
        </w:tc>
        <w:tc>
          <w:tcPr>
            <w:tcW w:w="1987" w:type="dxa"/>
            <w:vAlign w:val="center"/>
          </w:tcPr>
          <w:p w14:paraId="5EEF110F">
            <w:pPr>
              <w:pStyle w:val="53"/>
              <w:rPr>
                <w:rFonts w:ascii="宋体" w:hAnsi="宋体" w:cs="宋体"/>
                <w:snapToGrid w:val="0"/>
                <w:color w:val="auto"/>
                <w:kern w:val="21"/>
                <w:sz w:val="21"/>
                <w:szCs w:val="21"/>
              </w:rPr>
            </w:pPr>
            <w:r>
              <w:rPr>
                <w:snapToGrid w:val="0"/>
                <w:color w:val="auto"/>
                <w:kern w:val="21"/>
                <w:sz w:val="21"/>
                <w:szCs w:val="21"/>
              </w:rPr>
              <w:t>COD</w:t>
            </w:r>
          </w:p>
        </w:tc>
        <w:tc>
          <w:tcPr>
            <w:tcW w:w="1560" w:type="dxa"/>
            <w:vAlign w:val="center"/>
          </w:tcPr>
          <w:p w14:paraId="474B0D66">
            <w:pPr>
              <w:adjustRightInd w:val="0"/>
              <w:snapToGrid w:val="0"/>
              <w:jc w:val="center"/>
              <w:rPr>
                <w:rFonts w:hint="default" w:ascii="Times New Roman" w:hAnsi="Times New Roman" w:eastAsia="宋体" w:cs="Times New Roman"/>
                <w:snapToGrid w:val="0"/>
                <w:color w:val="auto"/>
                <w:kern w:val="21"/>
                <w:sz w:val="21"/>
                <w:szCs w:val="21"/>
                <w:lang w:val="en-US" w:eastAsia="zh-CN"/>
              </w:rPr>
            </w:pPr>
            <w:r>
              <w:rPr>
                <w:rFonts w:hint="eastAsia"/>
                <w:snapToGrid w:val="0"/>
                <w:color w:val="auto"/>
                <w:kern w:val="21"/>
                <w:szCs w:val="21"/>
                <w:lang w:val="en-US" w:eastAsia="zh-CN"/>
              </w:rPr>
              <w:t>0</w:t>
            </w:r>
          </w:p>
        </w:tc>
        <w:tc>
          <w:tcPr>
            <w:tcW w:w="1185" w:type="dxa"/>
            <w:shd w:val="clear" w:color="auto" w:fill="auto"/>
            <w:vAlign w:val="center"/>
          </w:tcPr>
          <w:p w14:paraId="5C09AD69">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lang w:val="en-US" w:eastAsia="zh-CN"/>
              </w:rPr>
              <w:t>0</w:t>
            </w:r>
          </w:p>
        </w:tc>
        <w:tc>
          <w:tcPr>
            <w:tcW w:w="1397" w:type="dxa"/>
            <w:vAlign w:val="center"/>
          </w:tcPr>
          <w:p w14:paraId="20787CCA">
            <w:pPr>
              <w:jc w:val="center"/>
              <w:rPr>
                <w:snapToGrid w:val="0"/>
                <w:color w:val="auto"/>
                <w:kern w:val="21"/>
                <w:szCs w:val="21"/>
              </w:rPr>
            </w:pPr>
            <w:r>
              <w:rPr>
                <w:rFonts w:hint="eastAsia"/>
                <w:snapToGrid w:val="0"/>
                <w:color w:val="auto"/>
                <w:kern w:val="21"/>
                <w:szCs w:val="21"/>
                <w:lang w:val="en-US" w:eastAsia="zh-CN"/>
              </w:rPr>
              <w:t>0</w:t>
            </w:r>
          </w:p>
        </w:tc>
        <w:tc>
          <w:tcPr>
            <w:tcW w:w="1559" w:type="dxa"/>
            <w:shd w:val="clear" w:color="auto" w:fill="auto"/>
            <w:vAlign w:val="center"/>
          </w:tcPr>
          <w:p w14:paraId="32640914">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0.259</w:t>
            </w:r>
          </w:p>
        </w:tc>
        <w:tc>
          <w:tcPr>
            <w:tcW w:w="1761" w:type="dxa"/>
            <w:shd w:val="clear" w:color="auto" w:fill="auto"/>
            <w:vAlign w:val="center"/>
          </w:tcPr>
          <w:p w14:paraId="623A4A1E">
            <w:pPr>
              <w:adjustRightInd w:val="0"/>
              <w:snapToGrid w:val="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Cs w:val="21"/>
                <w:shd w:val="clear" w:color="auto" w:fill="auto"/>
                <w:lang w:val="en-US" w:eastAsia="zh-CN"/>
              </w:rPr>
              <w:t>0</w:t>
            </w:r>
          </w:p>
        </w:tc>
        <w:tc>
          <w:tcPr>
            <w:tcW w:w="1748" w:type="dxa"/>
            <w:shd w:val="clear" w:color="auto" w:fill="auto"/>
            <w:vAlign w:val="center"/>
          </w:tcPr>
          <w:p w14:paraId="5D579D83">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0.259</w:t>
            </w:r>
          </w:p>
        </w:tc>
        <w:tc>
          <w:tcPr>
            <w:tcW w:w="1037" w:type="dxa"/>
            <w:shd w:val="clear" w:color="auto" w:fill="auto"/>
            <w:vAlign w:val="center"/>
          </w:tcPr>
          <w:p w14:paraId="3D045151">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+0.259</w:t>
            </w:r>
          </w:p>
        </w:tc>
      </w:tr>
      <w:tr w14:paraId="3B73A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Merge w:val="continue"/>
            <w:vAlign w:val="center"/>
          </w:tcPr>
          <w:p w14:paraId="14C8FCC7">
            <w:pPr>
              <w:pStyle w:val="53"/>
              <w:rPr>
                <w:rFonts w:ascii="宋体" w:hAnsi="宋体" w:cs="宋体"/>
                <w:snapToGrid w:val="0"/>
                <w:color w:val="auto"/>
                <w:kern w:val="21"/>
                <w:sz w:val="21"/>
                <w:szCs w:val="21"/>
              </w:rPr>
            </w:pPr>
          </w:p>
        </w:tc>
        <w:tc>
          <w:tcPr>
            <w:tcW w:w="1987" w:type="dxa"/>
            <w:vAlign w:val="center"/>
          </w:tcPr>
          <w:p w14:paraId="15665349">
            <w:pPr>
              <w:pStyle w:val="53"/>
              <w:rPr>
                <w:rFonts w:ascii="宋体" w:hAnsi="宋体" w:cs="宋体"/>
                <w:snapToGrid w:val="0"/>
                <w:color w:val="auto"/>
                <w:kern w:val="21"/>
                <w:sz w:val="21"/>
                <w:szCs w:val="21"/>
              </w:rPr>
            </w:pPr>
            <w:r>
              <w:rPr>
                <w:snapToGrid w:val="0"/>
                <w:color w:val="auto"/>
                <w:kern w:val="21"/>
                <w:sz w:val="21"/>
                <w:szCs w:val="21"/>
              </w:rPr>
              <w:t>SS</w:t>
            </w:r>
          </w:p>
        </w:tc>
        <w:tc>
          <w:tcPr>
            <w:tcW w:w="1560" w:type="dxa"/>
            <w:vAlign w:val="center"/>
          </w:tcPr>
          <w:p w14:paraId="10E4CFC1">
            <w:pPr>
              <w:adjustRightInd w:val="0"/>
              <w:snapToGrid w:val="0"/>
              <w:jc w:val="center"/>
              <w:rPr>
                <w:rFonts w:hint="default" w:ascii="Times New Roman" w:hAnsi="Times New Roman" w:eastAsia="宋体" w:cs="Times New Roman"/>
                <w:snapToGrid w:val="0"/>
                <w:color w:val="auto"/>
                <w:kern w:val="21"/>
                <w:sz w:val="21"/>
                <w:szCs w:val="21"/>
                <w:lang w:val="en-US" w:eastAsia="zh-CN"/>
              </w:rPr>
            </w:pPr>
            <w:r>
              <w:rPr>
                <w:rFonts w:hint="eastAsia"/>
                <w:snapToGrid w:val="0"/>
                <w:color w:val="auto"/>
                <w:kern w:val="21"/>
                <w:szCs w:val="21"/>
                <w:lang w:val="en-US" w:eastAsia="zh-CN"/>
              </w:rPr>
              <w:t>0</w:t>
            </w:r>
          </w:p>
        </w:tc>
        <w:tc>
          <w:tcPr>
            <w:tcW w:w="1185" w:type="dxa"/>
            <w:shd w:val="clear" w:color="auto" w:fill="auto"/>
            <w:vAlign w:val="center"/>
          </w:tcPr>
          <w:p w14:paraId="73A9C68B">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lang w:val="en-US" w:eastAsia="zh-CN"/>
              </w:rPr>
              <w:t>0</w:t>
            </w:r>
          </w:p>
        </w:tc>
        <w:tc>
          <w:tcPr>
            <w:tcW w:w="1397" w:type="dxa"/>
            <w:vAlign w:val="center"/>
          </w:tcPr>
          <w:p w14:paraId="708387DD">
            <w:pPr>
              <w:jc w:val="center"/>
              <w:rPr>
                <w:snapToGrid w:val="0"/>
                <w:color w:val="auto"/>
                <w:kern w:val="21"/>
                <w:szCs w:val="21"/>
              </w:rPr>
            </w:pPr>
            <w:r>
              <w:rPr>
                <w:rFonts w:hint="eastAsia"/>
                <w:snapToGrid w:val="0"/>
                <w:color w:val="auto"/>
                <w:kern w:val="21"/>
                <w:szCs w:val="21"/>
                <w:lang w:val="en-US" w:eastAsia="zh-CN"/>
              </w:rPr>
              <w:t>0</w:t>
            </w:r>
          </w:p>
        </w:tc>
        <w:tc>
          <w:tcPr>
            <w:tcW w:w="1559" w:type="dxa"/>
            <w:shd w:val="clear" w:color="auto" w:fill="auto"/>
            <w:vAlign w:val="center"/>
          </w:tcPr>
          <w:p w14:paraId="22A04AB6">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0.162</w:t>
            </w:r>
          </w:p>
        </w:tc>
        <w:tc>
          <w:tcPr>
            <w:tcW w:w="1761" w:type="dxa"/>
            <w:shd w:val="clear" w:color="auto" w:fill="auto"/>
            <w:vAlign w:val="center"/>
          </w:tcPr>
          <w:p w14:paraId="21879187">
            <w:pPr>
              <w:adjustRightInd w:val="0"/>
              <w:snapToGrid w:val="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Cs w:val="21"/>
                <w:shd w:val="clear" w:color="auto" w:fill="auto"/>
                <w:lang w:val="en-US" w:eastAsia="zh-CN"/>
              </w:rPr>
              <w:t>0</w:t>
            </w:r>
          </w:p>
        </w:tc>
        <w:tc>
          <w:tcPr>
            <w:tcW w:w="1748" w:type="dxa"/>
            <w:shd w:val="clear" w:color="auto" w:fill="auto"/>
            <w:vAlign w:val="center"/>
          </w:tcPr>
          <w:p w14:paraId="3760BBF0">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0.162</w:t>
            </w:r>
          </w:p>
        </w:tc>
        <w:tc>
          <w:tcPr>
            <w:tcW w:w="1037" w:type="dxa"/>
            <w:shd w:val="clear" w:color="auto" w:fill="auto"/>
            <w:vAlign w:val="center"/>
          </w:tcPr>
          <w:p w14:paraId="69FAD044">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+0.162</w:t>
            </w:r>
          </w:p>
        </w:tc>
      </w:tr>
      <w:tr w14:paraId="6B0DA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Merge w:val="continue"/>
            <w:vAlign w:val="center"/>
          </w:tcPr>
          <w:p w14:paraId="5D0947B6">
            <w:pPr>
              <w:pStyle w:val="53"/>
              <w:rPr>
                <w:rFonts w:ascii="宋体" w:hAnsi="宋体" w:cs="宋体"/>
                <w:snapToGrid w:val="0"/>
                <w:color w:val="auto"/>
                <w:kern w:val="21"/>
                <w:sz w:val="21"/>
                <w:szCs w:val="21"/>
              </w:rPr>
            </w:pPr>
          </w:p>
        </w:tc>
        <w:tc>
          <w:tcPr>
            <w:tcW w:w="1987" w:type="dxa"/>
            <w:vAlign w:val="center"/>
          </w:tcPr>
          <w:p w14:paraId="471DE852">
            <w:pPr>
              <w:pStyle w:val="53"/>
              <w:rPr>
                <w:rFonts w:ascii="宋体" w:hAnsi="宋体" w:cs="宋体"/>
                <w:snapToGrid w:val="0"/>
                <w:color w:val="auto"/>
                <w:kern w:val="21"/>
                <w:sz w:val="21"/>
                <w:szCs w:val="21"/>
              </w:rPr>
            </w:pPr>
            <w:r>
              <w:rPr>
                <w:snapToGrid w:val="0"/>
                <w:color w:val="auto"/>
                <w:kern w:val="21"/>
                <w:sz w:val="21"/>
                <w:szCs w:val="21"/>
              </w:rPr>
              <w:t>氨氮</w:t>
            </w:r>
          </w:p>
        </w:tc>
        <w:tc>
          <w:tcPr>
            <w:tcW w:w="1560" w:type="dxa"/>
            <w:vAlign w:val="center"/>
          </w:tcPr>
          <w:p w14:paraId="2BE052F4">
            <w:pPr>
              <w:adjustRightInd w:val="0"/>
              <w:snapToGrid w:val="0"/>
              <w:jc w:val="center"/>
              <w:rPr>
                <w:rFonts w:hint="default" w:ascii="Times New Roman" w:hAnsi="Times New Roman" w:eastAsia="宋体" w:cs="Times New Roman"/>
                <w:snapToGrid w:val="0"/>
                <w:color w:val="auto"/>
                <w:kern w:val="21"/>
                <w:sz w:val="21"/>
                <w:szCs w:val="21"/>
                <w:lang w:val="en-US" w:eastAsia="zh-CN"/>
              </w:rPr>
            </w:pPr>
            <w:r>
              <w:rPr>
                <w:rFonts w:hint="eastAsia"/>
                <w:snapToGrid w:val="0"/>
                <w:color w:val="auto"/>
                <w:kern w:val="21"/>
                <w:szCs w:val="21"/>
                <w:lang w:val="en-US" w:eastAsia="zh-CN"/>
              </w:rPr>
              <w:t>0</w:t>
            </w:r>
          </w:p>
        </w:tc>
        <w:tc>
          <w:tcPr>
            <w:tcW w:w="1185" w:type="dxa"/>
            <w:shd w:val="clear" w:color="auto" w:fill="auto"/>
            <w:vAlign w:val="center"/>
          </w:tcPr>
          <w:p w14:paraId="3946DC14">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lang w:val="en-US" w:eastAsia="zh-CN"/>
              </w:rPr>
              <w:t>0</w:t>
            </w:r>
          </w:p>
        </w:tc>
        <w:tc>
          <w:tcPr>
            <w:tcW w:w="1397" w:type="dxa"/>
            <w:vAlign w:val="center"/>
          </w:tcPr>
          <w:p w14:paraId="75048FBB">
            <w:pPr>
              <w:jc w:val="center"/>
              <w:rPr>
                <w:snapToGrid w:val="0"/>
                <w:color w:val="auto"/>
                <w:kern w:val="21"/>
                <w:szCs w:val="21"/>
              </w:rPr>
            </w:pPr>
            <w:r>
              <w:rPr>
                <w:rFonts w:hint="eastAsia"/>
                <w:snapToGrid w:val="0"/>
                <w:color w:val="auto"/>
                <w:kern w:val="21"/>
                <w:szCs w:val="21"/>
                <w:lang w:val="en-US" w:eastAsia="zh-CN"/>
              </w:rPr>
              <w:t>0</w:t>
            </w:r>
          </w:p>
        </w:tc>
        <w:tc>
          <w:tcPr>
            <w:tcW w:w="1559" w:type="dxa"/>
            <w:shd w:val="clear" w:color="auto" w:fill="auto"/>
            <w:vAlign w:val="center"/>
          </w:tcPr>
          <w:p w14:paraId="7F465A10">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0.019</w:t>
            </w:r>
          </w:p>
        </w:tc>
        <w:tc>
          <w:tcPr>
            <w:tcW w:w="1761" w:type="dxa"/>
            <w:shd w:val="clear" w:color="auto" w:fill="auto"/>
            <w:vAlign w:val="center"/>
          </w:tcPr>
          <w:p w14:paraId="5EAD486F">
            <w:pPr>
              <w:adjustRightInd w:val="0"/>
              <w:snapToGrid w:val="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Cs w:val="21"/>
                <w:shd w:val="clear" w:color="auto" w:fill="auto"/>
                <w:lang w:val="en-US" w:eastAsia="zh-CN"/>
              </w:rPr>
              <w:t>0</w:t>
            </w:r>
          </w:p>
        </w:tc>
        <w:tc>
          <w:tcPr>
            <w:tcW w:w="1748" w:type="dxa"/>
            <w:shd w:val="clear" w:color="auto" w:fill="auto"/>
            <w:vAlign w:val="center"/>
          </w:tcPr>
          <w:p w14:paraId="44F043B4">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0.019</w:t>
            </w:r>
          </w:p>
        </w:tc>
        <w:tc>
          <w:tcPr>
            <w:tcW w:w="1037" w:type="dxa"/>
            <w:shd w:val="clear" w:color="auto" w:fill="auto"/>
            <w:vAlign w:val="center"/>
          </w:tcPr>
          <w:p w14:paraId="7EF6B2DE">
            <w:pPr>
              <w:jc w:val="center"/>
              <w:rPr>
                <w:rFonts w:hint="eastAsia"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+0.019</w:t>
            </w:r>
          </w:p>
        </w:tc>
      </w:tr>
      <w:tr w14:paraId="04DD7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Merge w:val="continue"/>
            <w:vAlign w:val="center"/>
          </w:tcPr>
          <w:p w14:paraId="728523A7">
            <w:pPr>
              <w:pStyle w:val="53"/>
              <w:rPr>
                <w:rFonts w:ascii="宋体" w:hAnsi="宋体" w:cs="宋体"/>
                <w:snapToGrid w:val="0"/>
                <w:color w:val="auto"/>
                <w:kern w:val="21"/>
                <w:sz w:val="21"/>
                <w:szCs w:val="21"/>
              </w:rPr>
            </w:pPr>
          </w:p>
        </w:tc>
        <w:tc>
          <w:tcPr>
            <w:tcW w:w="1987" w:type="dxa"/>
            <w:vAlign w:val="center"/>
          </w:tcPr>
          <w:p w14:paraId="08F6EFF2">
            <w:pPr>
              <w:pStyle w:val="53"/>
              <w:rPr>
                <w:rFonts w:ascii="宋体" w:hAnsi="宋体" w:cs="宋体"/>
                <w:snapToGrid w:val="0"/>
                <w:color w:val="auto"/>
                <w:kern w:val="21"/>
                <w:sz w:val="21"/>
                <w:szCs w:val="21"/>
              </w:rPr>
            </w:pPr>
            <w:r>
              <w:rPr>
                <w:snapToGrid w:val="0"/>
                <w:color w:val="auto"/>
                <w:kern w:val="21"/>
                <w:sz w:val="21"/>
                <w:szCs w:val="21"/>
              </w:rPr>
              <w:t>总磷</w:t>
            </w:r>
          </w:p>
        </w:tc>
        <w:tc>
          <w:tcPr>
            <w:tcW w:w="1560" w:type="dxa"/>
            <w:vAlign w:val="center"/>
          </w:tcPr>
          <w:p w14:paraId="563DC249">
            <w:pPr>
              <w:adjustRightInd w:val="0"/>
              <w:snapToGrid w:val="0"/>
              <w:jc w:val="center"/>
              <w:rPr>
                <w:rFonts w:hint="default" w:ascii="Times New Roman" w:hAnsi="Times New Roman" w:eastAsia="宋体" w:cs="Times New Roman"/>
                <w:snapToGrid w:val="0"/>
                <w:color w:val="auto"/>
                <w:kern w:val="21"/>
                <w:sz w:val="21"/>
                <w:szCs w:val="21"/>
                <w:lang w:val="en-US" w:eastAsia="zh-CN"/>
              </w:rPr>
            </w:pPr>
            <w:r>
              <w:rPr>
                <w:rFonts w:hint="eastAsia"/>
                <w:snapToGrid w:val="0"/>
                <w:color w:val="auto"/>
                <w:kern w:val="21"/>
                <w:szCs w:val="21"/>
                <w:lang w:val="en-US" w:eastAsia="zh-CN"/>
              </w:rPr>
              <w:t>0</w:t>
            </w:r>
          </w:p>
        </w:tc>
        <w:tc>
          <w:tcPr>
            <w:tcW w:w="1185" w:type="dxa"/>
            <w:shd w:val="clear" w:color="auto" w:fill="auto"/>
            <w:vAlign w:val="center"/>
          </w:tcPr>
          <w:p w14:paraId="45B6932B">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lang w:val="en-US" w:eastAsia="zh-CN"/>
              </w:rPr>
              <w:t>0</w:t>
            </w:r>
          </w:p>
        </w:tc>
        <w:tc>
          <w:tcPr>
            <w:tcW w:w="1397" w:type="dxa"/>
            <w:vAlign w:val="center"/>
          </w:tcPr>
          <w:p w14:paraId="6EA4383B">
            <w:pPr>
              <w:jc w:val="center"/>
              <w:rPr>
                <w:snapToGrid w:val="0"/>
                <w:color w:val="auto"/>
                <w:kern w:val="21"/>
                <w:szCs w:val="21"/>
              </w:rPr>
            </w:pPr>
            <w:r>
              <w:rPr>
                <w:rFonts w:hint="eastAsia"/>
                <w:snapToGrid w:val="0"/>
                <w:color w:val="auto"/>
                <w:kern w:val="21"/>
                <w:szCs w:val="21"/>
                <w:lang w:val="en-US" w:eastAsia="zh-CN"/>
              </w:rPr>
              <w:t>0</w:t>
            </w:r>
          </w:p>
        </w:tc>
        <w:tc>
          <w:tcPr>
            <w:tcW w:w="1559" w:type="dxa"/>
            <w:shd w:val="clear" w:color="auto" w:fill="auto"/>
            <w:vAlign w:val="center"/>
          </w:tcPr>
          <w:p w14:paraId="40F83AE8">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0.003</w:t>
            </w:r>
          </w:p>
        </w:tc>
        <w:tc>
          <w:tcPr>
            <w:tcW w:w="1761" w:type="dxa"/>
            <w:shd w:val="clear" w:color="auto" w:fill="auto"/>
            <w:vAlign w:val="center"/>
          </w:tcPr>
          <w:p w14:paraId="1152820D">
            <w:pPr>
              <w:adjustRightInd w:val="0"/>
              <w:snapToGrid w:val="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Cs w:val="21"/>
                <w:shd w:val="clear" w:color="auto" w:fill="auto"/>
                <w:lang w:val="en-US" w:eastAsia="zh-CN"/>
              </w:rPr>
              <w:t>0</w:t>
            </w:r>
          </w:p>
        </w:tc>
        <w:tc>
          <w:tcPr>
            <w:tcW w:w="1748" w:type="dxa"/>
            <w:shd w:val="clear" w:color="auto" w:fill="auto"/>
            <w:vAlign w:val="center"/>
          </w:tcPr>
          <w:p w14:paraId="63664235">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0.003</w:t>
            </w:r>
          </w:p>
        </w:tc>
        <w:tc>
          <w:tcPr>
            <w:tcW w:w="1037" w:type="dxa"/>
            <w:shd w:val="clear" w:color="auto" w:fill="auto"/>
            <w:vAlign w:val="center"/>
          </w:tcPr>
          <w:p w14:paraId="75A89EF2">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+0.003</w:t>
            </w:r>
          </w:p>
        </w:tc>
      </w:tr>
      <w:tr w14:paraId="67E63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Merge w:val="continue"/>
            <w:vAlign w:val="center"/>
          </w:tcPr>
          <w:p w14:paraId="3189554B">
            <w:pPr>
              <w:pStyle w:val="53"/>
              <w:rPr>
                <w:rFonts w:ascii="宋体" w:hAnsi="宋体" w:cs="宋体"/>
                <w:snapToGrid w:val="0"/>
                <w:color w:val="auto"/>
                <w:kern w:val="21"/>
                <w:sz w:val="21"/>
                <w:szCs w:val="21"/>
              </w:rPr>
            </w:pPr>
          </w:p>
        </w:tc>
        <w:tc>
          <w:tcPr>
            <w:tcW w:w="1987" w:type="dxa"/>
            <w:vAlign w:val="center"/>
          </w:tcPr>
          <w:p w14:paraId="31F3EB9B">
            <w:pPr>
              <w:pStyle w:val="53"/>
              <w:rPr>
                <w:rFonts w:ascii="宋体" w:hAnsi="宋体" w:cs="宋体"/>
                <w:snapToGrid w:val="0"/>
                <w:color w:val="auto"/>
                <w:kern w:val="21"/>
                <w:sz w:val="21"/>
                <w:szCs w:val="21"/>
              </w:rPr>
            </w:pPr>
            <w:r>
              <w:rPr>
                <w:rFonts w:hint="eastAsia" w:ascii="宋体" w:hAnsi="宋体" w:cs="宋体"/>
                <w:snapToGrid w:val="0"/>
                <w:color w:val="auto"/>
                <w:kern w:val="21"/>
                <w:sz w:val="21"/>
                <w:szCs w:val="21"/>
              </w:rPr>
              <w:t>总氮</w:t>
            </w:r>
          </w:p>
        </w:tc>
        <w:tc>
          <w:tcPr>
            <w:tcW w:w="1560" w:type="dxa"/>
            <w:vAlign w:val="center"/>
          </w:tcPr>
          <w:p w14:paraId="3DE018DC">
            <w:pPr>
              <w:adjustRightInd w:val="0"/>
              <w:snapToGrid w:val="0"/>
              <w:jc w:val="center"/>
              <w:rPr>
                <w:rFonts w:hint="default" w:ascii="Times New Roman" w:hAnsi="Times New Roman" w:eastAsia="宋体" w:cs="Times New Roman"/>
                <w:snapToGrid w:val="0"/>
                <w:color w:val="auto"/>
                <w:kern w:val="21"/>
                <w:sz w:val="21"/>
                <w:szCs w:val="21"/>
                <w:lang w:val="en-US" w:eastAsia="zh-CN"/>
              </w:rPr>
            </w:pPr>
            <w:r>
              <w:rPr>
                <w:rFonts w:hint="eastAsia"/>
                <w:snapToGrid w:val="0"/>
                <w:color w:val="auto"/>
                <w:kern w:val="21"/>
                <w:szCs w:val="21"/>
                <w:lang w:val="en-US" w:eastAsia="zh-CN"/>
              </w:rPr>
              <w:t>0</w:t>
            </w:r>
          </w:p>
        </w:tc>
        <w:tc>
          <w:tcPr>
            <w:tcW w:w="1185" w:type="dxa"/>
            <w:shd w:val="clear" w:color="auto" w:fill="auto"/>
            <w:vAlign w:val="center"/>
          </w:tcPr>
          <w:p w14:paraId="1AECF9FB">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lang w:val="en-US" w:eastAsia="zh-CN"/>
              </w:rPr>
              <w:t>0</w:t>
            </w:r>
          </w:p>
        </w:tc>
        <w:tc>
          <w:tcPr>
            <w:tcW w:w="1397" w:type="dxa"/>
            <w:vAlign w:val="center"/>
          </w:tcPr>
          <w:p w14:paraId="78FC7376">
            <w:pPr>
              <w:jc w:val="center"/>
              <w:rPr>
                <w:snapToGrid w:val="0"/>
                <w:color w:val="auto"/>
                <w:kern w:val="21"/>
                <w:szCs w:val="21"/>
              </w:rPr>
            </w:pPr>
            <w:r>
              <w:rPr>
                <w:rFonts w:hint="eastAsia"/>
                <w:snapToGrid w:val="0"/>
                <w:color w:val="auto"/>
                <w:kern w:val="21"/>
                <w:szCs w:val="21"/>
                <w:lang w:val="en-US" w:eastAsia="zh-CN"/>
              </w:rPr>
              <w:t>0</w:t>
            </w:r>
          </w:p>
        </w:tc>
        <w:tc>
          <w:tcPr>
            <w:tcW w:w="1559" w:type="dxa"/>
            <w:shd w:val="clear" w:color="auto" w:fill="auto"/>
            <w:vAlign w:val="center"/>
          </w:tcPr>
          <w:p w14:paraId="1DD52719">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0.032</w:t>
            </w:r>
          </w:p>
        </w:tc>
        <w:tc>
          <w:tcPr>
            <w:tcW w:w="1761" w:type="dxa"/>
            <w:shd w:val="clear" w:color="auto" w:fill="auto"/>
            <w:vAlign w:val="center"/>
          </w:tcPr>
          <w:p w14:paraId="6FC01F69">
            <w:pPr>
              <w:adjustRightInd w:val="0"/>
              <w:snapToGrid w:val="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Cs w:val="21"/>
                <w:shd w:val="clear" w:color="auto" w:fill="auto"/>
                <w:lang w:val="en-US" w:eastAsia="zh-CN"/>
              </w:rPr>
              <w:t>0</w:t>
            </w:r>
          </w:p>
        </w:tc>
        <w:tc>
          <w:tcPr>
            <w:tcW w:w="1748" w:type="dxa"/>
            <w:shd w:val="clear" w:color="auto" w:fill="auto"/>
            <w:vAlign w:val="center"/>
          </w:tcPr>
          <w:p w14:paraId="514639C2">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0.032</w:t>
            </w:r>
          </w:p>
        </w:tc>
        <w:tc>
          <w:tcPr>
            <w:tcW w:w="1037" w:type="dxa"/>
            <w:shd w:val="clear" w:color="auto" w:fill="auto"/>
            <w:vAlign w:val="center"/>
          </w:tcPr>
          <w:p w14:paraId="25858763">
            <w:pPr>
              <w:jc w:val="center"/>
              <w:rPr>
                <w:rFonts w:hint="default" w:ascii="Times New Roman" w:hAnsi="Times New Roman" w:cs="Times New Roman" w:eastAsiaTheme="minorEastAsia"/>
                <w:color w:val="auto"/>
                <w:kern w:val="2"/>
                <w:sz w:val="21"/>
                <w:szCs w:val="21"/>
                <w:lang w:val="en-US" w:eastAsia="zh-CN" w:bidi="ar-SA"/>
              </w:rPr>
            </w:pPr>
            <w:r>
              <w:rPr>
                <w:rFonts w:hint="eastAsia" w:eastAsiaTheme="minorEastAsia"/>
                <w:color w:val="auto"/>
                <w:szCs w:val="21"/>
                <w:lang w:val="en-US" w:eastAsia="zh-CN"/>
              </w:rPr>
              <w:t>+0.032</w:t>
            </w:r>
          </w:p>
        </w:tc>
      </w:tr>
      <w:tr w14:paraId="192A0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Align w:val="center"/>
          </w:tcPr>
          <w:p w14:paraId="78C3BF33">
            <w:pPr>
              <w:pStyle w:val="53"/>
              <w:rPr>
                <w:rFonts w:hint="eastAsia" w:ascii="宋体" w:hAnsi="宋体" w:cs="宋体"/>
                <w:snapToGrid w:val="0"/>
                <w:color w:val="auto"/>
                <w:kern w:val="21"/>
                <w:sz w:val="21"/>
                <w:szCs w:val="21"/>
              </w:rPr>
            </w:pPr>
            <w:r>
              <w:rPr>
                <w:rFonts w:hint="eastAsia" w:ascii="宋体" w:hAnsi="宋体" w:cs="宋体"/>
                <w:snapToGrid w:val="0"/>
                <w:color w:val="auto"/>
                <w:kern w:val="21"/>
                <w:sz w:val="21"/>
                <w:szCs w:val="21"/>
              </w:rPr>
              <w:t>危险废物</w:t>
            </w:r>
          </w:p>
          <w:p w14:paraId="3E190796">
            <w:pPr>
              <w:pStyle w:val="53"/>
              <w:rPr>
                <w:rFonts w:ascii="宋体" w:hAnsi="宋体" w:cs="宋体"/>
                <w:snapToGrid w:val="0"/>
                <w:color w:val="auto"/>
                <w:kern w:val="21"/>
                <w:sz w:val="21"/>
                <w:szCs w:val="21"/>
              </w:rPr>
            </w:pPr>
            <w:r>
              <w:rPr>
                <w:rFonts w:hint="eastAsia" w:eastAsiaTheme="minorEastAsia"/>
                <w:color w:val="auto"/>
                <w:sz w:val="21"/>
                <w:szCs w:val="21"/>
                <w:lang w:eastAsia="zh-CN"/>
              </w:rPr>
              <w:t>（</w:t>
            </w:r>
            <w:r>
              <w:rPr>
                <w:rFonts w:hint="eastAsia" w:eastAsiaTheme="minorEastAsia"/>
                <w:color w:val="auto"/>
                <w:sz w:val="21"/>
                <w:szCs w:val="21"/>
              </w:rPr>
              <w:t>t</w:t>
            </w:r>
            <w:r>
              <w:rPr>
                <w:rFonts w:eastAsiaTheme="minorEastAsia"/>
                <w:color w:val="auto"/>
                <w:sz w:val="21"/>
                <w:szCs w:val="21"/>
              </w:rPr>
              <w:t>/a</w:t>
            </w:r>
            <w:r>
              <w:rPr>
                <w:rFonts w:hint="eastAsia" w:eastAsiaTheme="minorEastAsia"/>
                <w:color w:val="auto"/>
                <w:sz w:val="21"/>
                <w:szCs w:val="21"/>
                <w:lang w:eastAsia="zh-CN"/>
              </w:rPr>
              <w:t>）</w:t>
            </w:r>
          </w:p>
        </w:tc>
        <w:tc>
          <w:tcPr>
            <w:tcW w:w="1987" w:type="dxa"/>
            <w:vAlign w:val="center"/>
          </w:tcPr>
          <w:p w14:paraId="5285A083">
            <w:pPr>
              <w:pStyle w:val="53"/>
              <w:rPr>
                <w:rFonts w:ascii="宋体" w:hAnsi="宋体" w:cs="宋体"/>
                <w:snapToGrid w:val="0"/>
                <w:color w:val="auto"/>
                <w:kern w:val="21"/>
                <w:sz w:val="21"/>
                <w:szCs w:val="21"/>
              </w:rPr>
            </w:pPr>
            <w:r>
              <w:rPr>
                <w:rFonts w:hint="eastAsia" w:ascii="宋体" w:hAnsi="宋体" w:cs="宋体"/>
                <w:snapToGrid w:val="0"/>
                <w:color w:val="auto"/>
                <w:kern w:val="21"/>
                <w:sz w:val="21"/>
                <w:szCs w:val="21"/>
              </w:rPr>
              <w:t>/</w:t>
            </w:r>
          </w:p>
        </w:tc>
        <w:tc>
          <w:tcPr>
            <w:tcW w:w="1560" w:type="dxa"/>
            <w:vAlign w:val="center"/>
          </w:tcPr>
          <w:p w14:paraId="2587546B">
            <w:pPr>
              <w:jc w:val="center"/>
              <w:rPr>
                <w:rFonts w:hint="default" w:ascii="Times New Roman" w:hAnsi="Times New Roman" w:eastAsia="宋体" w:cs="Times New Roman"/>
                <w:snapToGrid w:val="0"/>
                <w:color w:val="auto"/>
                <w:kern w:val="21"/>
                <w:szCs w:val="21"/>
                <w:lang w:val="en-US" w:eastAsia="zh-CN"/>
              </w:rPr>
            </w:pPr>
            <w:r>
              <w:rPr>
                <w:rFonts w:hint="eastAsia"/>
                <w:snapToGrid w:val="0"/>
                <w:color w:val="auto"/>
                <w:kern w:val="21"/>
                <w:szCs w:val="21"/>
                <w:lang w:val="en-US" w:eastAsia="zh-CN"/>
              </w:rPr>
              <w:t>0</w:t>
            </w:r>
          </w:p>
        </w:tc>
        <w:tc>
          <w:tcPr>
            <w:tcW w:w="1185" w:type="dxa"/>
            <w:shd w:val="clear" w:color="auto" w:fill="auto"/>
            <w:vAlign w:val="center"/>
          </w:tcPr>
          <w:p w14:paraId="65F75A6D">
            <w:pPr>
              <w:jc w:val="center"/>
              <w:rPr>
                <w:rFonts w:hint="default"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lang w:val="en-US" w:eastAsia="zh-CN"/>
              </w:rPr>
              <w:t>0</w:t>
            </w:r>
          </w:p>
        </w:tc>
        <w:tc>
          <w:tcPr>
            <w:tcW w:w="1397" w:type="dxa"/>
            <w:shd w:val="clear" w:color="auto" w:fill="auto"/>
            <w:vAlign w:val="center"/>
          </w:tcPr>
          <w:p w14:paraId="2C124B88">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szCs w:val="21"/>
                <w:lang w:val="en-US" w:eastAsia="zh-CN"/>
              </w:rPr>
              <w:t>0</w:t>
            </w:r>
          </w:p>
        </w:tc>
        <w:tc>
          <w:tcPr>
            <w:tcW w:w="1559" w:type="dxa"/>
            <w:shd w:val="clear" w:color="auto" w:fill="auto"/>
            <w:vAlign w:val="center"/>
          </w:tcPr>
          <w:p w14:paraId="23C217A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snapToGrid w:val="0"/>
                <w:color w:val="auto"/>
                <w:kern w:val="21"/>
                <w:szCs w:val="21"/>
                <w:lang w:val="en-US" w:eastAsia="zh-CN"/>
              </w:rPr>
              <w:t>1.15</w:t>
            </w:r>
          </w:p>
        </w:tc>
        <w:tc>
          <w:tcPr>
            <w:tcW w:w="1761" w:type="dxa"/>
            <w:vAlign w:val="center"/>
          </w:tcPr>
          <w:p w14:paraId="2C53B892">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snapToGrid w:val="0"/>
                <w:color w:val="auto"/>
                <w:kern w:val="21"/>
                <w:szCs w:val="21"/>
                <w:lang w:val="en-US" w:eastAsia="zh-CN"/>
              </w:rPr>
              <w:t>19</w:t>
            </w:r>
          </w:p>
        </w:tc>
        <w:tc>
          <w:tcPr>
            <w:tcW w:w="1748" w:type="dxa"/>
            <w:shd w:val="clear" w:color="auto" w:fill="auto"/>
            <w:vAlign w:val="center"/>
          </w:tcPr>
          <w:p w14:paraId="0DB6613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snapToGrid w:val="0"/>
                <w:color w:val="auto"/>
                <w:kern w:val="21"/>
                <w:szCs w:val="21"/>
                <w:lang w:val="en-US" w:eastAsia="zh-CN"/>
              </w:rPr>
              <w:t>1.15</w:t>
            </w:r>
          </w:p>
        </w:tc>
        <w:tc>
          <w:tcPr>
            <w:tcW w:w="1037" w:type="dxa"/>
            <w:shd w:val="clear" w:color="auto" w:fill="auto"/>
            <w:vAlign w:val="center"/>
          </w:tcPr>
          <w:p w14:paraId="0757B12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snapToGrid w:val="0"/>
                <w:color w:val="auto"/>
                <w:kern w:val="21"/>
                <w:szCs w:val="21"/>
                <w:lang w:val="en-US" w:eastAsia="zh-CN"/>
              </w:rPr>
              <w:t>+1.15</w:t>
            </w:r>
          </w:p>
        </w:tc>
      </w:tr>
      <w:tr w14:paraId="2B21E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Align w:val="center"/>
          </w:tcPr>
          <w:p w14:paraId="7F058930">
            <w:pPr>
              <w:pStyle w:val="53"/>
              <w:rPr>
                <w:rFonts w:ascii="宋体" w:hAnsi="宋体" w:cs="宋体"/>
                <w:snapToGrid w:val="0"/>
                <w:color w:val="auto"/>
                <w:kern w:val="21"/>
                <w:sz w:val="21"/>
                <w:szCs w:val="21"/>
              </w:rPr>
            </w:pPr>
            <w:r>
              <w:rPr>
                <w:rFonts w:hint="eastAsia" w:ascii="宋体" w:hAnsi="宋体" w:cs="宋体"/>
                <w:snapToGrid w:val="0"/>
                <w:color w:val="auto"/>
                <w:kern w:val="21"/>
                <w:sz w:val="21"/>
                <w:szCs w:val="21"/>
              </w:rPr>
              <w:t>一般工业固废</w:t>
            </w:r>
            <w:r>
              <w:rPr>
                <w:rFonts w:hint="eastAsia" w:eastAsiaTheme="minorEastAsia"/>
                <w:color w:val="auto"/>
                <w:sz w:val="21"/>
                <w:szCs w:val="21"/>
                <w:lang w:eastAsia="zh-CN"/>
              </w:rPr>
              <w:t>（</w:t>
            </w:r>
            <w:r>
              <w:rPr>
                <w:rFonts w:hint="eastAsia" w:eastAsiaTheme="minorEastAsia"/>
                <w:color w:val="auto"/>
                <w:sz w:val="21"/>
                <w:szCs w:val="21"/>
              </w:rPr>
              <w:t>t</w:t>
            </w:r>
            <w:r>
              <w:rPr>
                <w:rFonts w:eastAsiaTheme="minorEastAsia"/>
                <w:color w:val="auto"/>
                <w:sz w:val="21"/>
                <w:szCs w:val="21"/>
              </w:rPr>
              <w:t>/a</w:t>
            </w:r>
            <w:r>
              <w:rPr>
                <w:rFonts w:hint="eastAsia" w:eastAsiaTheme="minorEastAsia"/>
                <w:color w:val="auto"/>
                <w:sz w:val="21"/>
                <w:szCs w:val="21"/>
                <w:lang w:eastAsia="zh-CN"/>
              </w:rPr>
              <w:t>）</w:t>
            </w:r>
          </w:p>
        </w:tc>
        <w:tc>
          <w:tcPr>
            <w:tcW w:w="1987" w:type="dxa"/>
            <w:vAlign w:val="center"/>
          </w:tcPr>
          <w:p w14:paraId="2CC1A9B5">
            <w:pPr>
              <w:pStyle w:val="53"/>
              <w:rPr>
                <w:rFonts w:ascii="宋体" w:hAnsi="宋体" w:cs="宋体"/>
                <w:snapToGrid w:val="0"/>
                <w:color w:val="auto"/>
                <w:kern w:val="21"/>
                <w:sz w:val="21"/>
                <w:szCs w:val="21"/>
              </w:rPr>
            </w:pPr>
            <w:r>
              <w:rPr>
                <w:rFonts w:hint="eastAsia" w:ascii="宋体" w:hAnsi="宋体" w:cs="宋体"/>
                <w:snapToGrid w:val="0"/>
                <w:color w:val="auto"/>
                <w:kern w:val="21"/>
                <w:sz w:val="21"/>
                <w:szCs w:val="21"/>
              </w:rPr>
              <w:t>/</w:t>
            </w:r>
          </w:p>
        </w:tc>
        <w:tc>
          <w:tcPr>
            <w:tcW w:w="1560" w:type="dxa"/>
            <w:vAlign w:val="center"/>
          </w:tcPr>
          <w:p w14:paraId="19C9EA6F">
            <w:pPr>
              <w:jc w:val="center"/>
              <w:rPr>
                <w:rFonts w:hint="default" w:ascii="Times New Roman" w:hAnsi="Times New Roman" w:eastAsia="宋体" w:cs="Times New Roman"/>
                <w:snapToGrid w:val="0"/>
                <w:color w:val="auto"/>
                <w:kern w:val="21"/>
                <w:szCs w:val="21"/>
                <w:lang w:val="en-US" w:eastAsia="zh-CN"/>
              </w:rPr>
            </w:pPr>
            <w:r>
              <w:rPr>
                <w:rFonts w:hint="eastAsia"/>
                <w:snapToGrid w:val="0"/>
                <w:color w:val="auto"/>
                <w:kern w:val="21"/>
                <w:szCs w:val="21"/>
                <w:lang w:val="en-US" w:eastAsia="zh-CN"/>
              </w:rPr>
              <w:t>0</w:t>
            </w:r>
          </w:p>
        </w:tc>
        <w:tc>
          <w:tcPr>
            <w:tcW w:w="1185" w:type="dxa"/>
            <w:shd w:val="clear" w:color="auto" w:fill="auto"/>
            <w:vAlign w:val="center"/>
          </w:tcPr>
          <w:p w14:paraId="0572972C">
            <w:pPr>
              <w:jc w:val="center"/>
              <w:rPr>
                <w:rFonts w:hint="default"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lang w:val="en-US" w:eastAsia="zh-CN"/>
              </w:rPr>
              <w:t>0</w:t>
            </w:r>
          </w:p>
        </w:tc>
        <w:tc>
          <w:tcPr>
            <w:tcW w:w="1397" w:type="dxa"/>
            <w:shd w:val="clear" w:color="auto" w:fill="auto"/>
            <w:vAlign w:val="center"/>
          </w:tcPr>
          <w:p w14:paraId="1897A001">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szCs w:val="21"/>
                <w:lang w:val="en-US" w:eastAsia="zh-CN"/>
              </w:rPr>
              <w:t>0</w:t>
            </w:r>
          </w:p>
        </w:tc>
        <w:tc>
          <w:tcPr>
            <w:tcW w:w="1559" w:type="dxa"/>
            <w:shd w:val="clear" w:color="auto" w:fill="auto"/>
            <w:vAlign w:val="center"/>
          </w:tcPr>
          <w:p w14:paraId="43B6B18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snapToGrid w:val="0"/>
                <w:color w:val="auto"/>
                <w:kern w:val="21"/>
                <w:szCs w:val="21"/>
                <w:lang w:val="en-US" w:eastAsia="zh-CN"/>
              </w:rPr>
              <w:t>0.017</w:t>
            </w:r>
          </w:p>
        </w:tc>
        <w:tc>
          <w:tcPr>
            <w:tcW w:w="1761" w:type="dxa"/>
            <w:vAlign w:val="center"/>
          </w:tcPr>
          <w:p w14:paraId="4F724682">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snapToGrid w:val="0"/>
                <w:color w:val="auto"/>
                <w:kern w:val="21"/>
                <w:szCs w:val="21"/>
                <w:lang w:val="en-US" w:eastAsia="zh-CN"/>
              </w:rPr>
              <w:t>0</w:t>
            </w:r>
          </w:p>
        </w:tc>
        <w:tc>
          <w:tcPr>
            <w:tcW w:w="1748" w:type="dxa"/>
            <w:shd w:val="clear" w:color="auto" w:fill="auto"/>
            <w:vAlign w:val="center"/>
          </w:tcPr>
          <w:p w14:paraId="5322D67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snapToGrid w:val="0"/>
                <w:color w:val="auto"/>
                <w:kern w:val="21"/>
                <w:szCs w:val="21"/>
                <w:lang w:val="en-US" w:eastAsia="zh-CN"/>
              </w:rPr>
              <w:t>0.017</w:t>
            </w:r>
          </w:p>
        </w:tc>
        <w:tc>
          <w:tcPr>
            <w:tcW w:w="1037" w:type="dxa"/>
            <w:shd w:val="clear" w:color="auto" w:fill="auto"/>
            <w:vAlign w:val="center"/>
          </w:tcPr>
          <w:p w14:paraId="2D7C88C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snapToGrid w:val="0"/>
                <w:color w:val="auto"/>
                <w:kern w:val="21"/>
                <w:szCs w:val="21"/>
                <w:lang w:val="en-US" w:eastAsia="zh-CN"/>
              </w:rPr>
              <w:t>+0.017</w:t>
            </w:r>
          </w:p>
        </w:tc>
      </w:tr>
      <w:tr w14:paraId="0CD2A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Align w:val="center"/>
          </w:tcPr>
          <w:p w14:paraId="55386DC4">
            <w:pPr>
              <w:pStyle w:val="53"/>
              <w:rPr>
                <w:rFonts w:hint="eastAsia" w:ascii="宋体" w:hAnsi="宋体" w:cs="宋体"/>
                <w:snapToGrid w:val="0"/>
                <w:color w:val="auto"/>
                <w:kern w:val="21"/>
                <w:sz w:val="21"/>
                <w:szCs w:val="21"/>
              </w:rPr>
            </w:pPr>
            <w:r>
              <w:rPr>
                <w:rFonts w:hint="eastAsia" w:ascii="宋体" w:hAnsi="宋体" w:cs="宋体"/>
                <w:snapToGrid w:val="0"/>
                <w:color w:val="auto"/>
                <w:kern w:val="21"/>
                <w:sz w:val="21"/>
                <w:szCs w:val="21"/>
              </w:rPr>
              <w:t>生活垃圾</w:t>
            </w:r>
          </w:p>
          <w:p w14:paraId="61AA8B40">
            <w:pPr>
              <w:pStyle w:val="53"/>
              <w:rPr>
                <w:rFonts w:ascii="宋体" w:hAnsi="宋体" w:cs="宋体"/>
                <w:snapToGrid w:val="0"/>
                <w:color w:val="auto"/>
                <w:kern w:val="21"/>
                <w:sz w:val="21"/>
                <w:szCs w:val="21"/>
              </w:rPr>
            </w:pPr>
            <w:r>
              <w:rPr>
                <w:rFonts w:hint="eastAsia" w:eastAsiaTheme="minorEastAsia"/>
                <w:color w:val="auto"/>
                <w:sz w:val="21"/>
                <w:szCs w:val="21"/>
                <w:lang w:eastAsia="zh-CN"/>
              </w:rPr>
              <w:t>（</w:t>
            </w:r>
            <w:r>
              <w:rPr>
                <w:rFonts w:hint="eastAsia" w:eastAsiaTheme="minorEastAsia"/>
                <w:color w:val="auto"/>
                <w:sz w:val="21"/>
                <w:szCs w:val="21"/>
              </w:rPr>
              <w:t>t</w:t>
            </w:r>
            <w:r>
              <w:rPr>
                <w:rFonts w:eastAsiaTheme="minorEastAsia"/>
                <w:color w:val="auto"/>
                <w:sz w:val="21"/>
                <w:szCs w:val="21"/>
              </w:rPr>
              <w:t>/a</w:t>
            </w:r>
            <w:r>
              <w:rPr>
                <w:rFonts w:hint="eastAsia" w:eastAsiaTheme="minorEastAsia"/>
                <w:color w:val="auto"/>
                <w:sz w:val="21"/>
                <w:szCs w:val="21"/>
                <w:lang w:eastAsia="zh-CN"/>
              </w:rPr>
              <w:t>）</w:t>
            </w:r>
          </w:p>
        </w:tc>
        <w:tc>
          <w:tcPr>
            <w:tcW w:w="1987" w:type="dxa"/>
            <w:vAlign w:val="center"/>
          </w:tcPr>
          <w:p w14:paraId="7A27621F">
            <w:pPr>
              <w:pStyle w:val="53"/>
              <w:rPr>
                <w:rFonts w:ascii="宋体" w:hAnsi="宋体" w:cs="宋体"/>
                <w:snapToGrid w:val="0"/>
                <w:color w:val="auto"/>
                <w:kern w:val="21"/>
                <w:sz w:val="21"/>
                <w:szCs w:val="21"/>
              </w:rPr>
            </w:pPr>
            <w:r>
              <w:rPr>
                <w:rFonts w:hint="eastAsia" w:ascii="宋体" w:hAnsi="宋体" w:cs="宋体"/>
                <w:snapToGrid w:val="0"/>
                <w:color w:val="auto"/>
                <w:kern w:val="21"/>
                <w:sz w:val="21"/>
                <w:szCs w:val="21"/>
              </w:rPr>
              <w:t>/</w:t>
            </w:r>
          </w:p>
        </w:tc>
        <w:tc>
          <w:tcPr>
            <w:tcW w:w="1560" w:type="dxa"/>
            <w:vAlign w:val="center"/>
          </w:tcPr>
          <w:p w14:paraId="35B50418">
            <w:pPr>
              <w:jc w:val="center"/>
              <w:rPr>
                <w:rFonts w:hint="default" w:ascii="Times New Roman" w:hAnsi="Times New Roman" w:eastAsia="宋体" w:cs="Times New Roman"/>
                <w:snapToGrid w:val="0"/>
                <w:color w:val="auto"/>
                <w:kern w:val="21"/>
                <w:szCs w:val="21"/>
                <w:lang w:val="en-US" w:eastAsia="zh-CN"/>
              </w:rPr>
            </w:pPr>
            <w:r>
              <w:rPr>
                <w:rFonts w:hint="eastAsia"/>
                <w:snapToGrid w:val="0"/>
                <w:color w:val="auto"/>
                <w:kern w:val="21"/>
                <w:szCs w:val="21"/>
                <w:lang w:val="en-US" w:eastAsia="zh-CN"/>
              </w:rPr>
              <w:t>0</w:t>
            </w:r>
          </w:p>
        </w:tc>
        <w:tc>
          <w:tcPr>
            <w:tcW w:w="1185" w:type="dxa"/>
            <w:shd w:val="clear" w:color="auto" w:fill="auto"/>
            <w:vAlign w:val="center"/>
          </w:tcPr>
          <w:p w14:paraId="209FA8FF">
            <w:pPr>
              <w:jc w:val="center"/>
              <w:rPr>
                <w:rFonts w:hint="default"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lang w:val="en-US" w:eastAsia="zh-CN"/>
              </w:rPr>
              <w:t>0</w:t>
            </w:r>
          </w:p>
        </w:tc>
        <w:tc>
          <w:tcPr>
            <w:tcW w:w="1397" w:type="dxa"/>
            <w:shd w:val="clear" w:color="auto" w:fill="auto"/>
            <w:vAlign w:val="center"/>
          </w:tcPr>
          <w:p w14:paraId="08DDD233">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szCs w:val="21"/>
                <w:lang w:val="en-US" w:eastAsia="zh-CN"/>
              </w:rPr>
              <w:t>0</w:t>
            </w:r>
          </w:p>
        </w:tc>
        <w:tc>
          <w:tcPr>
            <w:tcW w:w="1559" w:type="dxa"/>
            <w:shd w:val="clear" w:color="auto" w:fill="auto"/>
            <w:vAlign w:val="center"/>
          </w:tcPr>
          <w:p w14:paraId="29DC14D6">
            <w:pPr>
              <w:jc w:val="center"/>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szCs w:val="21"/>
                <w:lang w:val="en-US" w:eastAsia="zh-CN"/>
              </w:rPr>
              <w:t>3</w:t>
            </w:r>
          </w:p>
        </w:tc>
        <w:tc>
          <w:tcPr>
            <w:tcW w:w="1761" w:type="dxa"/>
            <w:vAlign w:val="center"/>
          </w:tcPr>
          <w:p w14:paraId="7A519EA3">
            <w:pPr>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snapToGrid w:val="0"/>
                <w:color w:val="auto"/>
                <w:kern w:val="21"/>
                <w:szCs w:val="21"/>
                <w:lang w:val="en-US" w:eastAsia="zh-CN"/>
              </w:rPr>
              <w:t>0</w:t>
            </w:r>
          </w:p>
        </w:tc>
        <w:tc>
          <w:tcPr>
            <w:tcW w:w="1748" w:type="dxa"/>
            <w:shd w:val="clear" w:color="auto" w:fill="auto"/>
            <w:vAlign w:val="center"/>
          </w:tcPr>
          <w:p w14:paraId="013149E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snapToGrid w:val="0"/>
                <w:color w:val="auto"/>
                <w:kern w:val="21"/>
                <w:szCs w:val="21"/>
                <w:lang w:val="en-US" w:eastAsia="zh-CN"/>
              </w:rPr>
              <w:t>3</w:t>
            </w:r>
          </w:p>
        </w:tc>
        <w:tc>
          <w:tcPr>
            <w:tcW w:w="1037" w:type="dxa"/>
            <w:vAlign w:val="center"/>
          </w:tcPr>
          <w:p w14:paraId="2ACD9E6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snapToGrid w:val="0"/>
                <w:color w:val="auto"/>
                <w:kern w:val="21"/>
                <w:szCs w:val="21"/>
                <w:lang w:val="en-US" w:eastAsia="zh-CN"/>
              </w:rPr>
              <w:t>+3</w:t>
            </w:r>
          </w:p>
        </w:tc>
      </w:tr>
    </w:tbl>
    <w:p w14:paraId="66AFC8C9">
      <w:pPr>
        <w:pStyle w:val="53"/>
        <w:spacing w:before="255" w:beforeLines="80" w:after="24"/>
        <w:ind w:firstLine="480" w:firstLineChars="200"/>
        <w:jc w:val="left"/>
        <w:rPr>
          <w:rFonts w:ascii="宋体" w:hAnsi="宋体" w:cs="宋体"/>
          <w:color w:val="auto"/>
        </w:rPr>
      </w:pPr>
      <w:r>
        <w:rPr>
          <w:rFonts w:hint="eastAsia" w:ascii="宋体" w:hAnsi="宋体" w:cs="宋体"/>
          <w:snapToGrid w:val="0"/>
          <w:color w:val="auto"/>
          <w:kern w:val="21"/>
          <w:szCs w:val="21"/>
        </w:rPr>
        <w:t>注：</w:t>
      </w:r>
      <w:r>
        <w:rPr>
          <w:rFonts w:hint="eastAsia" w:ascii="宋体" w:hAnsi="宋体" w:cs="宋体"/>
          <w:snapToGrid w:val="0"/>
          <w:color w:val="auto"/>
          <w:spacing w:val="-16"/>
          <w:kern w:val="21"/>
          <w:szCs w:val="21"/>
        </w:rPr>
        <w:fldChar w:fldCharType="begin"/>
      </w:r>
      <w:r>
        <w:rPr>
          <w:rFonts w:hint="eastAsia" w:ascii="宋体" w:hAnsi="宋体" w:cs="宋体"/>
          <w:snapToGrid w:val="0"/>
          <w:color w:val="auto"/>
          <w:spacing w:val="-16"/>
          <w:kern w:val="21"/>
          <w:szCs w:val="21"/>
        </w:rPr>
        <w:instrText xml:space="preserve"> = 6 \* GB3 \* MERGEFORMAT </w:instrText>
      </w:r>
      <w:r>
        <w:rPr>
          <w:rFonts w:hint="eastAsia" w:ascii="宋体" w:hAnsi="宋体" w:cs="宋体"/>
          <w:snapToGrid w:val="0"/>
          <w:color w:val="auto"/>
          <w:spacing w:val="-16"/>
          <w:kern w:val="21"/>
          <w:szCs w:val="21"/>
        </w:rPr>
        <w:fldChar w:fldCharType="separate"/>
      </w:r>
      <w:r>
        <w:rPr>
          <w:rFonts w:hint="eastAsia" w:ascii="宋体" w:hAnsi="宋体" w:cs="宋体"/>
          <w:color w:val="auto"/>
          <w:szCs w:val="21"/>
        </w:rPr>
        <w:t>⑥</w:t>
      </w:r>
      <w:r>
        <w:rPr>
          <w:rFonts w:hint="eastAsia" w:ascii="宋体" w:hAnsi="宋体" w:cs="宋体"/>
          <w:snapToGrid w:val="0"/>
          <w:color w:val="auto"/>
          <w:spacing w:val="-16"/>
          <w:kern w:val="21"/>
          <w:szCs w:val="21"/>
        </w:rPr>
        <w:fldChar w:fldCharType="end"/>
      </w:r>
      <w:r>
        <w:rPr>
          <w:rFonts w:hint="eastAsia" w:ascii="宋体" w:hAnsi="宋体" w:cs="宋体"/>
          <w:snapToGrid w:val="0"/>
          <w:color w:val="auto"/>
          <w:spacing w:val="-16"/>
          <w:kern w:val="21"/>
          <w:szCs w:val="21"/>
        </w:rPr>
        <w:t>=</w:t>
      </w:r>
      <w:r>
        <w:rPr>
          <w:rFonts w:hint="eastAsia" w:ascii="宋体" w:hAnsi="宋体" w:cs="宋体"/>
          <w:snapToGrid w:val="0"/>
          <w:color w:val="auto"/>
          <w:spacing w:val="-6"/>
          <w:kern w:val="21"/>
          <w:szCs w:val="21"/>
        </w:rPr>
        <w:fldChar w:fldCharType="begin"/>
      </w:r>
      <w:r>
        <w:rPr>
          <w:rFonts w:hint="eastAsia" w:ascii="宋体" w:hAnsi="宋体" w:cs="宋体"/>
          <w:snapToGrid w:val="0"/>
          <w:color w:val="auto"/>
          <w:spacing w:val="-6"/>
          <w:kern w:val="21"/>
          <w:szCs w:val="21"/>
        </w:rPr>
        <w:instrText xml:space="preserve"> = 1 \* GB3 \* MERGEFORMAT </w:instrText>
      </w:r>
      <w:r>
        <w:rPr>
          <w:rFonts w:hint="eastAsia" w:ascii="宋体" w:hAnsi="宋体" w:cs="宋体"/>
          <w:snapToGrid w:val="0"/>
          <w:color w:val="auto"/>
          <w:spacing w:val="-6"/>
          <w:kern w:val="21"/>
          <w:szCs w:val="21"/>
        </w:rPr>
        <w:fldChar w:fldCharType="separate"/>
      </w:r>
      <w:r>
        <w:rPr>
          <w:rFonts w:hint="eastAsia" w:ascii="宋体" w:hAnsi="宋体" w:cs="宋体"/>
          <w:color w:val="auto"/>
          <w:szCs w:val="21"/>
        </w:rPr>
        <w:t>①</w:t>
      </w:r>
      <w:r>
        <w:rPr>
          <w:rFonts w:hint="eastAsia" w:ascii="宋体" w:hAnsi="宋体" w:cs="宋体"/>
          <w:snapToGrid w:val="0"/>
          <w:color w:val="auto"/>
          <w:spacing w:val="-6"/>
          <w:kern w:val="21"/>
          <w:szCs w:val="21"/>
        </w:rPr>
        <w:fldChar w:fldCharType="end"/>
      </w:r>
      <w:r>
        <w:rPr>
          <w:rFonts w:hint="eastAsia" w:ascii="宋体" w:hAnsi="宋体" w:cs="宋体"/>
          <w:snapToGrid w:val="0"/>
          <w:color w:val="auto"/>
          <w:spacing w:val="-6"/>
          <w:kern w:val="21"/>
          <w:szCs w:val="21"/>
        </w:rPr>
        <w:t>+</w:t>
      </w:r>
      <w:r>
        <w:rPr>
          <w:rFonts w:hint="eastAsia" w:ascii="宋体" w:hAnsi="宋体" w:cs="宋体"/>
          <w:snapToGrid w:val="0"/>
          <w:color w:val="auto"/>
          <w:spacing w:val="-6"/>
          <w:kern w:val="21"/>
          <w:szCs w:val="21"/>
        </w:rPr>
        <w:fldChar w:fldCharType="begin"/>
      </w:r>
      <w:r>
        <w:rPr>
          <w:rFonts w:hint="eastAsia" w:ascii="宋体" w:hAnsi="宋体" w:cs="宋体"/>
          <w:snapToGrid w:val="0"/>
          <w:color w:val="auto"/>
          <w:spacing w:val="-6"/>
          <w:kern w:val="21"/>
          <w:szCs w:val="21"/>
        </w:rPr>
        <w:instrText xml:space="preserve"> = 3 \* GB3 \* MERGEFORMAT </w:instrText>
      </w:r>
      <w:r>
        <w:rPr>
          <w:rFonts w:hint="eastAsia" w:ascii="宋体" w:hAnsi="宋体" w:cs="宋体"/>
          <w:snapToGrid w:val="0"/>
          <w:color w:val="auto"/>
          <w:spacing w:val="-6"/>
          <w:kern w:val="21"/>
          <w:szCs w:val="21"/>
        </w:rPr>
        <w:fldChar w:fldCharType="separate"/>
      </w:r>
      <w:r>
        <w:rPr>
          <w:rFonts w:hint="eastAsia" w:ascii="宋体" w:hAnsi="宋体" w:cs="宋体"/>
          <w:color w:val="auto"/>
          <w:szCs w:val="21"/>
        </w:rPr>
        <w:t>③</w:t>
      </w:r>
      <w:r>
        <w:rPr>
          <w:rFonts w:hint="eastAsia" w:ascii="宋体" w:hAnsi="宋体" w:cs="宋体"/>
          <w:snapToGrid w:val="0"/>
          <w:color w:val="auto"/>
          <w:spacing w:val="-6"/>
          <w:kern w:val="21"/>
          <w:szCs w:val="21"/>
        </w:rPr>
        <w:fldChar w:fldCharType="end"/>
      </w:r>
      <w:r>
        <w:rPr>
          <w:rFonts w:hint="eastAsia" w:ascii="宋体" w:hAnsi="宋体" w:cs="宋体"/>
          <w:snapToGrid w:val="0"/>
          <w:color w:val="auto"/>
          <w:spacing w:val="-6"/>
          <w:kern w:val="21"/>
          <w:szCs w:val="21"/>
        </w:rPr>
        <w:t>+</w:t>
      </w:r>
      <w:r>
        <w:rPr>
          <w:rFonts w:hint="eastAsia" w:ascii="宋体" w:hAnsi="宋体" w:cs="宋体"/>
          <w:snapToGrid w:val="0"/>
          <w:color w:val="auto"/>
          <w:spacing w:val="-6"/>
          <w:kern w:val="21"/>
          <w:szCs w:val="21"/>
        </w:rPr>
        <w:fldChar w:fldCharType="begin"/>
      </w:r>
      <w:r>
        <w:rPr>
          <w:rFonts w:hint="eastAsia" w:ascii="宋体" w:hAnsi="宋体" w:cs="宋体"/>
          <w:snapToGrid w:val="0"/>
          <w:color w:val="auto"/>
          <w:spacing w:val="-6"/>
          <w:kern w:val="21"/>
          <w:szCs w:val="21"/>
        </w:rPr>
        <w:instrText xml:space="preserve"> = 4 \* GB3 \* MERGEFORMAT </w:instrText>
      </w:r>
      <w:r>
        <w:rPr>
          <w:rFonts w:hint="eastAsia" w:ascii="宋体" w:hAnsi="宋体" w:cs="宋体"/>
          <w:snapToGrid w:val="0"/>
          <w:color w:val="auto"/>
          <w:spacing w:val="-6"/>
          <w:kern w:val="21"/>
          <w:szCs w:val="21"/>
        </w:rPr>
        <w:fldChar w:fldCharType="separate"/>
      </w:r>
      <w:r>
        <w:rPr>
          <w:rFonts w:hint="eastAsia" w:ascii="宋体" w:hAnsi="宋体" w:cs="宋体"/>
          <w:color w:val="auto"/>
          <w:szCs w:val="21"/>
        </w:rPr>
        <w:t>④</w:t>
      </w:r>
      <w:r>
        <w:rPr>
          <w:rFonts w:hint="eastAsia" w:ascii="宋体" w:hAnsi="宋体" w:cs="宋体"/>
          <w:snapToGrid w:val="0"/>
          <w:color w:val="auto"/>
          <w:spacing w:val="-6"/>
          <w:kern w:val="21"/>
          <w:szCs w:val="21"/>
        </w:rPr>
        <w:fldChar w:fldCharType="end"/>
      </w:r>
      <w:r>
        <w:rPr>
          <w:rFonts w:hint="eastAsia" w:ascii="宋体" w:hAnsi="宋体" w:cs="宋体"/>
          <w:snapToGrid w:val="0"/>
          <w:color w:val="auto"/>
          <w:spacing w:val="-6"/>
          <w:kern w:val="21"/>
          <w:szCs w:val="21"/>
        </w:rPr>
        <w:t>-</w:t>
      </w:r>
      <w:r>
        <w:rPr>
          <w:rFonts w:hint="eastAsia" w:ascii="宋体" w:hAnsi="宋体" w:cs="宋体"/>
          <w:snapToGrid w:val="0"/>
          <w:color w:val="auto"/>
          <w:spacing w:val="-16"/>
          <w:kern w:val="21"/>
          <w:szCs w:val="21"/>
        </w:rPr>
        <w:fldChar w:fldCharType="begin"/>
      </w:r>
      <w:r>
        <w:rPr>
          <w:rFonts w:hint="eastAsia" w:ascii="宋体" w:hAnsi="宋体" w:cs="宋体"/>
          <w:snapToGrid w:val="0"/>
          <w:color w:val="auto"/>
          <w:spacing w:val="-16"/>
          <w:kern w:val="21"/>
          <w:szCs w:val="21"/>
        </w:rPr>
        <w:instrText xml:space="preserve"> = 5 \* GB3 \* MERGEFORMAT </w:instrText>
      </w:r>
      <w:r>
        <w:rPr>
          <w:rFonts w:hint="eastAsia" w:ascii="宋体" w:hAnsi="宋体" w:cs="宋体"/>
          <w:snapToGrid w:val="0"/>
          <w:color w:val="auto"/>
          <w:spacing w:val="-16"/>
          <w:kern w:val="21"/>
          <w:szCs w:val="21"/>
        </w:rPr>
        <w:fldChar w:fldCharType="separate"/>
      </w:r>
      <w:r>
        <w:rPr>
          <w:rFonts w:hint="eastAsia" w:ascii="宋体" w:hAnsi="宋体" w:cs="宋体"/>
          <w:color w:val="auto"/>
          <w:szCs w:val="21"/>
        </w:rPr>
        <w:t>⑤</w:t>
      </w:r>
      <w:r>
        <w:rPr>
          <w:rFonts w:hint="eastAsia" w:ascii="宋体" w:hAnsi="宋体" w:cs="宋体"/>
          <w:snapToGrid w:val="0"/>
          <w:color w:val="auto"/>
          <w:spacing w:val="-16"/>
          <w:kern w:val="21"/>
          <w:szCs w:val="21"/>
        </w:rPr>
        <w:fldChar w:fldCharType="end"/>
      </w:r>
      <w:r>
        <w:rPr>
          <w:rFonts w:hint="eastAsia" w:ascii="宋体" w:hAnsi="宋体" w:cs="宋体"/>
          <w:snapToGrid w:val="0"/>
          <w:color w:val="auto"/>
          <w:spacing w:val="-16"/>
          <w:kern w:val="21"/>
          <w:szCs w:val="21"/>
        </w:rPr>
        <w:t>；</w:t>
      </w:r>
      <w:r>
        <w:rPr>
          <w:rFonts w:hint="eastAsia" w:ascii="宋体" w:hAnsi="宋体" w:cs="宋体"/>
          <w:snapToGrid w:val="0"/>
          <w:color w:val="auto"/>
          <w:spacing w:val="-6"/>
          <w:kern w:val="21"/>
          <w:szCs w:val="21"/>
        </w:rPr>
        <w:fldChar w:fldCharType="begin"/>
      </w:r>
      <w:r>
        <w:rPr>
          <w:rFonts w:hint="eastAsia" w:ascii="宋体" w:hAnsi="宋体" w:cs="宋体"/>
          <w:snapToGrid w:val="0"/>
          <w:color w:val="auto"/>
          <w:spacing w:val="-6"/>
          <w:kern w:val="21"/>
          <w:szCs w:val="21"/>
        </w:rPr>
        <w:instrText xml:space="preserve"> = 7 \* GB3 \* MERGEFORMAT </w:instrText>
      </w:r>
      <w:r>
        <w:rPr>
          <w:rFonts w:hint="eastAsia" w:ascii="宋体" w:hAnsi="宋体" w:cs="宋体"/>
          <w:snapToGrid w:val="0"/>
          <w:color w:val="auto"/>
          <w:spacing w:val="-6"/>
          <w:kern w:val="21"/>
          <w:szCs w:val="21"/>
        </w:rPr>
        <w:fldChar w:fldCharType="separate"/>
      </w:r>
      <w:r>
        <w:rPr>
          <w:rFonts w:hint="eastAsia" w:ascii="宋体" w:hAnsi="宋体" w:cs="宋体"/>
          <w:color w:val="auto"/>
          <w:szCs w:val="21"/>
        </w:rPr>
        <w:t>⑦</w:t>
      </w:r>
      <w:r>
        <w:rPr>
          <w:rFonts w:hint="eastAsia" w:ascii="宋体" w:hAnsi="宋体" w:cs="宋体"/>
          <w:snapToGrid w:val="0"/>
          <w:color w:val="auto"/>
          <w:spacing w:val="-6"/>
          <w:kern w:val="21"/>
          <w:szCs w:val="21"/>
        </w:rPr>
        <w:fldChar w:fldCharType="end"/>
      </w:r>
      <w:r>
        <w:rPr>
          <w:rFonts w:hint="eastAsia" w:ascii="宋体" w:hAnsi="宋体" w:cs="宋体"/>
          <w:snapToGrid w:val="0"/>
          <w:color w:val="auto"/>
          <w:spacing w:val="-6"/>
          <w:kern w:val="21"/>
          <w:szCs w:val="21"/>
        </w:rPr>
        <w:t>=</w:t>
      </w:r>
      <w:r>
        <w:rPr>
          <w:rFonts w:hint="eastAsia" w:ascii="宋体" w:hAnsi="宋体" w:cs="宋体"/>
          <w:snapToGrid w:val="0"/>
          <w:color w:val="auto"/>
          <w:spacing w:val="-16"/>
          <w:kern w:val="21"/>
          <w:szCs w:val="21"/>
        </w:rPr>
        <w:fldChar w:fldCharType="begin"/>
      </w:r>
      <w:r>
        <w:rPr>
          <w:rFonts w:hint="eastAsia" w:ascii="宋体" w:hAnsi="宋体" w:cs="宋体"/>
          <w:snapToGrid w:val="0"/>
          <w:color w:val="auto"/>
          <w:spacing w:val="-16"/>
          <w:kern w:val="21"/>
          <w:szCs w:val="21"/>
        </w:rPr>
        <w:instrText xml:space="preserve"> = 6 \* GB3 \* MERGEFORMAT </w:instrText>
      </w:r>
      <w:r>
        <w:rPr>
          <w:rFonts w:hint="eastAsia" w:ascii="宋体" w:hAnsi="宋体" w:cs="宋体"/>
          <w:snapToGrid w:val="0"/>
          <w:color w:val="auto"/>
          <w:spacing w:val="-16"/>
          <w:kern w:val="21"/>
          <w:szCs w:val="21"/>
        </w:rPr>
        <w:fldChar w:fldCharType="separate"/>
      </w:r>
      <w:r>
        <w:rPr>
          <w:rFonts w:hint="eastAsia" w:ascii="宋体" w:hAnsi="宋体" w:cs="宋体"/>
          <w:color w:val="auto"/>
          <w:szCs w:val="21"/>
        </w:rPr>
        <w:t>⑥</w:t>
      </w:r>
      <w:r>
        <w:rPr>
          <w:rFonts w:hint="eastAsia" w:ascii="宋体" w:hAnsi="宋体" w:cs="宋体"/>
          <w:snapToGrid w:val="0"/>
          <w:color w:val="auto"/>
          <w:spacing w:val="-16"/>
          <w:kern w:val="21"/>
          <w:szCs w:val="21"/>
        </w:rPr>
        <w:fldChar w:fldCharType="end"/>
      </w:r>
      <w:r>
        <w:rPr>
          <w:rFonts w:hint="eastAsia" w:ascii="宋体" w:hAnsi="宋体" w:cs="宋体"/>
          <w:snapToGrid w:val="0"/>
          <w:color w:val="auto"/>
          <w:spacing w:val="-16"/>
          <w:kern w:val="21"/>
          <w:szCs w:val="21"/>
        </w:rPr>
        <w:t>-</w:t>
      </w:r>
      <w:r>
        <w:rPr>
          <w:rFonts w:hint="eastAsia" w:ascii="宋体" w:hAnsi="宋体" w:cs="宋体"/>
          <w:snapToGrid w:val="0"/>
          <w:color w:val="auto"/>
          <w:spacing w:val="-6"/>
          <w:kern w:val="21"/>
          <w:szCs w:val="21"/>
        </w:rPr>
        <w:fldChar w:fldCharType="begin"/>
      </w:r>
      <w:r>
        <w:rPr>
          <w:rFonts w:hint="eastAsia" w:ascii="宋体" w:hAnsi="宋体" w:cs="宋体"/>
          <w:snapToGrid w:val="0"/>
          <w:color w:val="auto"/>
          <w:spacing w:val="-6"/>
          <w:kern w:val="21"/>
          <w:szCs w:val="21"/>
        </w:rPr>
        <w:instrText xml:space="preserve"> = 1 \* GB3 \* MERGEFORMAT </w:instrText>
      </w:r>
      <w:r>
        <w:rPr>
          <w:rFonts w:hint="eastAsia" w:ascii="宋体" w:hAnsi="宋体" w:cs="宋体"/>
          <w:snapToGrid w:val="0"/>
          <w:color w:val="auto"/>
          <w:spacing w:val="-6"/>
          <w:kern w:val="21"/>
          <w:szCs w:val="21"/>
        </w:rPr>
        <w:fldChar w:fldCharType="separate"/>
      </w:r>
      <w:r>
        <w:rPr>
          <w:rFonts w:hint="eastAsia" w:ascii="宋体" w:hAnsi="宋体" w:cs="宋体"/>
          <w:color w:val="auto"/>
          <w:szCs w:val="21"/>
        </w:rPr>
        <w:t>①</w:t>
      </w:r>
      <w:r>
        <w:rPr>
          <w:rFonts w:hint="eastAsia" w:ascii="宋体" w:hAnsi="宋体" w:cs="宋体"/>
          <w:snapToGrid w:val="0"/>
          <w:color w:val="auto"/>
          <w:spacing w:val="-6"/>
          <w:kern w:val="21"/>
          <w:szCs w:val="21"/>
        </w:rPr>
        <w:fldChar w:fldCharType="end"/>
      </w:r>
    </w:p>
    <w:sectPr>
      <w:pgSz w:w="16838" w:h="11905" w:orient="landscape"/>
      <w:pgMar w:top="1803" w:right="1276" w:bottom="1803" w:left="1712" w:header="850" w:footer="992" w:gutter="0"/>
      <w:pgBorders>
        <w:top w:val="none" w:sz="0" w:space="0"/>
        <w:left w:val="none" w:sz="0" w:space="0"/>
        <w:bottom w:val="none" w:sz="0" w:space="0"/>
        <w:right w:val="none" w:sz="0" w:space="0"/>
      </w:pgBorders>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font>
  <w:font w:name="方正小标宋_GBK">
    <w:altName w:val="Arial Unicode MS"/>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TimesNewRomanPSMT">
    <w:altName w:val="Times New Roman"/>
    <w:panose1 w:val="00000000000000000000"/>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06B1F">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A66C">
    <w:pPr>
      <w:pStyle w:val="25"/>
      <w:jc w:val="center"/>
    </w:pPr>
  </w:p>
  <w:p w14:paraId="5BD1ADE9">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7FADA">
    <w:pPr>
      <w:pStyle w:val="2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713F6">
    <w:pPr>
      <w:pStyle w:val="25"/>
      <w:jc w:val="center"/>
    </w:pPr>
  </w:p>
  <w:p w14:paraId="4C5EE9E0">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8FC8">
    <w:pPr>
      <w:pStyle w:val="25"/>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0AD12">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20AD12">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EAFB6">
    <w:pPr>
      <w:pStyle w:val="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FBD30">
                          <w:pPr>
                            <w:pStyle w:val="2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DBFBD30">
                    <w:pPr>
                      <w:pStyle w:val="25"/>
                    </w:pPr>
                    <w:r>
                      <w:fldChar w:fldCharType="begin"/>
                    </w:r>
                    <w:r>
                      <w:instrText xml:space="preserve"> PAGE  \* MERGEFORMAT </w:instrText>
                    </w:r>
                    <w:r>
                      <w:fldChar w:fldCharType="separate"/>
                    </w:r>
                    <w:r>
                      <w:t>73</w:t>
                    </w:r>
                    <w:r>
                      <w:fldChar w:fldCharType="end"/>
                    </w:r>
                  </w:p>
                </w:txbxContent>
              </v:textbox>
            </v:shape>
          </w:pict>
        </mc:Fallback>
      </mc:AlternateContent>
    </w:r>
  </w:p>
  <w:p w14:paraId="3DBCC0AF">
    <w:pPr>
      <w:pStyle w:val="25"/>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61489">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546A">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C689A2"/>
    <w:multiLevelType w:val="singleLevel"/>
    <w:tmpl w:val="E7C689A2"/>
    <w:lvl w:ilvl="0" w:tentative="0">
      <w:start w:val="2"/>
      <w:numFmt w:val="decimal"/>
      <w:suff w:val="nothing"/>
      <w:lvlText w:val="（%1）"/>
      <w:lvlJc w:val="left"/>
    </w:lvl>
  </w:abstractNum>
  <w:abstractNum w:abstractNumId="1">
    <w:nsid w:val="00000010"/>
    <w:multiLevelType w:val="singleLevel"/>
    <w:tmpl w:val="00000010"/>
    <w:lvl w:ilvl="0" w:tentative="0">
      <w:start w:val="1"/>
      <w:numFmt w:val="japaneseCounting"/>
      <w:lvlText w:val="%1、"/>
      <w:lvlJc w:val="left"/>
      <w:pPr>
        <w:tabs>
          <w:tab w:val="left" w:pos="984"/>
        </w:tabs>
        <w:ind w:left="984" w:hanging="420"/>
      </w:pPr>
      <w:rPr>
        <w:rFonts w:hint="eastAsia"/>
      </w:rPr>
    </w:lvl>
  </w:abstractNum>
  <w:abstractNum w:abstractNumId="2">
    <w:nsid w:val="707F2FE4"/>
    <w:multiLevelType w:val="singleLevel"/>
    <w:tmpl w:val="707F2FE4"/>
    <w:lvl w:ilvl="0" w:tentative="0">
      <w:start w:val="1"/>
      <w:numFmt w:val="bullet"/>
      <w:pStyle w:val="22"/>
      <w:lvlText w:val=""/>
      <w:lvlJc w:val="left"/>
      <w:pPr>
        <w:tabs>
          <w:tab w:val="left" w:pos="2040"/>
        </w:tabs>
        <w:ind w:left="204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9"/>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YWY3NDgxOGE4ODM2NjA3YWEyZjc1NzUxMzU5OGIifQ=="/>
  </w:docVars>
  <w:rsids>
    <w:rsidRoot w:val="00172A27"/>
    <w:rsid w:val="0000007A"/>
    <w:rsid w:val="000029CE"/>
    <w:rsid w:val="00002BDE"/>
    <w:rsid w:val="000037DA"/>
    <w:rsid w:val="0000391F"/>
    <w:rsid w:val="00003AEC"/>
    <w:rsid w:val="00004106"/>
    <w:rsid w:val="00004B1E"/>
    <w:rsid w:val="00004F5F"/>
    <w:rsid w:val="00005939"/>
    <w:rsid w:val="00005FCE"/>
    <w:rsid w:val="000077C2"/>
    <w:rsid w:val="00007BAC"/>
    <w:rsid w:val="00007C65"/>
    <w:rsid w:val="0001000D"/>
    <w:rsid w:val="0001035F"/>
    <w:rsid w:val="00010BB3"/>
    <w:rsid w:val="00010E89"/>
    <w:rsid w:val="000110C6"/>
    <w:rsid w:val="00011BFF"/>
    <w:rsid w:val="00011C89"/>
    <w:rsid w:val="00011F85"/>
    <w:rsid w:val="00012460"/>
    <w:rsid w:val="000136A6"/>
    <w:rsid w:val="0001411E"/>
    <w:rsid w:val="000143A8"/>
    <w:rsid w:val="00015A67"/>
    <w:rsid w:val="00015AB3"/>
    <w:rsid w:val="000164F8"/>
    <w:rsid w:val="00016713"/>
    <w:rsid w:val="0001713B"/>
    <w:rsid w:val="00017769"/>
    <w:rsid w:val="00017855"/>
    <w:rsid w:val="00017BCF"/>
    <w:rsid w:val="000200B3"/>
    <w:rsid w:val="00020A41"/>
    <w:rsid w:val="00022CF2"/>
    <w:rsid w:val="00022EB2"/>
    <w:rsid w:val="0002343C"/>
    <w:rsid w:val="00024A20"/>
    <w:rsid w:val="00025092"/>
    <w:rsid w:val="000253C7"/>
    <w:rsid w:val="00025C31"/>
    <w:rsid w:val="00025C49"/>
    <w:rsid w:val="00025D78"/>
    <w:rsid w:val="000261C0"/>
    <w:rsid w:val="00026325"/>
    <w:rsid w:val="000265F5"/>
    <w:rsid w:val="000271AF"/>
    <w:rsid w:val="000278F6"/>
    <w:rsid w:val="00027A5F"/>
    <w:rsid w:val="00027FCB"/>
    <w:rsid w:val="000304BD"/>
    <w:rsid w:val="00030699"/>
    <w:rsid w:val="000325A4"/>
    <w:rsid w:val="00032B2A"/>
    <w:rsid w:val="00033C61"/>
    <w:rsid w:val="000341D2"/>
    <w:rsid w:val="00034353"/>
    <w:rsid w:val="000352EA"/>
    <w:rsid w:val="0003540E"/>
    <w:rsid w:val="00035D31"/>
    <w:rsid w:val="00036328"/>
    <w:rsid w:val="00036C08"/>
    <w:rsid w:val="00036CFB"/>
    <w:rsid w:val="00037447"/>
    <w:rsid w:val="00037644"/>
    <w:rsid w:val="00037991"/>
    <w:rsid w:val="00037C27"/>
    <w:rsid w:val="00040C64"/>
    <w:rsid w:val="00040D0B"/>
    <w:rsid w:val="00040E3E"/>
    <w:rsid w:val="00041622"/>
    <w:rsid w:val="00041B9A"/>
    <w:rsid w:val="00042886"/>
    <w:rsid w:val="00042BD8"/>
    <w:rsid w:val="00043453"/>
    <w:rsid w:val="00044673"/>
    <w:rsid w:val="0004635C"/>
    <w:rsid w:val="0004646B"/>
    <w:rsid w:val="00050147"/>
    <w:rsid w:val="00050880"/>
    <w:rsid w:val="00050CE2"/>
    <w:rsid w:val="00051273"/>
    <w:rsid w:val="000523B9"/>
    <w:rsid w:val="000526BB"/>
    <w:rsid w:val="0005274F"/>
    <w:rsid w:val="00052F2F"/>
    <w:rsid w:val="00053089"/>
    <w:rsid w:val="000531A5"/>
    <w:rsid w:val="000536AF"/>
    <w:rsid w:val="0005441E"/>
    <w:rsid w:val="000549CE"/>
    <w:rsid w:val="00055260"/>
    <w:rsid w:val="0005538E"/>
    <w:rsid w:val="00055A53"/>
    <w:rsid w:val="000569F2"/>
    <w:rsid w:val="000602A9"/>
    <w:rsid w:val="0006048E"/>
    <w:rsid w:val="00060B2E"/>
    <w:rsid w:val="0006273C"/>
    <w:rsid w:val="000633AE"/>
    <w:rsid w:val="0006346A"/>
    <w:rsid w:val="0006498E"/>
    <w:rsid w:val="00065580"/>
    <w:rsid w:val="00065908"/>
    <w:rsid w:val="00065972"/>
    <w:rsid w:val="00065A42"/>
    <w:rsid w:val="00065B7E"/>
    <w:rsid w:val="00067034"/>
    <w:rsid w:val="00070E5E"/>
    <w:rsid w:val="0007177B"/>
    <w:rsid w:val="00071A41"/>
    <w:rsid w:val="00072223"/>
    <w:rsid w:val="00073656"/>
    <w:rsid w:val="000736F2"/>
    <w:rsid w:val="00073F51"/>
    <w:rsid w:val="00074FB2"/>
    <w:rsid w:val="0007503D"/>
    <w:rsid w:val="000752AA"/>
    <w:rsid w:val="00075F8F"/>
    <w:rsid w:val="000775C4"/>
    <w:rsid w:val="0007764D"/>
    <w:rsid w:val="000807A4"/>
    <w:rsid w:val="00080C55"/>
    <w:rsid w:val="00081B2E"/>
    <w:rsid w:val="0008213F"/>
    <w:rsid w:val="0008251A"/>
    <w:rsid w:val="00082A6C"/>
    <w:rsid w:val="000830FA"/>
    <w:rsid w:val="00083A5D"/>
    <w:rsid w:val="00083D53"/>
    <w:rsid w:val="000843A7"/>
    <w:rsid w:val="0008457E"/>
    <w:rsid w:val="00084F63"/>
    <w:rsid w:val="000864F4"/>
    <w:rsid w:val="00086587"/>
    <w:rsid w:val="000915A4"/>
    <w:rsid w:val="00091632"/>
    <w:rsid w:val="00091C85"/>
    <w:rsid w:val="00091CF2"/>
    <w:rsid w:val="00092394"/>
    <w:rsid w:val="00092B8B"/>
    <w:rsid w:val="00093317"/>
    <w:rsid w:val="00093ABA"/>
    <w:rsid w:val="00093F8C"/>
    <w:rsid w:val="00094232"/>
    <w:rsid w:val="00094976"/>
    <w:rsid w:val="000955F3"/>
    <w:rsid w:val="00095F41"/>
    <w:rsid w:val="000962D7"/>
    <w:rsid w:val="00096477"/>
    <w:rsid w:val="00096544"/>
    <w:rsid w:val="00096AA3"/>
    <w:rsid w:val="000A02F9"/>
    <w:rsid w:val="000A0B0E"/>
    <w:rsid w:val="000A148D"/>
    <w:rsid w:val="000A2CC7"/>
    <w:rsid w:val="000A3000"/>
    <w:rsid w:val="000A32B1"/>
    <w:rsid w:val="000A3324"/>
    <w:rsid w:val="000A4259"/>
    <w:rsid w:val="000A45C9"/>
    <w:rsid w:val="000A4B5C"/>
    <w:rsid w:val="000A521A"/>
    <w:rsid w:val="000A6B46"/>
    <w:rsid w:val="000A7893"/>
    <w:rsid w:val="000B06CC"/>
    <w:rsid w:val="000B1696"/>
    <w:rsid w:val="000B1805"/>
    <w:rsid w:val="000B21FA"/>
    <w:rsid w:val="000B28E0"/>
    <w:rsid w:val="000B3759"/>
    <w:rsid w:val="000B385D"/>
    <w:rsid w:val="000B52E8"/>
    <w:rsid w:val="000B5809"/>
    <w:rsid w:val="000B5904"/>
    <w:rsid w:val="000B5A14"/>
    <w:rsid w:val="000B5B1F"/>
    <w:rsid w:val="000B7752"/>
    <w:rsid w:val="000B7794"/>
    <w:rsid w:val="000B7804"/>
    <w:rsid w:val="000C04F9"/>
    <w:rsid w:val="000C0A1A"/>
    <w:rsid w:val="000C0CB8"/>
    <w:rsid w:val="000C0D94"/>
    <w:rsid w:val="000C193D"/>
    <w:rsid w:val="000C20E6"/>
    <w:rsid w:val="000C2641"/>
    <w:rsid w:val="000C2C48"/>
    <w:rsid w:val="000C3893"/>
    <w:rsid w:val="000C401B"/>
    <w:rsid w:val="000C4DFF"/>
    <w:rsid w:val="000C4E23"/>
    <w:rsid w:val="000C50B8"/>
    <w:rsid w:val="000C60FB"/>
    <w:rsid w:val="000C6D6F"/>
    <w:rsid w:val="000C725F"/>
    <w:rsid w:val="000C74E1"/>
    <w:rsid w:val="000C79F9"/>
    <w:rsid w:val="000C7C8E"/>
    <w:rsid w:val="000D02F5"/>
    <w:rsid w:val="000D0895"/>
    <w:rsid w:val="000D1990"/>
    <w:rsid w:val="000D1DF4"/>
    <w:rsid w:val="000D1E6D"/>
    <w:rsid w:val="000D2D62"/>
    <w:rsid w:val="000D3025"/>
    <w:rsid w:val="000D30BF"/>
    <w:rsid w:val="000D3B6C"/>
    <w:rsid w:val="000D3E38"/>
    <w:rsid w:val="000D58E0"/>
    <w:rsid w:val="000D6018"/>
    <w:rsid w:val="000D62F8"/>
    <w:rsid w:val="000D6856"/>
    <w:rsid w:val="000D7515"/>
    <w:rsid w:val="000D7D0C"/>
    <w:rsid w:val="000E0882"/>
    <w:rsid w:val="000E1BCE"/>
    <w:rsid w:val="000E2931"/>
    <w:rsid w:val="000E3374"/>
    <w:rsid w:val="000E3466"/>
    <w:rsid w:val="000E3CD2"/>
    <w:rsid w:val="000E5B39"/>
    <w:rsid w:val="000E5FF2"/>
    <w:rsid w:val="000E6519"/>
    <w:rsid w:val="000E6546"/>
    <w:rsid w:val="000E7D60"/>
    <w:rsid w:val="000F0437"/>
    <w:rsid w:val="000F0519"/>
    <w:rsid w:val="000F0FC1"/>
    <w:rsid w:val="000F0FC6"/>
    <w:rsid w:val="000F176F"/>
    <w:rsid w:val="000F1D1D"/>
    <w:rsid w:val="000F2D59"/>
    <w:rsid w:val="000F3DEE"/>
    <w:rsid w:val="000F46C7"/>
    <w:rsid w:val="000F4FE1"/>
    <w:rsid w:val="000F51BF"/>
    <w:rsid w:val="000F5284"/>
    <w:rsid w:val="000F597E"/>
    <w:rsid w:val="000F678B"/>
    <w:rsid w:val="000F6B60"/>
    <w:rsid w:val="000F6EBB"/>
    <w:rsid w:val="000F7847"/>
    <w:rsid w:val="000F79C8"/>
    <w:rsid w:val="00100DDD"/>
    <w:rsid w:val="001015D0"/>
    <w:rsid w:val="001016E6"/>
    <w:rsid w:val="00101F56"/>
    <w:rsid w:val="001022D1"/>
    <w:rsid w:val="00102795"/>
    <w:rsid w:val="00103413"/>
    <w:rsid w:val="001034F3"/>
    <w:rsid w:val="001036E3"/>
    <w:rsid w:val="00103F0D"/>
    <w:rsid w:val="00104534"/>
    <w:rsid w:val="001053C7"/>
    <w:rsid w:val="001055D1"/>
    <w:rsid w:val="00106167"/>
    <w:rsid w:val="00106E81"/>
    <w:rsid w:val="00107015"/>
    <w:rsid w:val="0010717E"/>
    <w:rsid w:val="00107936"/>
    <w:rsid w:val="00107A91"/>
    <w:rsid w:val="001106EC"/>
    <w:rsid w:val="0011071E"/>
    <w:rsid w:val="0011089C"/>
    <w:rsid w:val="00110B73"/>
    <w:rsid w:val="00110E97"/>
    <w:rsid w:val="00110EE5"/>
    <w:rsid w:val="0011121C"/>
    <w:rsid w:val="00111474"/>
    <w:rsid w:val="00111F27"/>
    <w:rsid w:val="0011266B"/>
    <w:rsid w:val="001127E2"/>
    <w:rsid w:val="001128D9"/>
    <w:rsid w:val="00112C1A"/>
    <w:rsid w:val="001130AF"/>
    <w:rsid w:val="00113B19"/>
    <w:rsid w:val="00114089"/>
    <w:rsid w:val="00114372"/>
    <w:rsid w:val="00114421"/>
    <w:rsid w:val="001148C2"/>
    <w:rsid w:val="00116919"/>
    <w:rsid w:val="0011693A"/>
    <w:rsid w:val="00117540"/>
    <w:rsid w:val="00117F00"/>
    <w:rsid w:val="0012037A"/>
    <w:rsid w:val="00120903"/>
    <w:rsid w:val="00120B45"/>
    <w:rsid w:val="00120CC7"/>
    <w:rsid w:val="00120E12"/>
    <w:rsid w:val="00120E22"/>
    <w:rsid w:val="00121FC3"/>
    <w:rsid w:val="00122004"/>
    <w:rsid w:val="0012307B"/>
    <w:rsid w:val="0012398C"/>
    <w:rsid w:val="001241B8"/>
    <w:rsid w:val="00124369"/>
    <w:rsid w:val="00124A0E"/>
    <w:rsid w:val="0012530A"/>
    <w:rsid w:val="0012539C"/>
    <w:rsid w:val="00127914"/>
    <w:rsid w:val="00127E82"/>
    <w:rsid w:val="00130401"/>
    <w:rsid w:val="00130DDF"/>
    <w:rsid w:val="00131650"/>
    <w:rsid w:val="00131CDE"/>
    <w:rsid w:val="0013296B"/>
    <w:rsid w:val="00132AA3"/>
    <w:rsid w:val="00133849"/>
    <w:rsid w:val="00133BA7"/>
    <w:rsid w:val="00135D55"/>
    <w:rsid w:val="00136A38"/>
    <w:rsid w:val="00136E09"/>
    <w:rsid w:val="00137241"/>
    <w:rsid w:val="00137CB8"/>
    <w:rsid w:val="00140B6A"/>
    <w:rsid w:val="00141323"/>
    <w:rsid w:val="00141AC0"/>
    <w:rsid w:val="00141D2B"/>
    <w:rsid w:val="0014245F"/>
    <w:rsid w:val="00143CB4"/>
    <w:rsid w:val="0014535A"/>
    <w:rsid w:val="00145B1E"/>
    <w:rsid w:val="00146442"/>
    <w:rsid w:val="00146824"/>
    <w:rsid w:val="0014715B"/>
    <w:rsid w:val="00147AF6"/>
    <w:rsid w:val="00150CDA"/>
    <w:rsid w:val="00150DFC"/>
    <w:rsid w:val="00151ED1"/>
    <w:rsid w:val="00152672"/>
    <w:rsid w:val="001527E6"/>
    <w:rsid w:val="00152E59"/>
    <w:rsid w:val="00153D44"/>
    <w:rsid w:val="00154C56"/>
    <w:rsid w:val="00154FEC"/>
    <w:rsid w:val="0015521C"/>
    <w:rsid w:val="00155849"/>
    <w:rsid w:val="00155A23"/>
    <w:rsid w:val="00155AB3"/>
    <w:rsid w:val="00155B4B"/>
    <w:rsid w:val="0015705F"/>
    <w:rsid w:val="00157312"/>
    <w:rsid w:val="00157314"/>
    <w:rsid w:val="001575EF"/>
    <w:rsid w:val="001576C3"/>
    <w:rsid w:val="00157D0D"/>
    <w:rsid w:val="00157EF1"/>
    <w:rsid w:val="00160025"/>
    <w:rsid w:val="00160B5F"/>
    <w:rsid w:val="00160D8A"/>
    <w:rsid w:val="00160F37"/>
    <w:rsid w:val="00161268"/>
    <w:rsid w:val="00161282"/>
    <w:rsid w:val="00161587"/>
    <w:rsid w:val="00161716"/>
    <w:rsid w:val="00161AE6"/>
    <w:rsid w:val="00161BE9"/>
    <w:rsid w:val="00161C33"/>
    <w:rsid w:val="00162286"/>
    <w:rsid w:val="001625AD"/>
    <w:rsid w:val="00162ECD"/>
    <w:rsid w:val="00163D46"/>
    <w:rsid w:val="00164408"/>
    <w:rsid w:val="00164C09"/>
    <w:rsid w:val="0016516C"/>
    <w:rsid w:val="00166654"/>
    <w:rsid w:val="00166BAB"/>
    <w:rsid w:val="00166C7C"/>
    <w:rsid w:val="00166E31"/>
    <w:rsid w:val="00167B04"/>
    <w:rsid w:val="00167DC5"/>
    <w:rsid w:val="0017178C"/>
    <w:rsid w:val="0017250D"/>
    <w:rsid w:val="00172A27"/>
    <w:rsid w:val="00172ED4"/>
    <w:rsid w:val="00172EE6"/>
    <w:rsid w:val="001732F2"/>
    <w:rsid w:val="00173AC6"/>
    <w:rsid w:val="00174185"/>
    <w:rsid w:val="00174642"/>
    <w:rsid w:val="001750AC"/>
    <w:rsid w:val="00175D33"/>
    <w:rsid w:val="001763A8"/>
    <w:rsid w:val="001772CF"/>
    <w:rsid w:val="00177861"/>
    <w:rsid w:val="00177CBE"/>
    <w:rsid w:val="001800ED"/>
    <w:rsid w:val="00180E63"/>
    <w:rsid w:val="001819CC"/>
    <w:rsid w:val="00181EFA"/>
    <w:rsid w:val="00182F14"/>
    <w:rsid w:val="001830AC"/>
    <w:rsid w:val="00183478"/>
    <w:rsid w:val="0018424A"/>
    <w:rsid w:val="00184692"/>
    <w:rsid w:val="00184B6C"/>
    <w:rsid w:val="001853C9"/>
    <w:rsid w:val="00185B98"/>
    <w:rsid w:val="00185EDE"/>
    <w:rsid w:val="00186AF8"/>
    <w:rsid w:val="0019029A"/>
    <w:rsid w:val="00190328"/>
    <w:rsid w:val="00190BC5"/>
    <w:rsid w:val="0019236E"/>
    <w:rsid w:val="001928D0"/>
    <w:rsid w:val="001932DD"/>
    <w:rsid w:val="001933CE"/>
    <w:rsid w:val="00193DD4"/>
    <w:rsid w:val="00193FD1"/>
    <w:rsid w:val="00194AD9"/>
    <w:rsid w:val="001953BA"/>
    <w:rsid w:val="00195468"/>
    <w:rsid w:val="00195D29"/>
    <w:rsid w:val="0019633A"/>
    <w:rsid w:val="0019643D"/>
    <w:rsid w:val="00196892"/>
    <w:rsid w:val="00196FCE"/>
    <w:rsid w:val="00197163"/>
    <w:rsid w:val="001973D5"/>
    <w:rsid w:val="00197B7C"/>
    <w:rsid w:val="00197DFA"/>
    <w:rsid w:val="001A03EF"/>
    <w:rsid w:val="001A04CF"/>
    <w:rsid w:val="001A0E0A"/>
    <w:rsid w:val="001A1160"/>
    <w:rsid w:val="001A194F"/>
    <w:rsid w:val="001A1C80"/>
    <w:rsid w:val="001A1F26"/>
    <w:rsid w:val="001A270C"/>
    <w:rsid w:val="001A2A6B"/>
    <w:rsid w:val="001A2C2D"/>
    <w:rsid w:val="001A37C5"/>
    <w:rsid w:val="001A6C5F"/>
    <w:rsid w:val="001A6CE4"/>
    <w:rsid w:val="001A77CE"/>
    <w:rsid w:val="001A7C09"/>
    <w:rsid w:val="001B156B"/>
    <w:rsid w:val="001B172F"/>
    <w:rsid w:val="001B2870"/>
    <w:rsid w:val="001B3424"/>
    <w:rsid w:val="001B3CE0"/>
    <w:rsid w:val="001B497A"/>
    <w:rsid w:val="001B54E6"/>
    <w:rsid w:val="001B603A"/>
    <w:rsid w:val="001B66E8"/>
    <w:rsid w:val="001B788F"/>
    <w:rsid w:val="001B7F5C"/>
    <w:rsid w:val="001C0488"/>
    <w:rsid w:val="001C161A"/>
    <w:rsid w:val="001C18C5"/>
    <w:rsid w:val="001C2786"/>
    <w:rsid w:val="001C281A"/>
    <w:rsid w:val="001C3CC0"/>
    <w:rsid w:val="001C416B"/>
    <w:rsid w:val="001C51B1"/>
    <w:rsid w:val="001C58E0"/>
    <w:rsid w:val="001C5922"/>
    <w:rsid w:val="001C5A9E"/>
    <w:rsid w:val="001C5EC8"/>
    <w:rsid w:val="001C6781"/>
    <w:rsid w:val="001C6A75"/>
    <w:rsid w:val="001D091E"/>
    <w:rsid w:val="001D0967"/>
    <w:rsid w:val="001D0E6A"/>
    <w:rsid w:val="001D1E67"/>
    <w:rsid w:val="001D2699"/>
    <w:rsid w:val="001D2B8A"/>
    <w:rsid w:val="001D3F47"/>
    <w:rsid w:val="001D400A"/>
    <w:rsid w:val="001D4BC7"/>
    <w:rsid w:val="001D4DCA"/>
    <w:rsid w:val="001D5534"/>
    <w:rsid w:val="001D5BB3"/>
    <w:rsid w:val="001D642A"/>
    <w:rsid w:val="001D7A39"/>
    <w:rsid w:val="001E03AE"/>
    <w:rsid w:val="001E0842"/>
    <w:rsid w:val="001E1262"/>
    <w:rsid w:val="001E1453"/>
    <w:rsid w:val="001E18D8"/>
    <w:rsid w:val="001E1BC2"/>
    <w:rsid w:val="001E1E2A"/>
    <w:rsid w:val="001E25C5"/>
    <w:rsid w:val="001E3768"/>
    <w:rsid w:val="001E3F3A"/>
    <w:rsid w:val="001E41F4"/>
    <w:rsid w:val="001E490B"/>
    <w:rsid w:val="001E4B09"/>
    <w:rsid w:val="001E6CD3"/>
    <w:rsid w:val="001E7134"/>
    <w:rsid w:val="001E7322"/>
    <w:rsid w:val="001E76C4"/>
    <w:rsid w:val="001F0C14"/>
    <w:rsid w:val="001F15FC"/>
    <w:rsid w:val="001F23C9"/>
    <w:rsid w:val="001F24D6"/>
    <w:rsid w:val="001F2991"/>
    <w:rsid w:val="001F2C7F"/>
    <w:rsid w:val="001F41BE"/>
    <w:rsid w:val="001F4265"/>
    <w:rsid w:val="001F5387"/>
    <w:rsid w:val="001F5A00"/>
    <w:rsid w:val="001F5E50"/>
    <w:rsid w:val="001F6503"/>
    <w:rsid w:val="001F6C6F"/>
    <w:rsid w:val="001F6E1F"/>
    <w:rsid w:val="001F715D"/>
    <w:rsid w:val="001F751E"/>
    <w:rsid w:val="00200477"/>
    <w:rsid w:val="0020258B"/>
    <w:rsid w:val="00203147"/>
    <w:rsid w:val="002031B6"/>
    <w:rsid w:val="00203936"/>
    <w:rsid w:val="00204318"/>
    <w:rsid w:val="00204638"/>
    <w:rsid w:val="00204971"/>
    <w:rsid w:val="00204A82"/>
    <w:rsid w:val="00204C12"/>
    <w:rsid w:val="00204FFD"/>
    <w:rsid w:val="00206137"/>
    <w:rsid w:val="002062EC"/>
    <w:rsid w:val="0020637C"/>
    <w:rsid w:val="002069B9"/>
    <w:rsid w:val="00206D03"/>
    <w:rsid w:val="0020787A"/>
    <w:rsid w:val="002079A8"/>
    <w:rsid w:val="00210C6C"/>
    <w:rsid w:val="00210D56"/>
    <w:rsid w:val="00211BD4"/>
    <w:rsid w:val="00211CDC"/>
    <w:rsid w:val="00211E59"/>
    <w:rsid w:val="002122E3"/>
    <w:rsid w:val="00212738"/>
    <w:rsid w:val="002128E6"/>
    <w:rsid w:val="002138DF"/>
    <w:rsid w:val="002139D2"/>
    <w:rsid w:val="0021405F"/>
    <w:rsid w:val="00214742"/>
    <w:rsid w:val="00214929"/>
    <w:rsid w:val="0021523C"/>
    <w:rsid w:val="00216125"/>
    <w:rsid w:val="00216D34"/>
    <w:rsid w:val="0021707C"/>
    <w:rsid w:val="00220CE9"/>
    <w:rsid w:val="00222F31"/>
    <w:rsid w:val="002240AC"/>
    <w:rsid w:val="002256E5"/>
    <w:rsid w:val="00225FC3"/>
    <w:rsid w:val="00226E15"/>
    <w:rsid w:val="00227080"/>
    <w:rsid w:val="002270EB"/>
    <w:rsid w:val="00230185"/>
    <w:rsid w:val="0023070D"/>
    <w:rsid w:val="00230809"/>
    <w:rsid w:val="00230925"/>
    <w:rsid w:val="00230ABB"/>
    <w:rsid w:val="00231324"/>
    <w:rsid w:val="0023157F"/>
    <w:rsid w:val="00231E23"/>
    <w:rsid w:val="0023216E"/>
    <w:rsid w:val="00232D45"/>
    <w:rsid w:val="00233043"/>
    <w:rsid w:val="00234144"/>
    <w:rsid w:val="00234700"/>
    <w:rsid w:val="002348AA"/>
    <w:rsid w:val="00234F70"/>
    <w:rsid w:val="0023539D"/>
    <w:rsid w:val="00237044"/>
    <w:rsid w:val="002373E1"/>
    <w:rsid w:val="00237485"/>
    <w:rsid w:val="0023750A"/>
    <w:rsid w:val="002408B1"/>
    <w:rsid w:val="00241C31"/>
    <w:rsid w:val="00241CE6"/>
    <w:rsid w:val="00241D1F"/>
    <w:rsid w:val="00242518"/>
    <w:rsid w:val="00242C4B"/>
    <w:rsid w:val="00243860"/>
    <w:rsid w:val="00243B00"/>
    <w:rsid w:val="00244447"/>
    <w:rsid w:val="002449EB"/>
    <w:rsid w:val="00244C85"/>
    <w:rsid w:val="002452A6"/>
    <w:rsid w:val="0024559E"/>
    <w:rsid w:val="00246665"/>
    <w:rsid w:val="0024676B"/>
    <w:rsid w:val="002475D6"/>
    <w:rsid w:val="002477B1"/>
    <w:rsid w:val="00247B78"/>
    <w:rsid w:val="00250CF9"/>
    <w:rsid w:val="00251389"/>
    <w:rsid w:val="00251AF3"/>
    <w:rsid w:val="00251C61"/>
    <w:rsid w:val="0025242C"/>
    <w:rsid w:val="002549DB"/>
    <w:rsid w:val="00254A9F"/>
    <w:rsid w:val="00254B03"/>
    <w:rsid w:val="0025546F"/>
    <w:rsid w:val="00256E59"/>
    <w:rsid w:val="00257A89"/>
    <w:rsid w:val="00257DA1"/>
    <w:rsid w:val="00260E54"/>
    <w:rsid w:val="0026110B"/>
    <w:rsid w:val="00261E1C"/>
    <w:rsid w:val="002625F7"/>
    <w:rsid w:val="00262B4B"/>
    <w:rsid w:val="00262F14"/>
    <w:rsid w:val="00263374"/>
    <w:rsid w:val="002635E1"/>
    <w:rsid w:val="00263749"/>
    <w:rsid w:val="00263D0D"/>
    <w:rsid w:val="002654B3"/>
    <w:rsid w:val="002654E5"/>
    <w:rsid w:val="002656E5"/>
    <w:rsid w:val="002657D2"/>
    <w:rsid w:val="00265859"/>
    <w:rsid w:val="00265941"/>
    <w:rsid w:val="00265A10"/>
    <w:rsid w:val="00266089"/>
    <w:rsid w:val="00266753"/>
    <w:rsid w:val="00266A61"/>
    <w:rsid w:val="002707A2"/>
    <w:rsid w:val="002708D4"/>
    <w:rsid w:val="00270B74"/>
    <w:rsid w:val="00271071"/>
    <w:rsid w:val="00271655"/>
    <w:rsid w:val="00271827"/>
    <w:rsid w:val="002720E7"/>
    <w:rsid w:val="00272938"/>
    <w:rsid w:val="00273924"/>
    <w:rsid w:val="00273DF1"/>
    <w:rsid w:val="00273ECF"/>
    <w:rsid w:val="002740F1"/>
    <w:rsid w:val="002744B1"/>
    <w:rsid w:val="002753B6"/>
    <w:rsid w:val="002756CC"/>
    <w:rsid w:val="00276182"/>
    <w:rsid w:val="0027633E"/>
    <w:rsid w:val="00276E74"/>
    <w:rsid w:val="00280161"/>
    <w:rsid w:val="0028039C"/>
    <w:rsid w:val="00280897"/>
    <w:rsid w:val="002809ED"/>
    <w:rsid w:val="00280C98"/>
    <w:rsid w:val="002811F0"/>
    <w:rsid w:val="002817E9"/>
    <w:rsid w:val="0028184B"/>
    <w:rsid w:val="00281E65"/>
    <w:rsid w:val="002840EB"/>
    <w:rsid w:val="0028428E"/>
    <w:rsid w:val="002856D5"/>
    <w:rsid w:val="00285881"/>
    <w:rsid w:val="00290536"/>
    <w:rsid w:val="0029078B"/>
    <w:rsid w:val="00290CC3"/>
    <w:rsid w:val="002911A2"/>
    <w:rsid w:val="002914A4"/>
    <w:rsid w:val="00291582"/>
    <w:rsid w:val="00291C5D"/>
    <w:rsid w:val="0029249C"/>
    <w:rsid w:val="0029319F"/>
    <w:rsid w:val="00293245"/>
    <w:rsid w:val="00293485"/>
    <w:rsid w:val="00293E38"/>
    <w:rsid w:val="00294464"/>
    <w:rsid w:val="002947D5"/>
    <w:rsid w:val="0029484A"/>
    <w:rsid w:val="00294E8D"/>
    <w:rsid w:val="00295426"/>
    <w:rsid w:val="002963F6"/>
    <w:rsid w:val="00296582"/>
    <w:rsid w:val="00297098"/>
    <w:rsid w:val="002973A6"/>
    <w:rsid w:val="00297EC4"/>
    <w:rsid w:val="002A0205"/>
    <w:rsid w:val="002A0F9C"/>
    <w:rsid w:val="002A1F79"/>
    <w:rsid w:val="002A1FFB"/>
    <w:rsid w:val="002A2105"/>
    <w:rsid w:val="002A24C9"/>
    <w:rsid w:val="002A304B"/>
    <w:rsid w:val="002A4095"/>
    <w:rsid w:val="002A4513"/>
    <w:rsid w:val="002A4D54"/>
    <w:rsid w:val="002A57B1"/>
    <w:rsid w:val="002B0B13"/>
    <w:rsid w:val="002B20C2"/>
    <w:rsid w:val="002B2112"/>
    <w:rsid w:val="002B24E0"/>
    <w:rsid w:val="002B27ED"/>
    <w:rsid w:val="002B29D1"/>
    <w:rsid w:val="002B2DCE"/>
    <w:rsid w:val="002B3A3B"/>
    <w:rsid w:val="002B4594"/>
    <w:rsid w:val="002B5ABC"/>
    <w:rsid w:val="002B5F6C"/>
    <w:rsid w:val="002B6003"/>
    <w:rsid w:val="002B6874"/>
    <w:rsid w:val="002B7CAE"/>
    <w:rsid w:val="002B7EDB"/>
    <w:rsid w:val="002C08CE"/>
    <w:rsid w:val="002C14CA"/>
    <w:rsid w:val="002C1E55"/>
    <w:rsid w:val="002C24A9"/>
    <w:rsid w:val="002C26D9"/>
    <w:rsid w:val="002C3795"/>
    <w:rsid w:val="002C42D2"/>
    <w:rsid w:val="002C4870"/>
    <w:rsid w:val="002C53E9"/>
    <w:rsid w:val="002C5BCB"/>
    <w:rsid w:val="002C632F"/>
    <w:rsid w:val="002D036F"/>
    <w:rsid w:val="002D0579"/>
    <w:rsid w:val="002D0A9D"/>
    <w:rsid w:val="002D0E0E"/>
    <w:rsid w:val="002D38EE"/>
    <w:rsid w:val="002D3DF3"/>
    <w:rsid w:val="002D438F"/>
    <w:rsid w:val="002D505C"/>
    <w:rsid w:val="002D56A9"/>
    <w:rsid w:val="002D58B8"/>
    <w:rsid w:val="002D7A0A"/>
    <w:rsid w:val="002E0087"/>
    <w:rsid w:val="002E047B"/>
    <w:rsid w:val="002E0679"/>
    <w:rsid w:val="002E1B75"/>
    <w:rsid w:val="002E255D"/>
    <w:rsid w:val="002E2F82"/>
    <w:rsid w:val="002E32E1"/>
    <w:rsid w:val="002E41C8"/>
    <w:rsid w:val="002E5068"/>
    <w:rsid w:val="002E67FE"/>
    <w:rsid w:val="002E75F0"/>
    <w:rsid w:val="002F09A1"/>
    <w:rsid w:val="002F0A07"/>
    <w:rsid w:val="002F2229"/>
    <w:rsid w:val="002F2C24"/>
    <w:rsid w:val="002F2E50"/>
    <w:rsid w:val="002F364D"/>
    <w:rsid w:val="002F3687"/>
    <w:rsid w:val="002F3730"/>
    <w:rsid w:val="002F389E"/>
    <w:rsid w:val="002F3B85"/>
    <w:rsid w:val="002F3CCB"/>
    <w:rsid w:val="002F4083"/>
    <w:rsid w:val="002F436D"/>
    <w:rsid w:val="002F4C3A"/>
    <w:rsid w:val="002F4F5D"/>
    <w:rsid w:val="002F513C"/>
    <w:rsid w:val="002F537C"/>
    <w:rsid w:val="002F5524"/>
    <w:rsid w:val="002F5A45"/>
    <w:rsid w:val="002F5D9E"/>
    <w:rsid w:val="002F5EDC"/>
    <w:rsid w:val="002F6434"/>
    <w:rsid w:val="002F6547"/>
    <w:rsid w:val="002F6D90"/>
    <w:rsid w:val="002F7672"/>
    <w:rsid w:val="002F77CD"/>
    <w:rsid w:val="00302169"/>
    <w:rsid w:val="00302B68"/>
    <w:rsid w:val="00302D66"/>
    <w:rsid w:val="003030AC"/>
    <w:rsid w:val="00304353"/>
    <w:rsid w:val="003049B0"/>
    <w:rsid w:val="0030505F"/>
    <w:rsid w:val="00305EEF"/>
    <w:rsid w:val="00306C8B"/>
    <w:rsid w:val="00310965"/>
    <w:rsid w:val="00310CCE"/>
    <w:rsid w:val="00311149"/>
    <w:rsid w:val="00311932"/>
    <w:rsid w:val="00311A5F"/>
    <w:rsid w:val="00311B26"/>
    <w:rsid w:val="00313701"/>
    <w:rsid w:val="0031397D"/>
    <w:rsid w:val="00313BC9"/>
    <w:rsid w:val="00314063"/>
    <w:rsid w:val="003143AD"/>
    <w:rsid w:val="00314AA8"/>
    <w:rsid w:val="00314EA7"/>
    <w:rsid w:val="00315869"/>
    <w:rsid w:val="0031594A"/>
    <w:rsid w:val="0031614B"/>
    <w:rsid w:val="00316362"/>
    <w:rsid w:val="00316570"/>
    <w:rsid w:val="00316839"/>
    <w:rsid w:val="0031689F"/>
    <w:rsid w:val="0031786A"/>
    <w:rsid w:val="00317B32"/>
    <w:rsid w:val="003201ED"/>
    <w:rsid w:val="00321221"/>
    <w:rsid w:val="0032195C"/>
    <w:rsid w:val="00322310"/>
    <w:rsid w:val="003223B4"/>
    <w:rsid w:val="00322E6F"/>
    <w:rsid w:val="00322FDE"/>
    <w:rsid w:val="00323306"/>
    <w:rsid w:val="00323C51"/>
    <w:rsid w:val="00323D44"/>
    <w:rsid w:val="003255F7"/>
    <w:rsid w:val="003260B5"/>
    <w:rsid w:val="0032613D"/>
    <w:rsid w:val="003267DD"/>
    <w:rsid w:val="00326B65"/>
    <w:rsid w:val="00326CCB"/>
    <w:rsid w:val="00330EAC"/>
    <w:rsid w:val="003310DA"/>
    <w:rsid w:val="003310F3"/>
    <w:rsid w:val="00331469"/>
    <w:rsid w:val="00332484"/>
    <w:rsid w:val="003326A3"/>
    <w:rsid w:val="00332E56"/>
    <w:rsid w:val="003339E9"/>
    <w:rsid w:val="003352EC"/>
    <w:rsid w:val="00335662"/>
    <w:rsid w:val="00336593"/>
    <w:rsid w:val="00336617"/>
    <w:rsid w:val="00336ED7"/>
    <w:rsid w:val="0033714B"/>
    <w:rsid w:val="003372ED"/>
    <w:rsid w:val="00340298"/>
    <w:rsid w:val="00340A04"/>
    <w:rsid w:val="00341B48"/>
    <w:rsid w:val="00341B81"/>
    <w:rsid w:val="00342118"/>
    <w:rsid w:val="0034250F"/>
    <w:rsid w:val="00344129"/>
    <w:rsid w:val="00345884"/>
    <w:rsid w:val="003458D6"/>
    <w:rsid w:val="00346793"/>
    <w:rsid w:val="003469D7"/>
    <w:rsid w:val="00351AEF"/>
    <w:rsid w:val="00352185"/>
    <w:rsid w:val="00352E7C"/>
    <w:rsid w:val="0035317A"/>
    <w:rsid w:val="00353B87"/>
    <w:rsid w:val="0035415A"/>
    <w:rsid w:val="003541E6"/>
    <w:rsid w:val="00354252"/>
    <w:rsid w:val="0035465E"/>
    <w:rsid w:val="00354709"/>
    <w:rsid w:val="00354898"/>
    <w:rsid w:val="003548F2"/>
    <w:rsid w:val="00354939"/>
    <w:rsid w:val="00354BBB"/>
    <w:rsid w:val="00355078"/>
    <w:rsid w:val="00355796"/>
    <w:rsid w:val="003560D5"/>
    <w:rsid w:val="00356192"/>
    <w:rsid w:val="00356A36"/>
    <w:rsid w:val="003571FF"/>
    <w:rsid w:val="003572CD"/>
    <w:rsid w:val="00357584"/>
    <w:rsid w:val="00357FE8"/>
    <w:rsid w:val="00361088"/>
    <w:rsid w:val="00361F7F"/>
    <w:rsid w:val="003620AE"/>
    <w:rsid w:val="00362222"/>
    <w:rsid w:val="00362223"/>
    <w:rsid w:val="003623AC"/>
    <w:rsid w:val="003628F2"/>
    <w:rsid w:val="00362C21"/>
    <w:rsid w:val="00363215"/>
    <w:rsid w:val="00364ABE"/>
    <w:rsid w:val="0036627B"/>
    <w:rsid w:val="003664AF"/>
    <w:rsid w:val="00366E0F"/>
    <w:rsid w:val="00367E78"/>
    <w:rsid w:val="00367F64"/>
    <w:rsid w:val="00370251"/>
    <w:rsid w:val="00370F7D"/>
    <w:rsid w:val="0037123A"/>
    <w:rsid w:val="00371558"/>
    <w:rsid w:val="00373A1A"/>
    <w:rsid w:val="00373B71"/>
    <w:rsid w:val="003747C8"/>
    <w:rsid w:val="00374985"/>
    <w:rsid w:val="0037523F"/>
    <w:rsid w:val="003759DF"/>
    <w:rsid w:val="00375ADB"/>
    <w:rsid w:val="0037692E"/>
    <w:rsid w:val="00377357"/>
    <w:rsid w:val="00377A1F"/>
    <w:rsid w:val="00377A5A"/>
    <w:rsid w:val="00380982"/>
    <w:rsid w:val="00381699"/>
    <w:rsid w:val="00381992"/>
    <w:rsid w:val="00381DC1"/>
    <w:rsid w:val="0038263B"/>
    <w:rsid w:val="00382907"/>
    <w:rsid w:val="0038388B"/>
    <w:rsid w:val="0038395B"/>
    <w:rsid w:val="00384693"/>
    <w:rsid w:val="00384830"/>
    <w:rsid w:val="00384D83"/>
    <w:rsid w:val="003857DB"/>
    <w:rsid w:val="00385EAE"/>
    <w:rsid w:val="00390596"/>
    <w:rsid w:val="00391306"/>
    <w:rsid w:val="0039153A"/>
    <w:rsid w:val="00392433"/>
    <w:rsid w:val="0039260B"/>
    <w:rsid w:val="003929FC"/>
    <w:rsid w:val="0039308E"/>
    <w:rsid w:val="00393287"/>
    <w:rsid w:val="00393D75"/>
    <w:rsid w:val="0039488F"/>
    <w:rsid w:val="00394891"/>
    <w:rsid w:val="00394C2D"/>
    <w:rsid w:val="00394C7E"/>
    <w:rsid w:val="0039582B"/>
    <w:rsid w:val="003959E2"/>
    <w:rsid w:val="0039715F"/>
    <w:rsid w:val="003972A9"/>
    <w:rsid w:val="00397946"/>
    <w:rsid w:val="00397958"/>
    <w:rsid w:val="00397AD5"/>
    <w:rsid w:val="00397D3F"/>
    <w:rsid w:val="003A066B"/>
    <w:rsid w:val="003A06DA"/>
    <w:rsid w:val="003A1286"/>
    <w:rsid w:val="003A26A3"/>
    <w:rsid w:val="003A2B6E"/>
    <w:rsid w:val="003A3678"/>
    <w:rsid w:val="003A3AA8"/>
    <w:rsid w:val="003A3E24"/>
    <w:rsid w:val="003A4DB8"/>
    <w:rsid w:val="003A5317"/>
    <w:rsid w:val="003A5497"/>
    <w:rsid w:val="003A5A09"/>
    <w:rsid w:val="003A6B0B"/>
    <w:rsid w:val="003B0B7E"/>
    <w:rsid w:val="003B1311"/>
    <w:rsid w:val="003B1431"/>
    <w:rsid w:val="003B24BE"/>
    <w:rsid w:val="003B3563"/>
    <w:rsid w:val="003B37B5"/>
    <w:rsid w:val="003B397B"/>
    <w:rsid w:val="003B44F5"/>
    <w:rsid w:val="003B4659"/>
    <w:rsid w:val="003B477F"/>
    <w:rsid w:val="003B478A"/>
    <w:rsid w:val="003B49AD"/>
    <w:rsid w:val="003B5E12"/>
    <w:rsid w:val="003B72BC"/>
    <w:rsid w:val="003B739E"/>
    <w:rsid w:val="003B7639"/>
    <w:rsid w:val="003B7736"/>
    <w:rsid w:val="003C0066"/>
    <w:rsid w:val="003C0308"/>
    <w:rsid w:val="003C05BD"/>
    <w:rsid w:val="003C0976"/>
    <w:rsid w:val="003C1007"/>
    <w:rsid w:val="003C109A"/>
    <w:rsid w:val="003C1A7D"/>
    <w:rsid w:val="003C1D31"/>
    <w:rsid w:val="003C2267"/>
    <w:rsid w:val="003C2959"/>
    <w:rsid w:val="003C322E"/>
    <w:rsid w:val="003C3445"/>
    <w:rsid w:val="003C3602"/>
    <w:rsid w:val="003C370F"/>
    <w:rsid w:val="003C392F"/>
    <w:rsid w:val="003C4DF8"/>
    <w:rsid w:val="003C59D2"/>
    <w:rsid w:val="003D0AE0"/>
    <w:rsid w:val="003D0D68"/>
    <w:rsid w:val="003D0F8B"/>
    <w:rsid w:val="003D1374"/>
    <w:rsid w:val="003D1610"/>
    <w:rsid w:val="003D26FD"/>
    <w:rsid w:val="003D35DD"/>
    <w:rsid w:val="003D396F"/>
    <w:rsid w:val="003D4196"/>
    <w:rsid w:val="003D44FB"/>
    <w:rsid w:val="003D48E1"/>
    <w:rsid w:val="003D501B"/>
    <w:rsid w:val="003D5812"/>
    <w:rsid w:val="003D5D24"/>
    <w:rsid w:val="003D5D35"/>
    <w:rsid w:val="003D6647"/>
    <w:rsid w:val="003D787B"/>
    <w:rsid w:val="003D7D93"/>
    <w:rsid w:val="003D7E39"/>
    <w:rsid w:val="003E0572"/>
    <w:rsid w:val="003E08A1"/>
    <w:rsid w:val="003E14D0"/>
    <w:rsid w:val="003E1C66"/>
    <w:rsid w:val="003E25DD"/>
    <w:rsid w:val="003E26C8"/>
    <w:rsid w:val="003E2FBE"/>
    <w:rsid w:val="003E35AA"/>
    <w:rsid w:val="003E3A6C"/>
    <w:rsid w:val="003E49C0"/>
    <w:rsid w:val="003E4FFB"/>
    <w:rsid w:val="003E5160"/>
    <w:rsid w:val="003E5577"/>
    <w:rsid w:val="003E5B45"/>
    <w:rsid w:val="003E5DC4"/>
    <w:rsid w:val="003E6269"/>
    <w:rsid w:val="003E6FE2"/>
    <w:rsid w:val="003E7003"/>
    <w:rsid w:val="003E7304"/>
    <w:rsid w:val="003E7556"/>
    <w:rsid w:val="003E772F"/>
    <w:rsid w:val="003F09A4"/>
    <w:rsid w:val="003F0B54"/>
    <w:rsid w:val="003F1576"/>
    <w:rsid w:val="003F186A"/>
    <w:rsid w:val="003F21F2"/>
    <w:rsid w:val="003F22DE"/>
    <w:rsid w:val="003F2878"/>
    <w:rsid w:val="003F2C11"/>
    <w:rsid w:val="003F2D08"/>
    <w:rsid w:val="003F3D72"/>
    <w:rsid w:val="003F43E2"/>
    <w:rsid w:val="003F48CA"/>
    <w:rsid w:val="003F4F77"/>
    <w:rsid w:val="003F723B"/>
    <w:rsid w:val="003F7364"/>
    <w:rsid w:val="0040027A"/>
    <w:rsid w:val="00400677"/>
    <w:rsid w:val="004021BB"/>
    <w:rsid w:val="00402D72"/>
    <w:rsid w:val="00402F31"/>
    <w:rsid w:val="00403A73"/>
    <w:rsid w:val="00403BE9"/>
    <w:rsid w:val="00405B16"/>
    <w:rsid w:val="00406465"/>
    <w:rsid w:val="004065B1"/>
    <w:rsid w:val="004069F2"/>
    <w:rsid w:val="00406EBF"/>
    <w:rsid w:val="00407AC4"/>
    <w:rsid w:val="00407E08"/>
    <w:rsid w:val="00410427"/>
    <w:rsid w:val="0041045C"/>
    <w:rsid w:val="00411310"/>
    <w:rsid w:val="00411641"/>
    <w:rsid w:val="00411660"/>
    <w:rsid w:val="00411796"/>
    <w:rsid w:val="00411F2B"/>
    <w:rsid w:val="0041243F"/>
    <w:rsid w:val="004129E2"/>
    <w:rsid w:val="0041349A"/>
    <w:rsid w:val="00413E0A"/>
    <w:rsid w:val="00414CF7"/>
    <w:rsid w:val="00415F15"/>
    <w:rsid w:val="004161B0"/>
    <w:rsid w:val="00416593"/>
    <w:rsid w:val="00416A6C"/>
    <w:rsid w:val="00417459"/>
    <w:rsid w:val="00417F8B"/>
    <w:rsid w:val="00420C5C"/>
    <w:rsid w:val="00420E22"/>
    <w:rsid w:val="004215EC"/>
    <w:rsid w:val="004223F5"/>
    <w:rsid w:val="00422926"/>
    <w:rsid w:val="00422BF4"/>
    <w:rsid w:val="004233FB"/>
    <w:rsid w:val="00423770"/>
    <w:rsid w:val="00423C01"/>
    <w:rsid w:val="0042415E"/>
    <w:rsid w:val="00424C74"/>
    <w:rsid w:val="00424E83"/>
    <w:rsid w:val="00425238"/>
    <w:rsid w:val="0042570E"/>
    <w:rsid w:val="004257F8"/>
    <w:rsid w:val="0042620B"/>
    <w:rsid w:val="00426472"/>
    <w:rsid w:val="004276B0"/>
    <w:rsid w:val="00427956"/>
    <w:rsid w:val="00427DD6"/>
    <w:rsid w:val="00427F65"/>
    <w:rsid w:val="004301C0"/>
    <w:rsid w:val="00430D5C"/>
    <w:rsid w:val="0043164B"/>
    <w:rsid w:val="00431701"/>
    <w:rsid w:val="00431C9A"/>
    <w:rsid w:val="00432353"/>
    <w:rsid w:val="0043277D"/>
    <w:rsid w:val="00432983"/>
    <w:rsid w:val="00432C60"/>
    <w:rsid w:val="00432E8A"/>
    <w:rsid w:val="00432F8E"/>
    <w:rsid w:val="004332DF"/>
    <w:rsid w:val="00433607"/>
    <w:rsid w:val="004352B9"/>
    <w:rsid w:val="00436908"/>
    <w:rsid w:val="00437106"/>
    <w:rsid w:val="00437935"/>
    <w:rsid w:val="00437AF6"/>
    <w:rsid w:val="0044106A"/>
    <w:rsid w:val="004415E7"/>
    <w:rsid w:val="004416D7"/>
    <w:rsid w:val="00443339"/>
    <w:rsid w:val="00444113"/>
    <w:rsid w:val="0044460E"/>
    <w:rsid w:val="00444A27"/>
    <w:rsid w:val="00444CDC"/>
    <w:rsid w:val="0044552D"/>
    <w:rsid w:val="00446479"/>
    <w:rsid w:val="004466E0"/>
    <w:rsid w:val="00446B3E"/>
    <w:rsid w:val="00446C81"/>
    <w:rsid w:val="00447213"/>
    <w:rsid w:val="00447769"/>
    <w:rsid w:val="00447824"/>
    <w:rsid w:val="00447832"/>
    <w:rsid w:val="00447D80"/>
    <w:rsid w:val="004504A0"/>
    <w:rsid w:val="004504CB"/>
    <w:rsid w:val="00450680"/>
    <w:rsid w:val="00450835"/>
    <w:rsid w:val="00450AD7"/>
    <w:rsid w:val="00450C4F"/>
    <w:rsid w:val="00450EA0"/>
    <w:rsid w:val="004528CF"/>
    <w:rsid w:val="004530D5"/>
    <w:rsid w:val="0045384D"/>
    <w:rsid w:val="00453E35"/>
    <w:rsid w:val="00454520"/>
    <w:rsid w:val="00454C2D"/>
    <w:rsid w:val="00455826"/>
    <w:rsid w:val="00455E3C"/>
    <w:rsid w:val="00455EE2"/>
    <w:rsid w:val="004563F9"/>
    <w:rsid w:val="004579C1"/>
    <w:rsid w:val="004611C4"/>
    <w:rsid w:val="00461AA0"/>
    <w:rsid w:val="0046219D"/>
    <w:rsid w:val="00462676"/>
    <w:rsid w:val="0046356E"/>
    <w:rsid w:val="0046375D"/>
    <w:rsid w:val="004645A3"/>
    <w:rsid w:val="0046473D"/>
    <w:rsid w:val="0046533D"/>
    <w:rsid w:val="00465A29"/>
    <w:rsid w:val="00466957"/>
    <w:rsid w:val="0047003E"/>
    <w:rsid w:val="00470425"/>
    <w:rsid w:val="0047046B"/>
    <w:rsid w:val="004711F3"/>
    <w:rsid w:val="00471AA2"/>
    <w:rsid w:val="00471FC7"/>
    <w:rsid w:val="004723EB"/>
    <w:rsid w:val="00472401"/>
    <w:rsid w:val="00472C6E"/>
    <w:rsid w:val="00473591"/>
    <w:rsid w:val="00474046"/>
    <w:rsid w:val="00474E27"/>
    <w:rsid w:val="00475294"/>
    <w:rsid w:val="00475544"/>
    <w:rsid w:val="00476A9D"/>
    <w:rsid w:val="00477C43"/>
    <w:rsid w:val="00477DA7"/>
    <w:rsid w:val="00477F15"/>
    <w:rsid w:val="00481612"/>
    <w:rsid w:val="0048233A"/>
    <w:rsid w:val="004826F3"/>
    <w:rsid w:val="00482854"/>
    <w:rsid w:val="00483166"/>
    <w:rsid w:val="00483654"/>
    <w:rsid w:val="00483CC0"/>
    <w:rsid w:val="00483F38"/>
    <w:rsid w:val="00484756"/>
    <w:rsid w:val="0048492E"/>
    <w:rsid w:val="00484ADD"/>
    <w:rsid w:val="00484BD8"/>
    <w:rsid w:val="004850BB"/>
    <w:rsid w:val="00485D55"/>
    <w:rsid w:val="00486F1A"/>
    <w:rsid w:val="004874D5"/>
    <w:rsid w:val="00487916"/>
    <w:rsid w:val="00487E1D"/>
    <w:rsid w:val="00490385"/>
    <w:rsid w:val="004904A7"/>
    <w:rsid w:val="00491576"/>
    <w:rsid w:val="004916F5"/>
    <w:rsid w:val="00491A1E"/>
    <w:rsid w:val="00491E1E"/>
    <w:rsid w:val="00492241"/>
    <w:rsid w:val="00492CF7"/>
    <w:rsid w:val="00492D0A"/>
    <w:rsid w:val="0049459F"/>
    <w:rsid w:val="00495D37"/>
    <w:rsid w:val="00495FF6"/>
    <w:rsid w:val="00496381"/>
    <w:rsid w:val="00497D79"/>
    <w:rsid w:val="004A0678"/>
    <w:rsid w:val="004A0BBA"/>
    <w:rsid w:val="004A0FC2"/>
    <w:rsid w:val="004A2041"/>
    <w:rsid w:val="004A2CB1"/>
    <w:rsid w:val="004A3CBF"/>
    <w:rsid w:val="004A3FFE"/>
    <w:rsid w:val="004A46DA"/>
    <w:rsid w:val="004A556F"/>
    <w:rsid w:val="004A5F5A"/>
    <w:rsid w:val="004A76B0"/>
    <w:rsid w:val="004B014A"/>
    <w:rsid w:val="004B021C"/>
    <w:rsid w:val="004B3AC7"/>
    <w:rsid w:val="004B40E4"/>
    <w:rsid w:val="004B4823"/>
    <w:rsid w:val="004B484C"/>
    <w:rsid w:val="004B4AD8"/>
    <w:rsid w:val="004B4D6C"/>
    <w:rsid w:val="004B57B5"/>
    <w:rsid w:val="004B58EF"/>
    <w:rsid w:val="004B595B"/>
    <w:rsid w:val="004B5E38"/>
    <w:rsid w:val="004B676B"/>
    <w:rsid w:val="004B70F3"/>
    <w:rsid w:val="004B7FB4"/>
    <w:rsid w:val="004C04C4"/>
    <w:rsid w:val="004C06E2"/>
    <w:rsid w:val="004C2318"/>
    <w:rsid w:val="004C301A"/>
    <w:rsid w:val="004C3030"/>
    <w:rsid w:val="004C373F"/>
    <w:rsid w:val="004C4618"/>
    <w:rsid w:val="004C5494"/>
    <w:rsid w:val="004C65D6"/>
    <w:rsid w:val="004C6A4C"/>
    <w:rsid w:val="004C76F6"/>
    <w:rsid w:val="004C775A"/>
    <w:rsid w:val="004C7764"/>
    <w:rsid w:val="004D06A4"/>
    <w:rsid w:val="004D0CBD"/>
    <w:rsid w:val="004D1251"/>
    <w:rsid w:val="004D14E1"/>
    <w:rsid w:val="004D1C4E"/>
    <w:rsid w:val="004D2009"/>
    <w:rsid w:val="004D2036"/>
    <w:rsid w:val="004D2193"/>
    <w:rsid w:val="004D47FF"/>
    <w:rsid w:val="004D4AB2"/>
    <w:rsid w:val="004D6522"/>
    <w:rsid w:val="004D69D0"/>
    <w:rsid w:val="004D7059"/>
    <w:rsid w:val="004E052A"/>
    <w:rsid w:val="004E1B6B"/>
    <w:rsid w:val="004E2ADD"/>
    <w:rsid w:val="004E3706"/>
    <w:rsid w:val="004E40CE"/>
    <w:rsid w:val="004E451B"/>
    <w:rsid w:val="004E4BE1"/>
    <w:rsid w:val="004E4F36"/>
    <w:rsid w:val="004E575A"/>
    <w:rsid w:val="004E58E7"/>
    <w:rsid w:val="004E5BC7"/>
    <w:rsid w:val="004E675A"/>
    <w:rsid w:val="004F060F"/>
    <w:rsid w:val="004F0900"/>
    <w:rsid w:val="004F0B3B"/>
    <w:rsid w:val="004F2490"/>
    <w:rsid w:val="004F24C5"/>
    <w:rsid w:val="004F2519"/>
    <w:rsid w:val="004F3005"/>
    <w:rsid w:val="004F31D0"/>
    <w:rsid w:val="004F5110"/>
    <w:rsid w:val="004F5AB8"/>
    <w:rsid w:val="004F6270"/>
    <w:rsid w:val="004F65E7"/>
    <w:rsid w:val="004F7018"/>
    <w:rsid w:val="0050099A"/>
    <w:rsid w:val="005009C2"/>
    <w:rsid w:val="005017FA"/>
    <w:rsid w:val="00501BF5"/>
    <w:rsid w:val="00501CF4"/>
    <w:rsid w:val="0050309F"/>
    <w:rsid w:val="00503D59"/>
    <w:rsid w:val="00504840"/>
    <w:rsid w:val="00504D3B"/>
    <w:rsid w:val="005062DB"/>
    <w:rsid w:val="005073D8"/>
    <w:rsid w:val="00511AED"/>
    <w:rsid w:val="00511F80"/>
    <w:rsid w:val="00512309"/>
    <w:rsid w:val="00513B5B"/>
    <w:rsid w:val="00513DA7"/>
    <w:rsid w:val="00513F53"/>
    <w:rsid w:val="005142ED"/>
    <w:rsid w:val="005145AE"/>
    <w:rsid w:val="00514B9C"/>
    <w:rsid w:val="00515187"/>
    <w:rsid w:val="00517353"/>
    <w:rsid w:val="0051756B"/>
    <w:rsid w:val="005175C1"/>
    <w:rsid w:val="00517F9D"/>
    <w:rsid w:val="0052009D"/>
    <w:rsid w:val="005203AC"/>
    <w:rsid w:val="005209B7"/>
    <w:rsid w:val="00522392"/>
    <w:rsid w:val="005224A4"/>
    <w:rsid w:val="005229F2"/>
    <w:rsid w:val="005232C5"/>
    <w:rsid w:val="00523AF5"/>
    <w:rsid w:val="005253AE"/>
    <w:rsid w:val="00525A35"/>
    <w:rsid w:val="00525B10"/>
    <w:rsid w:val="0052611C"/>
    <w:rsid w:val="00526483"/>
    <w:rsid w:val="00526DF8"/>
    <w:rsid w:val="00527EBA"/>
    <w:rsid w:val="00530B47"/>
    <w:rsid w:val="00531371"/>
    <w:rsid w:val="005313CA"/>
    <w:rsid w:val="00531E6A"/>
    <w:rsid w:val="00532002"/>
    <w:rsid w:val="005322A3"/>
    <w:rsid w:val="005333D3"/>
    <w:rsid w:val="00533985"/>
    <w:rsid w:val="00534889"/>
    <w:rsid w:val="00534B57"/>
    <w:rsid w:val="00534D89"/>
    <w:rsid w:val="005366A9"/>
    <w:rsid w:val="005368BB"/>
    <w:rsid w:val="00536C1C"/>
    <w:rsid w:val="00536D99"/>
    <w:rsid w:val="005375B0"/>
    <w:rsid w:val="00540199"/>
    <w:rsid w:val="00541D00"/>
    <w:rsid w:val="00542463"/>
    <w:rsid w:val="0054255D"/>
    <w:rsid w:val="00542A07"/>
    <w:rsid w:val="00542BF0"/>
    <w:rsid w:val="005434B0"/>
    <w:rsid w:val="00543CFB"/>
    <w:rsid w:val="0054516C"/>
    <w:rsid w:val="00545891"/>
    <w:rsid w:val="00545BF5"/>
    <w:rsid w:val="00546380"/>
    <w:rsid w:val="005463E7"/>
    <w:rsid w:val="00547E2C"/>
    <w:rsid w:val="00547F4D"/>
    <w:rsid w:val="0055048D"/>
    <w:rsid w:val="00550769"/>
    <w:rsid w:val="00551844"/>
    <w:rsid w:val="00551CF8"/>
    <w:rsid w:val="00552952"/>
    <w:rsid w:val="00552C55"/>
    <w:rsid w:val="0055369F"/>
    <w:rsid w:val="005542DD"/>
    <w:rsid w:val="0055448E"/>
    <w:rsid w:val="005546EB"/>
    <w:rsid w:val="00554E09"/>
    <w:rsid w:val="005554AD"/>
    <w:rsid w:val="00555F55"/>
    <w:rsid w:val="0055601F"/>
    <w:rsid w:val="005561C0"/>
    <w:rsid w:val="00556E79"/>
    <w:rsid w:val="00557908"/>
    <w:rsid w:val="00557919"/>
    <w:rsid w:val="005609B6"/>
    <w:rsid w:val="00561218"/>
    <w:rsid w:val="005616E7"/>
    <w:rsid w:val="005625C2"/>
    <w:rsid w:val="00562D5C"/>
    <w:rsid w:val="00562DE5"/>
    <w:rsid w:val="005634C5"/>
    <w:rsid w:val="005638CA"/>
    <w:rsid w:val="005642F1"/>
    <w:rsid w:val="00564482"/>
    <w:rsid w:val="005644D7"/>
    <w:rsid w:val="005645F0"/>
    <w:rsid w:val="00565DBC"/>
    <w:rsid w:val="0056649C"/>
    <w:rsid w:val="00566AC8"/>
    <w:rsid w:val="00567867"/>
    <w:rsid w:val="00567CDA"/>
    <w:rsid w:val="00567FC0"/>
    <w:rsid w:val="005702A3"/>
    <w:rsid w:val="005707DA"/>
    <w:rsid w:val="005708CD"/>
    <w:rsid w:val="00570C29"/>
    <w:rsid w:val="00570DC0"/>
    <w:rsid w:val="00572EA7"/>
    <w:rsid w:val="00574935"/>
    <w:rsid w:val="00574D20"/>
    <w:rsid w:val="005750C2"/>
    <w:rsid w:val="0057519A"/>
    <w:rsid w:val="005752BD"/>
    <w:rsid w:val="00575B3D"/>
    <w:rsid w:val="00576DA8"/>
    <w:rsid w:val="00580A6D"/>
    <w:rsid w:val="005817B7"/>
    <w:rsid w:val="005829B5"/>
    <w:rsid w:val="00582DCE"/>
    <w:rsid w:val="0058319F"/>
    <w:rsid w:val="00583E75"/>
    <w:rsid w:val="00584214"/>
    <w:rsid w:val="005842A4"/>
    <w:rsid w:val="00584A90"/>
    <w:rsid w:val="00586853"/>
    <w:rsid w:val="0058785C"/>
    <w:rsid w:val="00587C08"/>
    <w:rsid w:val="005905F2"/>
    <w:rsid w:val="00590A3B"/>
    <w:rsid w:val="0059131A"/>
    <w:rsid w:val="005923FC"/>
    <w:rsid w:val="005926EA"/>
    <w:rsid w:val="0059382D"/>
    <w:rsid w:val="00593AE0"/>
    <w:rsid w:val="00593D06"/>
    <w:rsid w:val="00593D7F"/>
    <w:rsid w:val="00593F0A"/>
    <w:rsid w:val="0059657C"/>
    <w:rsid w:val="0059659C"/>
    <w:rsid w:val="005968F5"/>
    <w:rsid w:val="0059726A"/>
    <w:rsid w:val="005973E1"/>
    <w:rsid w:val="005974EA"/>
    <w:rsid w:val="00597A0A"/>
    <w:rsid w:val="005A0C34"/>
    <w:rsid w:val="005A0E4F"/>
    <w:rsid w:val="005A13DA"/>
    <w:rsid w:val="005A2227"/>
    <w:rsid w:val="005A246B"/>
    <w:rsid w:val="005A2EAF"/>
    <w:rsid w:val="005A3A80"/>
    <w:rsid w:val="005A3BA5"/>
    <w:rsid w:val="005A3E5D"/>
    <w:rsid w:val="005A4284"/>
    <w:rsid w:val="005A53A2"/>
    <w:rsid w:val="005A551A"/>
    <w:rsid w:val="005A61AA"/>
    <w:rsid w:val="005A61B5"/>
    <w:rsid w:val="005B17C6"/>
    <w:rsid w:val="005B1BAB"/>
    <w:rsid w:val="005B1F5D"/>
    <w:rsid w:val="005B2243"/>
    <w:rsid w:val="005B24C3"/>
    <w:rsid w:val="005B2EB7"/>
    <w:rsid w:val="005B2FFB"/>
    <w:rsid w:val="005B341E"/>
    <w:rsid w:val="005B36A3"/>
    <w:rsid w:val="005B3C2D"/>
    <w:rsid w:val="005B456C"/>
    <w:rsid w:val="005B4687"/>
    <w:rsid w:val="005B48A5"/>
    <w:rsid w:val="005B528D"/>
    <w:rsid w:val="005B58CC"/>
    <w:rsid w:val="005B596D"/>
    <w:rsid w:val="005B59E0"/>
    <w:rsid w:val="005B5D26"/>
    <w:rsid w:val="005B6776"/>
    <w:rsid w:val="005B6AE1"/>
    <w:rsid w:val="005B6B64"/>
    <w:rsid w:val="005B6F71"/>
    <w:rsid w:val="005B707E"/>
    <w:rsid w:val="005B78A4"/>
    <w:rsid w:val="005B7D9B"/>
    <w:rsid w:val="005B7F4D"/>
    <w:rsid w:val="005C03C0"/>
    <w:rsid w:val="005C0863"/>
    <w:rsid w:val="005C193D"/>
    <w:rsid w:val="005C201A"/>
    <w:rsid w:val="005C397D"/>
    <w:rsid w:val="005C4B82"/>
    <w:rsid w:val="005C540D"/>
    <w:rsid w:val="005C5946"/>
    <w:rsid w:val="005C5FFF"/>
    <w:rsid w:val="005C6252"/>
    <w:rsid w:val="005C62FB"/>
    <w:rsid w:val="005C6313"/>
    <w:rsid w:val="005C6E4B"/>
    <w:rsid w:val="005C6FF3"/>
    <w:rsid w:val="005C73DB"/>
    <w:rsid w:val="005C7D19"/>
    <w:rsid w:val="005D011A"/>
    <w:rsid w:val="005D05E9"/>
    <w:rsid w:val="005D0ABA"/>
    <w:rsid w:val="005D0B79"/>
    <w:rsid w:val="005D0EAB"/>
    <w:rsid w:val="005D15C7"/>
    <w:rsid w:val="005D17F0"/>
    <w:rsid w:val="005D19A2"/>
    <w:rsid w:val="005D1B10"/>
    <w:rsid w:val="005D2F92"/>
    <w:rsid w:val="005D30B0"/>
    <w:rsid w:val="005D3B94"/>
    <w:rsid w:val="005D3C8F"/>
    <w:rsid w:val="005D4131"/>
    <w:rsid w:val="005D44EA"/>
    <w:rsid w:val="005D4E18"/>
    <w:rsid w:val="005D538C"/>
    <w:rsid w:val="005D5429"/>
    <w:rsid w:val="005D54AE"/>
    <w:rsid w:val="005D564E"/>
    <w:rsid w:val="005D6A7F"/>
    <w:rsid w:val="005D7C11"/>
    <w:rsid w:val="005D7F10"/>
    <w:rsid w:val="005E014C"/>
    <w:rsid w:val="005E2942"/>
    <w:rsid w:val="005E2955"/>
    <w:rsid w:val="005E298B"/>
    <w:rsid w:val="005E2AE6"/>
    <w:rsid w:val="005E2D87"/>
    <w:rsid w:val="005E3016"/>
    <w:rsid w:val="005E37C9"/>
    <w:rsid w:val="005E3BEE"/>
    <w:rsid w:val="005E3D19"/>
    <w:rsid w:val="005E3E20"/>
    <w:rsid w:val="005E43E4"/>
    <w:rsid w:val="005E5BE1"/>
    <w:rsid w:val="005E64E5"/>
    <w:rsid w:val="005E68BA"/>
    <w:rsid w:val="005E77BD"/>
    <w:rsid w:val="005E799D"/>
    <w:rsid w:val="005E7ACC"/>
    <w:rsid w:val="005F082B"/>
    <w:rsid w:val="005F1538"/>
    <w:rsid w:val="005F162B"/>
    <w:rsid w:val="005F167A"/>
    <w:rsid w:val="005F1C11"/>
    <w:rsid w:val="005F2797"/>
    <w:rsid w:val="005F3755"/>
    <w:rsid w:val="005F4033"/>
    <w:rsid w:val="005F4960"/>
    <w:rsid w:val="005F50EB"/>
    <w:rsid w:val="005F57FB"/>
    <w:rsid w:val="005F5DF4"/>
    <w:rsid w:val="005F671C"/>
    <w:rsid w:val="005F6CB0"/>
    <w:rsid w:val="005F7255"/>
    <w:rsid w:val="005F7DAD"/>
    <w:rsid w:val="00600E4A"/>
    <w:rsid w:val="00600EC7"/>
    <w:rsid w:val="00601192"/>
    <w:rsid w:val="006015AF"/>
    <w:rsid w:val="006020B1"/>
    <w:rsid w:val="006021F4"/>
    <w:rsid w:val="00602E1E"/>
    <w:rsid w:val="00604101"/>
    <w:rsid w:val="0060422B"/>
    <w:rsid w:val="00604AAA"/>
    <w:rsid w:val="00606B9C"/>
    <w:rsid w:val="006071EF"/>
    <w:rsid w:val="00607B29"/>
    <w:rsid w:val="00607F08"/>
    <w:rsid w:val="00610597"/>
    <w:rsid w:val="0061069E"/>
    <w:rsid w:val="006108D5"/>
    <w:rsid w:val="00610919"/>
    <w:rsid w:val="006113FE"/>
    <w:rsid w:val="006117FC"/>
    <w:rsid w:val="0061220E"/>
    <w:rsid w:val="006125F0"/>
    <w:rsid w:val="00612652"/>
    <w:rsid w:val="00612822"/>
    <w:rsid w:val="006154D8"/>
    <w:rsid w:val="006156C3"/>
    <w:rsid w:val="006164E3"/>
    <w:rsid w:val="00616990"/>
    <w:rsid w:val="00616B85"/>
    <w:rsid w:val="0061752C"/>
    <w:rsid w:val="0061769B"/>
    <w:rsid w:val="006177ED"/>
    <w:rsid w:val="006178DC"/>
    <w:rsid w:val="006211EA"/>
    <w:rsid w:val="006214F3"/>
    <w:rsid w:val="00621E36"/>
    <w:rsid w:val="00622B58"/>
    <w:rsid w:val="00624376"/>
    <w:rsid w:val="0062437C"/>
    <w:rsid w:val="00624DE6"/>
    <w:rsid w:val="00625DA9"/>
    <w:rsid w:val="00626185"/>
    <w:rsid w:val="006261DA"/>
    <w:rsid w:val="006264E6"/>
    <w:rsid w:val="00626F6A"/>
    <w:rsid w:val="0063039C"/>
    <w:rsid w:val="006304DC"/>
    <w:rsid w:val="00630749"/>
    <w:rsid w:val="00631F26"/>
    <w:rsid w:val="006337B5"/>
    <w:rsid w:val="00633BD2"/>
    <w:rsid w:val="00633F1F"/>
    <w:rsid w:val="00634C78"/>
    <w:rsid w:val="00634FEB"/>
    <w:rsid w:val="006359E5"/>
    <w:rsid w:val="00635DA9"/>
    <w:rsid w:val="00636508"/>
    <w:rsid w:val="00636650"/>
    <w:rsid w:val="00636A33"/>
    <w:rsid w:val="00637747"/>
    <w:rsid w:val="00637910"/>
    <w:rsid w:val="00637AE8"/>
    <w:rsid w:val="00640428"/>
    <w:rsid w:val="006404CD"/>
    <w:rsid w:val="00640C52"/>
    <w:rsid w:val="00641647"/>
    <w:rsid w:val="00641911"/>
    <w:rsid w:val="00642193"/>
    <w:rsid w:val="00642FAD"/>
    <w:rsid w:val="006431EF"/>
    <w:rsid w:val="006447E9"/>
    <w:rsid w:val="006447F0"/>
    <w:rsid w:val="0064546A"/>
    <w:rsid w:val="00646633"/>
    <w:rsid w:val="006466C8"/>
    <w:rsid w:val="0064765B"/>
    <w:rsid w:val="0064768D"/>
    <w:rsid w:val="00650019"/>
    <w:rsid w:val="00651470"/>
    <w:rsid w:val="00651574"/>
    <w:rsid w:val="00651AE9"/>
    <w:rsid w:val="006526F9"/>
    <w:rsid w:val="00652BBF"/>
    <w:rsid w:val="00653A3B"/>
    <w:rsid w:val="00653DCE"/>
    <w:rsid w:val="00654846"/>
    <w:rsid w:val="006550B9"/>
    <w:rsid w:val="006564C4"/>
    <w:rsid w:val="006568DD"/>
    <w:rsid w:val="006572F9"/>
    <w:rsid w:val="0065797F"/>
    <w:rsid w:val="00657BB2"/>
    <w:rsid w:val="00661A12"/>
    <w:rsid w:val="00661F81"/>
    <w:rsid w:val="006622CA"/>
    <w:rsid w:val="006626A1"/>
    <w:rsid w:val="00662F09"/>
    <w:rsid w:val="006631FB"/>
    <w:rsid w:val="00663E75"/>
    <w:rsid w:val="00664372"/>
    <w:rsid w:val="00664F57"/>
    <w:rsid w:val="0066534D"/>
    <w:rsid w:val="006658E4"/>
    <w:rsid w:val="006667AC"/>
    <w:rsid w:val="00666D67"/>
    <w:rsid w:val="0066712D"/>
    <w:rsid w:val="00667FA4"/>
    <w:rsid w:val="00670ADB"/>
    <w:rsid w:val="006714AF"/>
    <w:rsid w:val="00671E86"/>
    <w:rsid w:val="0067222B"/>
    <w:rsid w:val="0067261E"/>
    <w:rsid w:val="00672E6C"/>
    <w:rsid w:val="00673CC3"/>
    <w:rsid w:val="00673E78"/>
    <w:rsid w:val="00675118"/>
    <w:rsid w:val="0067542A"/>
    <w:rsid w:val="006755B6"/>
    <w:rsid w:val="0067582E"/>
    <w:rsid w:val="0067612C"/>
    <w:rsid w:val="00676168"/>
    <w:rsid w:val="00676AE2"/>
    <w:rsid w:val="00676FA7"/>
    <w:rsid w:val="006775FF"/>
    <w:rsid w:val="00680DC5"/>
    <w:rsid w:val="006824A7"/>
    <w:rsid w:val="0068357C"/>
    <w:rsid w:val="00684CBF"/>
    <w:rsid w:val="00684E18"/>
    <w:rsid w:val="00685511"/>
    <w:rsid w:val="0068641F"/>
    <w:rsid w:val="00686619"/>
    <w:rsid w:val="0068686C"/>
    <w:rsid w:val="00686B0B"/>
    <w:rsid w:val="00686B34"/>
    <w:rsid w:val="00686E8F"/>
    <w:rsid w:val="00687265"/>
    <w:rsid w:val="006872E1"/>
    <w:rsid w:val="006878B3"/>
    <w:rsid w:val="00690020"/>
    <w:rsid w:val="00691125"/>
    <w:rsid w:val="0069118F"/>
    <w:rsid w:val="006919BB"/>
    <w:rsid w:val="00691A49"/>
    <w:rsid w:val="00691B14"/>
    <w:rsid w:val="006922EA"/>
    <w:rsid w:val="00692CCE"/>
    <w:rsid w:val="006930FD"/>
    <w:rsid w:val="00693253"/>
    <w:rsid w:val="006932A1"/>
    <w:rsid w:val="00693572"/>
    <w:rsid w:val="00693B0A"/>
    <w:rsid w:val="00693CB1"/>
    <w:rsid w:val="00693F1C"/>
    <w:rsid w:val="00693FD8"/>
    <w:rsid w:val="00693FED"/>
    <w:rsid w:val="0069433E"/>
    <w:rsid w:val="006953D5"/>
    <w:rsid w:val="00695B37"/>
    <w:rsid w:val="00695F01"/>
    <w:rsid w:val="006968E9"/>
    <w:rsid w:val="00696A25"/>
    <w:rsid w:val="0069744B"/>
    <w:rsid w:val="006A0313"/>
    <w:rsid w:val="006A0661"/>
    <w:rsid w:val="006A06A1"/>
    <w:rsid w:val="006A1600"/>
    <w:rsid w:val="006A1FA6"/>
    <w:rsid w:val="006A1FFF"/>
    <w:rsid w:val="006A2783"/>
    <w:rsid w:val="006A3403"/>
    <w:rsid w:val="006A3638"/>
    <w:rsid w:val="006A3BFC"/>
    <w:rsid w:val="006A3ED0"/>
    <w:rsid w:val="006A4335"/>
    <w:rsid w:val="006A5483"/>
    <w:rsid w:val="006A590F"/>
    <w:rsid w:val="006A59C0"/>
    <w:rsid w:val="006A6902"/>
    <w:rsid w:val="006A6E53"/>
    <w:rsid w:val="006A6FA3"/>
    <w:rsid w:val="006B022B"/>
    <w:rsid w:val="006B0999"/>
    <w:rsid w:val="006B1070"/>
    <w:rsid w:val="006B2547"/>
    <w:rsid w:val="006B2F09"/>
    <w:rsid w:val="006B30CA"/>
    <w:rsid w:val="006B33F5"/>
    <w:rsid w:val="006B4684"/>
    <w:rsid w:val="006B4D3E"/>
    <w:rsid w:val="006B51F2"/>
    <w:rsid w:val="006B570F"/>
    <w:rsid w:val="006B5822"/>
    <w:rsid w:val="006B593F"/>
    <w:rsid w:val="006B75E3"/>
    <w:rsid w:val="006C03F3"/>
    <w:rsid w:val="006C0EEF"/>
    <w:rsid w:val="006C28AE"/>
    <w:rsid w:val="006C3DD7"/>
    <w:rsid w:val="006C45D8"/>
    <w:rsid w:val="006C4613"/>
    <w:rsid w:val="006C4FB0"/>
    <w:rsid w:val="006C5F1D"/>
    <w:rsid w:val="006C76C4"/>
    <w:rsid w:val="006C7AB9"/>
    <w:rsid w:val="006C7C6D"/>
    <w:rsid w:val="006D0ADA"/>
    <w:rsid w:val="006D0AEF"/>
    <w:rsid w:val="006D1F8C"/>
    <w:rsid w:val="006D2386"/>
    <w:rsid w:val="006D2C11"/>
    <w:rsid w:val="006D358A"/>
    <w:rsid w:val="006D3930"/>
    <w:rsid w:val="006D398A"/>
    <w:rsid w:val="006D3A30"/>
    <w:rsid w:val="006D5322"/>
    <w:rsid w:val="006D5905"/>
    <w:rsid w:val="006D5EFD"/>
    <w:rsid w:val="006D6AD1"/>
    <w:rsid w:val="006D7FC7"/>
    <w:rsid w:val="006E03F0"/>
    <w:rsid w:val="006E09D6"/>
    <w:rsid w:val="006E1136"/>
    <w:rsid w:val="006E1B37"/>
    <w:rsid w:val="006E1D98"/>
    <w:rsid w:val="006E1F57"/>
    <w:rsid w:val="006E25D3"/>
    <w:rsid w:val="006E2921"/>
    <w:rsid w:val="006E2CF9"/>
    <w:rsid w:val="006E3437"/>
    <w:rsid w:val="006E37D8"/>
    <w:rsid w:val="006E4E5B"/>
    <w:rsid w:val="006E5344"/>
    <w:rsid w:val="006E5AE4"/>
    <w:rsid w:val="006E6755"/>
    <w:rsid w:val="006E69E9"/>
    <w:rsid w:val="006E6C64"/>
    <w:rsid w:val="006E72BF"/>
    <w:rsid w:val="006E73F9"/>
    <w:rsid w:val="006E7ACC"/>
    <w:rsid w:val="006E7ECA"/>
    <w:rsid w:val="006F02CA"/>
    <w:rsid w:val="006F0DD3"/>
    <w:rsid w:val="006F111B"/>
    <w:rsid w:val="006F1134"/>
    <w:rsid w:val="006F1589"/>
    <w:rsid w:val="006F1AB8"/>
    <w:rsid w:val="006F1EBD"/>
    <w:rsid w:val="006F23F1"/>
    <w:rsid w:val="006F29C2"/>
    <w:rsid w:val="006F38E6"/>
    <w:rsid w:val="006F396D"/>
    <w:rsid w:val="006F43C2"/>
    <w:rsid w:val="006F45D2"/>
    <w:rsid w:val="006F57BB"/>
    <w:rsid w:val="006F6054"/>
    <w:rsid w:val="006F67DE"/>
    <w:rsid w:val="006F6F49"/>
    <w:rsid w:val="006F7891"/>
    <w:rsid w:val="006F7D90"/>
    <w:rsid w:val="006F7DF2"/>
    <w:rsid w:val="007006F5"/>
    <w:rsid w:val="00700945"/>
    <w:rsid w:val="00700D8B"/>
    <w:rsid w:val="007017B3"/>
    <w:rsid w:val="0070185D"/>
    <w:rsid w:val="0070279F"/>
    <w:rsid w:val="007027FB"/>
    <w:rsid w:val="00703E00"/>
    <w:rsid w:val="0070400B"/>
    <w:rsid w:val="00704072"/>
    <w:rsid w:val="007045F6"/>
    <w:rsid w:val="007049D8"/>
    <w:rsid w:val="00704D87"/>
    <w:rsid w:val="00705755"/>
    <w:rsid w:val="00705FD9"/>
    <w:rsid w:val="007063FB"/>
    <w:rsid w:val="00706D07"/>
    <w:rsid w:val="00707D51"/>
    <w:rsid w:val="007102F1"/>
    <w:rsid w:val="00710C7D"/>
    <w:rsid w:val="007115CE"/>
    <w:rsid w:val="00711BCB"/>
    <w:rsid w:val="00711BEE"/>
    <w:rsid w:val="007125A5"/>
    <w:rsid w:val="007139ED"/>
    <w:rsid w:val="00714054"/>
    <w:rsid w:val="0071448B"/>
    <w:rsid w:val="00714FC9"/>
    <w:rsid w:val="007157B6"/>
    <w:rsid w:val="00716D0C"/>
    <w:rsid w:val="00717322"/>
    <w:rsid w:val="00720556"/>
    <w:rsid w:val="007206FC"/>
    <w:rsid w:val="00720DBC"/>
    <w:rsid w:val="00720FCA"/>
    <w:rsid w:val="00721675"/>
    <w:rsid w:val="00721DD6"/>
    <w:rsid w:val="0072298B"/>
    <w:rsid w:val="007232F1"/>
    <w:rsid w:val="00723AB0"/>
    <w:rsid w:val="00723F2B"/>
    <w:rsid w:val="007240B4"/>
    <w:rsid w:val="00724314"/>
    <w:rsid w:val="00724A67"/>
    <w:rsid w:val="00724FAC"/>
    <w:rsid w:val="00725221"/>
    <w:rsid w:val="00725AB2"/>
    <w:rsid w:val="00726121"/>
    <w:rsid w:val="00726CE3"/>
    <w:rsid w:val="00730733"/>
    <w:rsid w:val="00730A94"/>
    <w:rsid w:val="00731627"/>
    <w:rsid w:val="007316FF"/>
    <w:rsid w:val="00732405"/>
    <w:rsid w:val="00732C87"/>
    <w:rsid w:val="00732F79"/>
    <w:rsid w:val="00733849"/>
    <w:rsid w:val="00733CA7"/>
    <w:rsid w:val="00733E26"/>
    <w:rsid w:val="00734A8B"/>
    <w:rsid w:val="00734B5C"/>
    <w:rsid w:val="00734E6E"/>
    <w:rsid w:val="0073539B"/>
    <w:rsid w:val="00735664"/>
    <w:rsid w:val="00735667"/>
    <w:rsid w:val="00735CB4"/>
    <w:rsid w:val="00735D32"/>
    <w:rsid w:val="007368E4"/>
    <w:rsid w:val="00736C93"/>
    <w:rsid w:val="0073742C"/>
    <w:rsid w:val="0073799B"/>
    <w:rsid w:val="007404D3"/>
    <w:rsid w:val="00740D55"/>
    <w:rsid w:val="00740DC7"/>
    <w:rsid w:val="00741AA6"/>
    <w:rsid w:val="00741DE9"/>
    <w:rsid w:val="007430F0"/>
    <w:rsid w:val="00743BAD"/>
    <w:rsid w:val="00743BB9"/>
    <w:rsid w:val="00743D52"/>
    <w:rsid w:val="0074484F"/>
    <w:rsid w:val="00745CA0"/>
    <w:rsid w:val="00746D6C"/>
    <w:rsid w:val="00747DBD"/>
    <w:rsid w:val="00750787"/>
    <w:rsid w:val="007509F7"/>
    <w:rsid w:val="00750FB5"/>
    <w:rsid w:val="00751754"/>
    <w:rsid w:val="00751A51"/>
    <w:rsid w:val="00752650"/>
    <w:rsid w:val="007529E9"/>
    <w:rsid w:val="0075303D"/>
    <w:rsid w:val="00753EB3"/>
    <w:rsid w:val="00753EDA"/>
    <w:rsid w:val="007546BC"/>
    <w:rsid w:val="00754AC1"/>
    <w:rsid w:val="00754E7B"/>
    <w:rsid w:val="00755229"/>
    <w:rsid w:val="0075546C"/>
    <w:rsid w:val="00755E4E"/>
    <w:rsid w:val="00756002"/>
    <w:rsid w:val="00756B57"/>
    <w:rsid w:val="007573BB"/>
    <w:rsid w:val="007575B5"/>
    <w:rsid w:val="00757764"/>
    <w:rsid w:val="007609E8"/>
    <w:rsid w:val="00761154"/>
    <w:rsid w:val="00761B6E"/>
    <w:rsid w:val="00761BDE"/>
    <w:rsid w:val="0076210D"/>
    <w:rsid w:val="007621BE"/>
    <w:rsid w:val="00762D97"/>
    <w:rsid w:val="00762EEB"/>
    <w:rsid w:val="0076342F"/>
    <w:rsid w:val="007643BB"/>
    <w:rsid w:val="00764C94"/>
    <w:rsid w:val="00765798"/>
    <w:rsid w:val="007661B0"/>
    <w:rsid w:val="00766BC4"/>
    <w:rsid w:val="00767519"/>
    <w:rsid w:val="00767CA0"/>
    <w:rsid w:val="00767F32"/>
    <w:rsid w:val="0077036A"/>
    <w:rsid w:val="0077036B"/>
    <w:rsid w:val="00770567"/>
    <w:rsid w:val="00770B39"/>
    <w:rsid w:val="00770E5E"/>
    <w:rsid w:val="00770ED8"/>
    <w:rsid w:val="00770FDA"/>
    <w:rsid w:val="00771EF5"/>
    <w:rsid w:val="007723A9"/>
    <w:rsid w:val="00772D8B"/>
    <w:rsid w:val="00773074"/>
    <w:rsid w:val="00773347"/>
    <w:rsid w:val="00773453"/>
    <w:rsid w:val="007735C8"/>
    <w:rsid w:val="007738F4"/>
    <w:rsid w:val="00774C51"/>
    <w:rsid w:val="00775500"/>
    <w:rsid w:val="007759B3"/>
    <w:rsid w:val="007775C0"/>
    <w:rsid w:val="00777BB6"/>
    <w:rsid w:val="00777CCC"/>
    <w:rsid w:val="00777FAA"/>
    <w:rsid w:val="00780472"/>
    <w:rsid w:val="00781EE7"/>
    <w:rsid w:val="0078210E"/>
    <w:rsid w:val="00782B40"/>
    <w:rsid w:val="00782B6D"/>
    <w:rsid w:val="007832D5"/>
    <w:rsid w:val="0078362A"/>
    <w:rsid w:val="00783672"/>
    <w:rsid w:val="007836AE"/>
    <w:rsid w:val="00783EEF"/>
    <w:rsid w:val="00784480"/>
    <w:rsid w:val="007850FD"/>
    <w:rsid w:val="0078521D"/>
    <w:rsid w:val="007864A7"/>
    <w:rsid w:val="007866AA"/>
    <w:rsid w:val="00787213"/>
    <w:rsid w:val="00787777"/>
    <w:rsid w:val="00790B7B"/>
    <w:rsid w:val="00791684"/>
    <w:rsid w:val="00791841"/>
    <w:rsid w:val="00792CFB"/>
    <w:rsid w:val="00792D08"/>
    <w:rsid w:val="007933EA"/>
    <w:rsid w:val="00793468"/>
    <w:rsid w:val="00793609"/>
    <w:rsid w:val="00793A45"/>
    <w:rsid w:val="007941BB"/>
    <w:rsid w:val="00794711"/>
    <w:rsid w:val="00796670"/>
    <w:rsid w:val="007976CB"/>
    <w:rsid w:val="007978C0"/>
    <w:rsid w:val="007978F7"/>
    <w:rsid w:val="00797E8A"/>
    <w:rsid w:val="007A165B"/>
    <w:rsid w:val="007A191D"/>
    <w:rsid w:val="007A30DA"/>
    <w:rsid w:val="007A386F"/>
    <w:rsid w:val="007A3C46"/>
    <w:rsid w:val="007A4461"/>
    <w:rsid w:val="007A4B8E"/>
    <w:rsid w:val="007A5276"/>
    <w:rsid w:val="007A5506"/>
    <w:rsid w:val="007A6D11"/>
    <w:rsid w:val="007A7831"/>
    <w:rsid w:val="007B0743"/>
    <w:rsid w:val="007B0B65"/>
    <w:rsid w:val="007B1D79"/>
    <w:rsid w:val="007B1DA7"/>
    <w:rsid w:val="007B34F8"/>
    <w:rsid w:val="007B3D68"/>
    <w:rsid w:val="007B3E8E"/>
    <w:rsid w:val="007B439D"/>
    <w:rsid w:val="007B4A13"/>
    <w:rsid w:val="007B4C80"/>
    <w:rsid w:val="007B4E93"/>
    <w:rsid w:val="007B508F"/>
    <w:rsid w:val="007B5CA3"/>
    <w:rsid w:val="007B5EFD"/>
    <w:rsid w:val="007B629D"/>
    <w:rsid w:val="007B6BFA"/>
    <w:rsid w:val="007B7360"/>
    <w:rsid w:val="007B7542"/>
    <w:rsid w:val="007B7862"/>
    <w:rsid w:val="007B7E43"/>
    <w:rsid w:val="007B7FC5"/>
    <w:rsid w:val="007C0692"/>
    <w:rsid w:val="007C09CA"/>
    <w:rsid w:val="007C0A5A"/>
    <w:rsid w:val="007C11A5"/>
    <w:rsid w:val="007C1AEA"/>
    <w:rsid w:val="007C25D0"/>
    <w:rsid w:val="007C2A65"/>
    <w:rsid w:val="007C2E99"/>
    <w:rsid w:val="007C37D2"/>
    <w:rsid w:val="007C38CC"/>
    <w:rsid w:val="007C4081"/>
    <w:rsid w:val="007C6C53"/>
    <w:rsid w:val="007C6E32"/>
    <w:rsid w:val="007C7780"/>
    <w:rsid w:val="007D064F"/>
    <w:rsid w:val="007D0BC9"/>
    <w:rsid w:val="007D20B8"/>
    <w:rsid w:val="007D2257"/>
    <w:rsid w:val="007D2286"/>
    <w:rsid w:val="007D25F5"/>
    <w:rsid w:val="007D2731"/>
    <w:rsid w:val="007D2B86"/>
    <w:rsid w:val="007D312C"/>
    <w:rsid w:val="007D326A"/>
    <w:rsid w:val="007D3B6B"/>
    <w:rsid w:val="007D4363"/>
    <w:rsid w:val="007D4DF1"/>
    <w:rsid w:val="007D50F3"/>
    <w:rsid w:val="007D6CB2"/>
    <w:rsid w:val="007D728E"/>
    <w:rsid w:val="007D7EF4"/>
    <w:rsid w:val="007E0099"/>
    <w:rsid w:val="007E0711"/>
    <w:rsid w:val="007E0A0A"/>
    <w:rsid w:val="007E0C39"/>
    <w:rsid w:val="007E146E"/>
    <w:rsid w:val="007E1ED0"/>
    <w:rsid w:val="007E1F32"/>
    <w:rsid w:val="007E312E"/>
    <w:rsid w:val="007E358C"/>
    <w:rsid w:val="007E3C78"/>
    <w:rsid w:val="007E45CF"/>
    <w:rsid w:val="007E4FF1"/>
    <w:rsid w:val="007E6517"/>
    <w:rsid w:val="007E658E"/>
    <w:rsid w:val="007E7550"/>
    <w:rsid w:val="007E7CF4"/>
    <w:rsid w:val="007F0EA1"/>
    <w:rsid w:val="007F15B7"/>
    <w:rsid w:val="007F17C5"/>
    <w:rsid w:val="007F1C8B"/>
    <w:rsid w:val="007F2E25"/>
    <w:rsid w:val="007F53C9"/>
    <w:rsid w:val="007F5910"/>
    <w:rsid w:val="007F636E"/>
    <w:rsid w:val="007F784B"/>
    <w:rsid w:val="007F7949"/>
    <w:rsid w:val="00800895"/>
    <w:rsid w:val="00801D63"/>
    <w:rsid w:val="00803650"/>
    <w:rsid w:val="00803FE5"/>
    <w:rsid w:val="008048B0"/>
    <w:rsid w:val="00805574"/>
    <w:rsid w:val="00805C72"/>
    <w:rsid w:val="00806846"/>
    <w:rsid w:val="00806FAF"/>
    <w:rsid w:val="00807C3F"/>
    <w:rsid w:val="008103CC"/>
    <w:rsid w:val="008106F4"/>
    <w:rsid w:val="008106FE"/>
    <w:rsid w:val="00810C68"/>
    <w:rsid w:val="0081194F"/>
    <w:rsid w:val="008119FB"/>
    <w:rsid w:val="008126AB"/>
    <w:rsid w:val="00812EC8"/>
    <w:rsid w:val="00812F6E"/>
    <w:rsid w:val="008152D8"/>
    <w:rsid w:val="00815AEA"/>
    <w:rsid w:val="008164AF"/>
    <w:rsid w:val="008169BF"/>
    <w:rsid w:val="00816E94"/>
    <w:rsid w:val="00817644"/>
    <w:rsid w:val="00820519"/>
    <w:rsid w:val="00820727"/>
    <w:rsid w:val="00820C24"/>
    <w:rsid w:val="008217A1"/>
    <w:rsid w:val="00821D8A"/>
    <w:rsid w:val="00822D75"/>
    <w:rsid w:val="0082375C"/>
    <w:rsid w:val="00824F00"/>
    <w:rsid w:val="00825316"/>
    <w:rsid w:val="008256AA"/>
    <w:rsid w:val="00825806"/>
    <w:rsid w:val="00825972"/>
    <w:rsid w:val="00825A4D"/>
    <w:rsid w:val="00825AB1"/>
    <w:rsid w:val="00825D04"/>
    <w:rsid w:val="008264D6"/>
    <w:rsid w:val="008265E7"/>
    <w:rsid w:val="008267CF"/>
    <w:rsid w:val="00826D20"/>
    <w:rsid w:val="00826F6B"/>
    <w:rsid w:val="00827A33"/>
    <w:rsid w:val="00827A78"/>
    <w:rsid w:val="00827D11"/>
    <w:rsid w:val="00827F5A"/>
    <w:rsid w:val="008310C1"/>
    <w:rsid w:val="008312EF"/>
    <w:rsid w:val="0083228E"/>
    <w:rsid w:val="00832BF9"/>
    <w:rsid w:val="00832C99"/>
    <w:rsid w:val="00833409"/>
    <w:rsid w:val="00834102"/>
    <w:rsid w:val="0083418E"/>
    <w:rsid w:val="0083598D"/>
    <w:rsid w:val="008369DD"/>
    <w:rsid w:val="0083710C"/>
    <w:rsid w:val="008405DF"/>
    <w:rsid w:val="00840760"/>
    <w:rsid w:val="00841B0E"/>
    <w:rsid w:val="008425E2"/>
    <w:rsid w:val="00844078"/>
    <w:rsid w:val="008447D7"/>
    <w:rsid w:val="008455A0"/>
    <w:rsid w:val="00845C73"/>
    <w:rsid w:val="008460D3"/>
    <w:rsid w:val="008478F5"/>
    <w:rsid w:val="00847DF3"/>
    <w:rsid w:val="00850018"/>
    <w:rsid w:val="0085085A"/>
    <w:rsid w:val="0085134B"/>
    <w:rsid w:val="00851959"/>
    <w:rsid w:val="00853E63"/>
    <w:rsid w:val="00854D0C"/>
    <w:rsid w:val="00855861"/>
    <w:rsid w:val="00855CC7"/>
    <w:rsid w:val="00855FAE"/>
    <w:rsid w:val="008564B9"/>
    <w:rsid w:val="00857F5A"/>
    <w:rsid w:val="0086134D"/>
    <w:rsid w:val="008613D1"/>
    <w:rsid w:val="00862B61"/>
    <w:rsid w:val="00862F6C"/>
    <w:rsid w:val="008635CF"/>
    <w:rsid w:val="00864DCF"/>
    <w:rsid w:val="0086543E"/>
    <w:rsid w:val="0086561A"/>
    <w:rsid w:val="00866919"/>
    <w:rsid w:val="008669CA"/>
    <w:rsid w:val="00866CCF"/>
    <w:rsid w:val="00867F4E"/>
    <w:rsid w:val="0087009D"/>
    <w:rsid w:val="008700B4"/>
    <w:rsid w:val="008703DA"/>
    <w:rsid w:val="008709DB"/>
    <w:rsid w:val="00871F14"/>
    <w:rsid w:val="0087297E"/>
    <w:rsid w:val="00872C64"/>
    <w:rsid w:val="0087462F"/>
    <w:rsid w:val="00874C19"/>
    <w:rsid w:val="00874FB6"/>
    <w:rsid w:val="00875247"/>
    <w:rsid w:val="0087596A"/>
    <w:rsid w:val="008759B6"/>
    <w:rsid w:val="008761A0"/>
    <w:rsid w:val="00876558"/>
    <w:rsid w:val="00877BAD"/>
    <w:rsid w:val="00880135"/>
    <w:rsid w:val="00880252"/>
    <w:rsid w:val="00880988"/>
    <w:rsid w:val="00880B25"/>
    <w:rsid w:val="00880D0E"/>
    <w:rsid w:val="00881FCF"/>
    <w:rsid w:val="008833B4"/>
    <w:rsid w:val="008834E4"/>
    <w:rsid w:val="008846A5"/>
    <w:rsid w:val="00884DB8"/>
    <w:rsid w:val="00885D43"/>
    <w:rsid w:val="00886DB0"/>
    <w:rsid w:val="00886EAF"/>
    <w:rsid w:val="00887204"/>
    <w:rsid w:val="00887645"/>
    <w:rsid w:val="00887781"/>
    <w:rsid w:val="00887899"/>
    <w:rsid w:val="00887FD8"/>
    <w:rsid w:val="0089091C"/>
    <w:rsid w:val="008910C1"/>
    <w:rsid w:val="00891341"/>
    <w:rsid w:val="00892BB6"/>
    <w:rsid w:val="0089312B"/>
    <w:rsid w:val="00893551"/>
    <w:rsid w:val="0089366F"/>
    <w:rsid w:val="00893A1D"/>
    <w:rsid w:val="00893A69"/>
    <w:rsid w:val="00893FC0"/>
    <w:rsid w:val="00894164"/>
    <w:rsid w:val="00894654"/>
    <w:rsid w:val="00894A8C"/>
    <w:rsid w:val="00894F2D"/>
    <w:rsid w:val="0089552F"/>
    <w:rsid w:val="008967BF"/>
    <w:rsid w:val="0089706A"/>
    <w:rsid w:val="00897755"/>
    <w:rsid w:val="008A04C7"/>
    <w:rsid w:val="008A16BD"/>
    <w:rsid w:val="008A1733"/>
    <w:rsid w:val="008A19C9"/>
    <w:rsid w:val="008A1B8D"/>
    <w:rsid w:val="008A1BA2"/>
    <w:rsid w:val="008A1CD6"/>
    <w:rsid w:val="008A1E93"/>
    <w:rsid w:val="008A305F"/>
    <w:rsid w:val="008A3AA9"/>
    <w:rsid w:val="008A424C"/>
    <w:rsid w:val="008A4295"/>
    <w:rsid w:val="008A497B"/>
    <w:rsid w:val="008A49EC"/>
    <w:rsid w:val="008A4E1F"/>
    <w:rsid w:val="008A5D66"/>
    <w:rsid w:val="008A6087"/>
    <w:rsid w:val="008A7396"/>
    <w:rsid w:val="008A7749"/>
    <w:rsid w:val="008A7974"/>
    <w:rsid w:val="008B00AE"/>
    <w:rsid w:val="008B133E"/>
    <w:rsid w:val="008B18E3"/>
    <w:rsid w:val="008B1986"/>
    <w:rsid w:val="008B1CB7"/>
    <w:rsid w:val="008B441D"/>
    <w:rsid w:val="008B4D7B"/>
    <w:rsid w:val="008B4E61"/>
    <w:rsid w:val="008B5614"/>
    <w:rsid w:val="008B5BCD"/>
    <w:rsid w:val="008B72C7"/>
    <w:rsid w:val="008B72CF"/>
    <w:rsid w:val="008C0029"/>
    <w:rsid w:val="008C01F2"/>
    <w:rsid w:val="008C0361"/>
    <w:rsid w:val="008C0675"/>
    <w:rsid w:val="008C097A"/>
    <w:rsid w:val="008C0E52"/>
    <w:rsid w:val="008C118A"/>
    <w:rsid w:val="008C15CC"/>
    <w:rsid w:val="008C2718"/>
    <w:rsid w:val="008C2D63"/>
    <w:rsid w:val="008C3236"/>
    <w:rsid w:val="008C3ED5"/>
    <w:rsid w:val="008C45A1"/>
    <w:rsid w:val="008C4740"/>
    <w:rsid w:val="008C496F"/>
    <w:rsid w:val="008C4A9D"/>
    <w:rsid w:val="008C4EB5"/>
    <w:rsid w:val="008C5D3D"/>
    <w:rsid w:val="008C6D7C"/>
    <w:rsid w:val="008C6E2A"/>
    <w:rsid w:val="008C75FB"/>
    <w:rsid w:val="008D00C4"/>
    <w:rsid w:val="008D0748"/>
    <w:rsid w:val="008D0FC0"/>
    <w:rsid w:val="008D1601"/>
    <w:rsid w:val="008D1E87"/>
    <w:rsid w:val="008D3C42"/>
    <w:rsid w:val="008D3F62"/>
    <w:rsid w:val="008D42E0"/>
    <w:rsid w:val="008D44AE"/>
    <w:rsid w:val="008D4A77"/>
    <w:rsid w:val="008D568B"/>
    <w:rsid w:val="008D60C2"/>
    <w:rsid w:val="008D61A1"/>
    <w:rsid w:val="008D626B"/>
    <w:rsid w:val="008D71CC"/>
    <w:rsid w:val="008D7383"/>
    <w:rsid w:val="008D7C86"/>
    <w:rsid w:val="008E148B"/>
    <w:rsid w:val="008E188C"/>
    <w:rsid w:val="008E1C49"/>
    <w:rsid w:val="008E1F3C"/>
    <w:rsid w:val="008E2E87"/>
    <w:rsid w:val="008E3C7F"/>
    <w:rsid w:val="008E4F5E"/>
    <w:rsid w:val="008E511D"/>
    <w:rsid w:val="008E5253"/>
    <w:rsid w:val="008E570C"/>
    <w:rsid w:val="008E6AD1"/>
    <w:rsid w:val="008E6C57"/>
    <w:rsid w:val="008E768B"/>
    <w:rsid w:val="008F0319"/>
    <w:rsid w:val="008F0D74"/>
    <w:rsid w:val="008F12C7"/>
    <w:rsid w:val="008F12EE"/>
    <w:rsid w:val="008F1468"/>
    <w:rsid w:val="008F1BB1"/>
    <w:rsid w:val="008F22E1"/>
    <w:rsid w:val="008F2722"/>
    <w:rsid w:val="008F282F"/>
    <w:rsid w:val="008F2E20"/>
    <w:rsid w:val="008F3357"/>
    <w:rsid w:val="008F3D25"/>
    <w:rsid w:val="008F4696"/>
    <w:rsid w:val="008F49A7"/>
    <w:rsid w:val="008F4A2D"/>
    <w:rsid w:val="008F5F07"/>
    <w:rsid w:val="008F6BAB"/>
    <w:rsid w:val="008F6F12"/>
    <w:rsid w:val="008F76B1"/>
    <w:rsid w:val="008F7DE7"/>
    <w:rsid w:val="009000B7"/>
    <w:rsid w:val="009005EB"/>
    <w:rsid w:val="009007EC"/>
    <w:rsid w:val="00900CF0"/>
    <w:rsid w:val="00900FA5"/>
    <w:rsid w:val="00901562"/>
    <w:rsid w:val="00902ABE"/>
    <w:rsid w:val="00902C05"/>
    <w:rsid w:val="009034AB"/>
    <w:rsid w:val="00903B25"/>
    <w:rsid w:val="00903FAF"/>
    <w:rsid w:val="00904663"/>
    <w:rsid w:val="00905BAE"/>
    <w:rsid w:val="009062F4"/>
    <w:rsid w:val="00906A79"/>
    <w:rsid w:val="00910050"/>
    <w:rsid w:val="00910BD4"/>
    <w:rsid w:val="00911168"/>
    <w:rsid w:val="00911544"/>
    <w:rsid w:val="00912533"/>
    <w:rsid w:val="009127D8"/>
    <w:rsid w:val="00913D5D"/>
    <w:rsid w:val="00914037"/>
    <w:rsid w:val="0091457E"/>
    <w:rsid w:val="009147AB"/>
    <w:rsid w:val="009156BD"/>
    <w:rsid w:val="009158C0"/>
    <w:rsid w:val="009158D1"/>
    <w:rsid w:val="009162A8"/>
    <w:rsid w:val="00916A30"/>
    <w:rsid w:val="00916EE1"/>
    <w:rsid w:val="0091747D"/>
    <w:rsid w:val="0092061F"/>
    <w:rsid w:val="00920789"/>
    <w:rsid w:val="00920FEE"/>
    <w:rsid w:val="00921A92"/>
    <w:rsid w:val="0092206C"/>
    <w:rsid w:val="00922B8C"/>
    <w:rsid w:val="00922BA8"/>
    <w:rsid w:val="0092415E"/>
    <w:rsid w:val="0092430B"/>
    <w:rsid w:val="009247D8"/>
    <w:rsid w:val="00924F30"/>
    <w:rsid w:val="009262CD"/>
    <w:rsid w:val="009264D0"/>
    <w:rsid w:val="0092658A"/>
    <w:rsid w:val="00926E82"/>
    <w:rsid w:val="009272A4"/>
    <w:rsid w:val="009275DA"/>
    <w:rsid w:val="00927AF2"/>
    <w:rsid w:val="00927BA2"/>
    <w:rsid w:val="00927D97"/>
    <w:rsid w:val="00930A5F"/>
    <w:rsid w:val="00930D31"/>
    <w:rsid w:val="00930E7A"/>
    <w:rsid w:val="00931403"/>
    <w:rsid w:val="009318D1"/>
    <w:rsid w:val="00931D45"/>
    <w:rsid w:val="009334FE"/>
    <w:rsid w:val="00933AB5"/>
    <w:rsid w:val="00933D00"/>
    <w:rsid w:val="00934F7A"/>
    <w:rsid w:val="00934F9E"/>
    <w:rsid w:val="009357A2"/>
    <w:rsid w:val="009357FD"/>
    <w:rsid w:val="009362C1"/>
    <w:rsid w:val="0093759D"/>
    <w:rsid w:val="00937D54"/>
    <w:rsid w:val="0094108F"/>
    <w:rsid w:val="009416DF"/>
    <w:rsid w:val="00941C63"/>
    <w:rsid w:val="009425E8"/>
    <w:rsid w:val="009427FB"/>
    <w:rsid w:val="00942938"/>
    <w:rsid w:val="00942A4A"/>
    <w:rsid w:val="00943295"/>
    <w:rsid w:val="009435BD"/>
    <w:rsid w:val="00943615"/>
    <w:rsid w:val="00944287"/>
    <w:rsid w:val="00944377"/>
    <w:rsid w:val="00944BCA"/>
    <w:rsid w:val="009459D4"/>
    <w:rsid w:val="00945F40"/>
    <w:rsid w:val="00947D72"/>
    <w:rsid w:val="00950359"/>
    <w:rsid w:val="00951751"/>
    <w:rsid w:val="009536A5"/>
    <w:rsid w:val="009547CB"/>
    <w:rsid w:val="00954D52"/>
    <w:rsid w:val="00955009"/>
    <w:rsid w:val="00955D07"/>
    <w:rsid w:val="009606E2"/>
    <w:rsid w:val="00960B6D"/>
    <w:rsid w:val="009618C7"/>
    <w:rsid w:val="00962B31"/>
    <w:rsid w:val="00962E42"/>
    <w:rsid w:val="00962F21"/>
    <w:rsid w:val="00963048"/>
    <w:rsid w:val="00963B6F"/>
    <w:rsid w:val="00964F28"/>
    <w:rsid w:val="00966861"/>
    <w:rsid w:val="00966D41"/>
    <w:rsid w:val="00967AFE"/>
    <w:rsid w:val="00970A68"/>
    <w:rsid w:val="0097124E"/>
    <w:rsid w:val="0097148C"/>
    <w:rsid w:val="009718B0"/>
    <w:rsid w:val="00971DE9"/>
    <w:rsid w:val="009721F9"/>
    <w:rsid w:val="0097341B"/>
    <w:rsid w:val="009734C9"/>
    <w:rsid w:val="00973780"/>
    <w:rsid w:val="00974973"/>
    <w:rsid w:val="00974C64"/>
    <w:rsid w:val="00974CC7"/>
    <w:rsid w:val="0097505A"/>
    <w:rsid w:val="0097551F"/>
    <w:rsid w:val="009758A9"/>
    <w:rsid w:val="0097618A"/>
    <w:rsid w:val="009763DF"/>
    <w:rsid w:val="00976E24"/>
    <w:rsid w:val="00977CCC"/>
    <w:rsid w:val="00980102"/>
    <w:rsid w:val="009803A9"/>
    <w:rsid w:val="00980FB9"/>
    <w:rsid w:val="0098130B"/>
    <w:rsid w:val="00981545"/>
    <w:rsid w:val="00981C03"/>
    <w:rsid w:val="0098255F"/>
    <w:rsid w:val="00982825"/>
    <w:rsid w:val="00982E06"/>
    <w:rsid w:val="009832C1"/>
    <w:rsid w:val="00983408"/>
    <w:rsid w:val="00983646"/>
    <w:rsid w:val="00983B19"/>
    <w:rsid w:val="00983CBA"/>
    <w:rsid w:val="00983D71"/>
    <w:rsid w:val="00984146"/>
    <w:rsid w:val="009844A1"/>
    <w:rsid w:val="00984B82"/>
    <w:rsid w:val="00984D2E"/>
    <w:rsid w:val="0098661E"/>
    <w:rsid w:val="00990AA9"/>
    <w:rsid w:val="00990CCE"/>
    <w:rsid w:val="00990FBC"/>
    <w:rsid w:val="00991211"/>
    <w:rsid w:val="00991CAE"/>
    <w:rsid w:val="00992225"/>
    <w:rsid w:val="009922B0"/>
    <w:rsid w:val="009925AE"/>
    <w:rsid w:val="00992C50"/>
    <w:rsid w:val="009935F8"/>
    <w:rsid w:val="00994441"/>
    <w:rsid w:val="009950CD"/>
    <w:rsid w:val="009952E4"/>
    <w:rsid w:val="009952EE"/>
    <w:rsid w:val="009954A0"/>
    <w:rsid w:val="00995F67"/>
    <w:rsid w:val="009966AB"/>
    <w:rsid w:val="009966D3"/>
    <w:rsid w:val="00997901"/>
    <w:rsid w:val="009A029D"/>
    <w:rsid w:val="009A0F2C"/>
    <w:rsid w:val="009A1019"/>
    <w:rsid w:val="009A1BEC"/>
    <w:rsid w:val="009A2A2E"/>
    <w:rsid w:val="009A2EC2"/>
    <w:rsid w:val="009A3454"/>
    <w:rsid w:val="009A4F09"/>
    <w:rsid w:val="009A60CA"/>
    <w:rsid w:val="009A7E61"/>
    <w:rsid w:val="009A7EFB"/>
    <w:rsid w:val="009B025C"/>
    <w:rsid w:val="009B0711"/>
    <w:rsid w:val="009B0884"/>
    <w:rsid w:val="009B0FC8"/>
    <w:rsid w:val="009B1084"/>
    <w:rsid w:val="009B1E76"/>
    <w:rsid w:val="009B2BA6"/>
    <w:rsid w:val="009B2F6C"/>
    <w:rsid w:val="009B4C9D"/>
    <w:rsid w:val="009B54A8"/>
    <w:rsid w:val="009B6570"/>
    <w:rsid w:val="009B67F3"/>
    <w:rsid w:val="009B7DB9"/>
    <w:rsid w:val="009C0317"/>
    <w:rsid w:val="009C05D4"/>
    <w:rsid w:val="009C0BAA"/>
    <w:rsid w:val="009C11CA"/>
    <w:rsid w:val="009C2185"/>
    <w:rsid w:val="009C307B"/>
    <w:rsid w:val="009C31EF"/>
    <w:rsid w:val="009C428C"/>
    <w:rsid w:val="009C4445"/>
    <w:rsid w:val="009C47A8"/>
    <w:rsid w:val="009C4E68"/>
    <w:rsid w:val="009C520B"/>
    <w:rsid w:val="009C5575"/>
    <w:rsid w:val="009C55AA"/>
    <w:rsid w:val="009C5D5E"/>
    <w:rsid w:val="009C5EE3"/>
    <w:rsid w:val="009C6627"/>
    <w:rsid w:val="009C6D40"/>
    <w:rsid w:val="009C6EA8"/>
    <w:rsid w:val="009C7406"/>
    <w:rsid w:val="009C7ACB"/>
    <w:rsid w:val="009D08E1"/>
    <w:rsid w:val="009D16BA"/>
    <w:rsid w:val="009D20D7"/>
    <w:rsid w:val="009D25B9"/>
    <w:rsid w:val="009D2D14"/>
    <w:rsid w:val="009D3007"/>
    <w:rsid w:val="009D319F"/>
    <w:rsid w:val="009D35C5"/>
    <w:rsid w:val="009D3865"/>
    <w:rsid w:val="009D393A"/>
    <w:rsid w:val="009D3B2D"/>
    <w:rsid w:val="009D4424"/>
    <w:rsid w:val="009D4429"/>
    <w:rsid w:val="009D4549"/>
    <w:rsid w:val="009D48BB"/>
    <w:rsid w:val="009D5949"/>
    <w:rsid w:val="009D5C6E"/>
    <w:rsid w:val="009D77AC"/>
    <w:rsid w:val="009E092A"/>
    <w:rsid w:val="009E0D75"/>
    <w:rsid w:val="009E115E"/>
    <w:rsid w:val="009E1EBA"/>
    <w:rsid w:val="009E1FC9"/>
    <w:rsid w:val="009E30E6"/>
    <w:rsid w:val="009E35A1"/>
    <w:rsid w:val="009E36FD"/>
    <w:rsid w:val="009E394A"/>
    <w:rsid w:val="009E4149"/>
    <w:rsid w:val="009E53EB"/>
    <w:rsid w:val="009E5CAE"/>
    <w:rsid w:val="009E62D0"/>
    <w:rsid w:val="009E66C4"/>
    <w:rsid w:val="009E67AE"/>
    <w:rsid w:val="009E67DA"/>
    <w:rsid w:val="009E7201"/>
    <w:rsid w:val="009E7463"/>
    <w:rsid w:val="009E760F"/>
    <w:rsid w:val="009E7DBE"/>
    <w:rsid w:val="009F0F37"/>
    <w:rsid w:val="009F20CA"/>
    <w:rsid w:val="009F3C02"/>
    <w:rsid w:val="009F472D"/>
    <w:rsid w:val="009F5E88"/>
    <w:rsid w:val="009F7F58"/>
    <w:rsid w:val="00A015AA"/>
    <w:rsid w:val="00A01DA8"/>
    <w:rsid w:val="00A0275F"/>
    <w:rsid w:val="00A02982"/>
    <w:rsid w:val="00A034A4"/>
    <w:rsid w:val="00A03A12"/>
    <w:rsid w:val="00A03F8B"/>
    <w:rsid w:val="00A04058"/>
    <w:rsid w:val="00A042C1"/>
    <w:rsid w:val="00A04457"/>
    <w:rsid w:val="00A0495D"/>
    <w:rsid w:val="00A050B7"/>
    <w:rsid w:val="00A05717"/>
    <w:rsid w:val="00A05F93"/>
    <w:rsid w:val="00A06E62"/>
    <w:rsid w:val="00A074B5"/>
    <w:rsid w:val="00A07A9C"/>
    <w:rsid w:val="00A07FE7"/>
    <w:rsid w:val="00A105F0"/>
    <w:rsid w:val="00A10609"/>
    <w:rsid w:val="00A10AAE"/>
    <w:rsid w:val="00A111AA"/>
    <w:rsid w:val="00A11299"/>
    <w:rsid w:val="00A11671"/>
    <w:rsid w:val="00A11E4A"/>
    <w:rsid w:val="00A120FA"/>
    <w:rsid w:val="00A13420"/>
    <w:rsid w:val="00A13D3E"/>
    <w:rsid w:val="00A1551B"/>
    <w:rsid w:val="00A1563B"/>
    <w:rsid w:val="00A156BE"/>
    <w:rsid w:val="00A15711"/>
    <w:rsid w:val="00A159E6"/>
    <w:rsid w:val="00A16296"/>
    <w:rsid w:val="00A162A4"/>
    <w:rsid w:val="00A20893"/>
    <w:rsid w:val="00A21444"/>
    <w:rsid w:val="00A216B1"/>
    <w:rsid w:val="00A2243E"/>
    <w:rsid w:val="00A229CA"/>
    <w:rsid w:val="00A24098"/>
    <w:rsid w:val="00A2480D"/>
    <w:rsid w:val="00A255C7"/>
    <w:rsid w:val="00A257EC"/>
    <w:rsid w:val="00A2628E"/>
    <w:rsid w:val="00A26ABE"/>
    <w:rsid w:val="00A26D70"/>
    <w:rsid w:val="00A27257"/>
    <w:rsid w:val="00A27618"/>
    <w:rsid w:val="00A27B98"/>
    <w:rsid w:val="00A3009F"/>
    <w:rsid w:val="00A300D3"/>
    <w:rsid w:val="00A3046B"/>
    <w:rsid w:val="00A304FE"/>
    <w:rsid w:val="00A30501"/>
    <w:rsid w:val="00A30BE9"/>
    <w:rsid w:val="00A31614"/>
    <w:rsid w:val="00A3251E"/>
    <w:rsid w:val="00A33A60"/>
    <w:rsid w:val="00A34283"/>
    <w:rsid w:val="00A345E9"/>
    <w:rsid w:val="00A347B5"/>
    <w:rsid w:val="00A35895"/>
    <w:rsid w:val="00A35931"/>
    <w:rsid w:val="00A35D9C"/>
    <w:rsid w:val="00A36437"/>
    <w:rsid w:val="00A37320"/>
    <w:rsid w:val="00A405EF"/>
    <w:rsid w:val="00A4195A"/>
    <w:rsid w:val="00A419A4"/>
    <w:rsid w:val="00A41A6F"/>
    <w:rsid w:val="00A438B0"/>
    <w:rsid w:val="00A43EDC"/>
    <w:rsid w:val="00A44972"/>
    <w:rsid w:val="00A44F90"/>
    <w:rsid w:val="00A45117"/>
    <w:rsid w:val="00A4568E"/>
    <w:rsid w:val="00A45D79"/>
    <w:rsid w:val="00A46014"/>
    <w:rsid w:val="00A460DB"/>
    <w:rsid w:val="00A46E70"/>
    <w:rsid w:val="00A46E7B"/>
    <w:rsid w:val="00A47254"/>
    <w:rsid w:val="00A477E8"/>
    <w:rsid w:val="00A50453"/>
    <w:rsid w:val="00A50987"/>
    <w:rsid w:val="00A50AAA"/>
    <w:rsid w:val="00A510D0"/>
    <w:rsid w:val="00A517C2"/>
    <w:rsid w:val="00A51CE2"/>
    <w:rsid w:val="00A51E3F"/>
    <w:rsid w:val="00A522E6"/>
    <w:rsid w:val="00A52364"/>
    <w:rsid w:val="00A52A41"/>
    <w:rsid w:val="00A54E17"/>
    <w:rsid w:val="00A55092"/>
    <w:rsid w:val="00A55BF1"/>
    <w:rsid w:val="00A56017"/>
    <w:rsid w:val="00A56078"/>
    <w:rsid w:val="00A562EE"/>
    <w:rsid w:val="00A56BC7"/>
    <w:rsid w:val="00A5797A"/>
    <w:rsid w:val="00A57E39"/>
    <w:rsid w:val="00A6125B"/>
    <w:rsid w:val="00A61A95"/>
    <w:rsid w:val="00A62287"/>
    <w:rsid w:val="00A62A7B"/>
    <w:rsid w:val="00A630C4"/>
    <w:rsid w:val="00A63DBF"/>
    <w:rsid w:val="00A65189"/>
    <w:rsid w:val="00A66027"/>
    <w:rsid w:val="00A6664A"/>
    <w:rsid w:val="00A6689D"/>
    <w:rsid w:val="00A7202B"/>
    <w:rsid w:val="00A72878"/>
    <w:rsid w:val="00A72B68"/>
    <w:rsid w:val="00A72BFF"/>
    <w:rsid w:val="00A7301D"/>
    <w:rsid w:val="00A7312F"/>
    <w:rsid w:val="00A733E2"/>
    <w:rsid w:val="00A737DA"/>
    <w:rsid w:val="00A73DBC"/>
    <w:rsid w:val="00A73F87"/>
    <w:rsid w:val="00A746EF"/>
    <w:rsid w:val="00A74FA7"/>
    <w:rsid w:val="00A7623A"/>
    <w:rsid w:val="00A76EF4"/>
    <w:rsid w:val="00A80399"/>
    <w:rsid w:val="00A80603"/>
    <w:rsid w:val="00A808B5"/>
    <w:rsid w:val="00A80E46"/>
    <w:rsid w:val="00A810E6"/>
    <w:rsid w:val="00A81D1F"/>
    <w:rsid w:val="00A82725"/>
    <w:rsid w:val="00A82D3A"/>
    <w:rsid w:val="00A830AA"/>
    <w:rsid w:val="00A831B7"/>
    <w:rsid w:val="00A8330D"/>
    <w:rsid w:val="00A834BE"/>
    <w:rsid w:val="00A83D2F"/>
    <w:rsid w:val="00A840E7"/>
    <w:rsid w:val="00A84108"/>
    <w:rsid w:val="00A845D3"/>
    <w:rsid w:val="00A8481E"/>
    <w:rsid w:val="00A84DAE"/>
    <w:rsid w:val="00A854F9"/>
    <w:rsid w:val="00A86104"/>
    <w:rsid w:val="00A862F0"/>
    <w:rsid w:val="00A868B9"/>
    <w:rsid w:val="00A86BB5"/>
    <w:rsid w:val="00A87091"/>
    <w:rsid w:val="00A87145"/>
    <w:rsid w:val="00A90198"/>
    <w:rsid w:val="00A90278"/>
    <w:rsid w:val="00A905EB"/>
    <w:rsid w:val="00A907DC"/>
    <w:rsid w:val="00A90966"/>
    <w:rsid w:val="00A9097D"/>
    <w:rsid w:val="00A91436"/>
    <w:rsid w:val="00A93567"/>
    <w:rsid w:val="00A93902"/>
    <w:rsid w:val="00A94158"/>
    <w:rsid w:val="00A94405"/>
    <w:rsid w:val="00A95479"/>
    <w:rsid w:val="00A95779"/>
    <w:rsid w:val="00A95BC0"/>
    <w:rsid w:val="00A9603C"/>
    <w:rsid w:val="00A960E7"/>
    <w:rsid w:val="00A9682D"/>
    <w:rsid w:val="00A96D1B"/>
    <w:rsid w:val="00AA0569"/>
    <w:rsid w:val="00AA057B"/>
    <w:rsid w:val="00AA08A6"/>
    <w:rsid w:val="00AA0F8F"/>
    <w:rsid w:val="00AA1CA3"/>
    <w:rsid w:val="00AA1D7C"/>
    <w:rsid w:val="00AA1E62"/>
    <w:rsid w:val="00AA2B60"/>
    <w:rsid w:val="00AA3180"/>
    <w:rsid w:val="00AA35C9"/>
    <w:rsid w:val="00AA3FBE"/>
    <w:rsid w:val="00AA4E23"/>
    <w:rsid w:val="00AA5178"/>
    <w:rsid w:val="00AA5978"/>
    <w:rsid w:val="00AA5D74"/>
    <w:rsid w:val="00AA60DB"/>
    <w:rsid w:val="00AA78F4"/>
    <w:rsid w:val="00AB03E1"/>
    <w:rsid w:val="00AB043B"/>
    <w:rsid w:val="00AB1067"/>
    <w:rsid w:val="00AB1229"/>
    <w:rsid w:val="00AB1BD7"/>
    <w:rsid w:val="00AB2367"/>
    <w:rsid w:val="00AB2373"/>
    <w:rsid w:val="00AB249D"/>
    <w:rsid w:val="00AB251A"/>
    <w:rsid w:val="00AB2E25"/>
    <w:rsid w:val="00AB3817"/>
    <w:rsid w:val="00AB3BFA"/>
    <w:rsid w:val="00AB48A7"/>
    <w:rsid w:val="00AB4A00"/>
    <w:rsid w:val="00AB59D7"/>
    <w:rsid w:val="00AB59F0"/>
    <w:rsid w:val="00AB6544"/>
    <w:rsid w:val="00AB699C"/>
    <w:rsid w:val="00AB6CCE"/>
    <w:rsid w:val="00AB7865"/>
    <w:rsid w:val="00AB7C0B"/>
    <w:rsid w:val="00AC01CB"/>
    <w:rsid w:val="00AC025E"/>
    <w:rsid w:val="00AC0CC3"/>
    <w:rsid w:val="00AC0DB2"/>
    <w:rsid w:val="00AC11FE"/>
    <w:rsid w:val="00AC3C13"/>
    <w:rsid w:val="00AC3E52"/>
    <w:rsid w:val="00AC40A5"/>
    <w:rsid w:val="00AC41BE"/>
    <w:rsid w:val="00AC430A"/>
    <w:rsid w:val="00AC49EA"/>
    <w:rsid w:val="00AC5E20"/>
    <w:rsid w:val="00AC65CF"/>
    <w:rsid w:val="00AC70C4"/>
    <w:rsid w:val="00AC70E1"/>
    <w:rsid w:val="00AC726D"/>
    <w:rsid w:val="00AC750A"/>
    <w:rsid w:val="00AD0338"/>
    <w:rsid w:val="00AD0430"/>
    <w:rsid w:val="00AD0495"/>
    <w:rsid w:val="00AD1297"/>
    <w:rsid w:val="00AD134C"/>
    <w:rsid w:val="00AD1BB5"/>
    <w:rsid w:val="00AD1E97"/>
    <w:rsid w:val="00AD20FE"/>
    <w:rsid w:val="00AD22CC"/>
    <w:rsid w:val="00AD28B4"/>
    <w:rsid w:val="00AD28CA"/>
    <w:rsid w:val="00AD3287"/>
    <w:rsid w:val="00AD350D"/>
    <w:rsid w:val="00AD3F49"/>
    <w:rsid w:val="00AD48C9"/>
    <w:rsid w:val="00AD5EEB"/>
    <w:rsid w:val="00AD61C6"/>
    <w:rsid w:val="00AD745E"/>
    <w:rsid w:val="00AD7BAC"/>
    <w:rsid w:val="00AE0C69"/>
    <w:rsid w:val="00AE0E54"/>
    <w:rsid w:val="00AE15B5"/>
    <w:rsid w:val="00AE3342"/>
    <w:rsid w:val="00AE5F78"/>
    <w:rsid w:val="00AE64F8"/>
    <w:rsid w:val="00AE6D74"/>
    <w:rsid w:val="00AE6ECF"/>
    <w:rsid w:val="00AE7056"/>
    <w:rsid w:val="00AE726D"/>
    <w:rsid w:val="00AE75CC"/>
    <w:rsid w:val="00AF0189"/>
    <w:rsid w:val="00AF0205"/>
    <w:rsid w:val="00AF0B8E"/>
    <w:rsid w:val="00AF0CB0"/>
    <w:rsid w:val="00AF0CEB"/>
    <w:rsid w:val="00AF0F8F"/>
    <w:rsid w:val="00AF10A1"/>
    <w:rsid w:val="00AF1321"/>
    <w:rsid w:val="00AF1389"/>
    <w:rsid w:val="00AF20A2"/>
    <w:rsid w:val="00AF24C3"/>
    <w:rsid w:val="00AF3018"/>
    <w:rsid w:val="00AF39D5"/>
    <w:rsid w:val="00AF3D64"/>
    <w:rsid w:val="00AF4135"/>
    <w:rsid w:val="00AF56E2"/>
    <w:rsid w:val="00AF593F"/>
    <w:rsid w:val="00AF5D36"/>
    <w:rsid w:val="00AF63B2"/>
    <w:rsid w:val="00AF72C3"/>
    <w:rsid w:val="00AF73D6"/>
    <w:rsid w:val="00B00A92"/>
    <w:rsid w:val="00B00EA0"/>
    <w:rsid w:val="00B0113B"/>
    <w:rsid w:val="00B0155F"/>
    <w:rsid w:val="00B01895"/>
    <w:rsid w:val="00B02020"/>
    <w:rsid w:val="00B03557"/>
    <w:rsid w:val="00B035A7"/>
    <w:rsid w:val="00B0398D"/>
    <w:rsid w:val="00B04D03"/>
    <w:rsid w:val="00B04EA4"/>
    <w:rsid w:val="00B05997"/>
    <w:rsid w:val="00B064D9"/>
    <w:rsid w:val="00B06B5F"/>
    <w:rsid w:val="00B06D2A"/>
    <w:rsid w:val="00B100CE"/>
    <w:rsid w:val="00B10243"/>
    <w:rsid w:val="00B1149A"/>
    <w:rsid w:val="00B1175F"/>
    <w:rsid w:val="00B117F2"/>
    <w:rsid w:val="00B11D68"/>
    <w:rsid w:val="00B12010"/>
    <w:rsid w:val="00B12443"/>
    <w:rsid w:val="00B1294B"/>
    <w:rsid w:val="00B1295C"/>
    <w:rsid w:val="00B129DD"/>
    <w:rsid w:val="00B1338E"/>
    <w:rsid w:val="00B141FE"/>
    <w:rsid w:val="00B14B39"/>
    <w:rsid w:val="00B15E5D"/>
    <w:rsid w:val="00B17F0E"/>
    <w:rsid w:val="00B227BD"/>
    <w:rsid w:val="00B23209"/>
    <w:rsid w:val="00B23350"/>
    <w:rsid w:val="00B2375B"/>
    <w:rsid w:val="00B2389C"/>
    <w:rsid w:val="00B23A22"/>
    <w:rsid w:val="00B244F2"/>
    <w:rsid w:val="00B246A2"/>
    <w:rsid w:val="00B24C9A"/>
    <w:rsid w:val="00B24E5D"/>
    <w:rsid w:val="00B2508B"/>
    <w:rsid w:val="00B256DA"/>
    <w:rsid w:val="00B2598B"/>
    <w:rsid w:val="00B269B3"/>
    <w:rsid w:val="00B26FD5"/>
    <w:rsid w:val="00B27261"/>
    <w:rsid w:val="00B2773D"/>
    <w:rsid w:val="00B27B70"/>
    <w:rsid w:val="00B3041A"/>
    <w:rsid w:val="00B30DC6"/>
    <w:rsid w:val="00B310C0"/>
    <w:rsid w:val="00B3175E"/>
    <w:rsid w:val="00B31B97"/>
    <w:rsid w:val="00B31C16"/>
    <w:rsid w:val="00B31D18"/>
    <w:rsid w:val="00B31D45"/>
    <w:rsid w:val="00B321C1"/>
    <w:rsid w:val="00B324FE"/>
    <w:rsid w:val="00B32D78"/>
    <w:rsid w:val="00B334E7"/>
    <w:rsid w:val="00B33C6D"/>
    <w:rsid w:val="00B33EA2"/>
    <w:rsid w:val="00B349A6"/>
    <w:rsid w:val="00B34F93"/>
    <w:rsid w:val="00B35094"/>
    <w:rsid w:val="00B35140"/>
    <w:rsid w:val="00B3654C"/>
    <w:rsid w:val="00B36A1C"/>
    <w:rsid w:val="00B36F57"/>
    <w:rsid w:val="00B36F72"/>
    <w:rsid w:val="00B408D9"/>
    <w:rsid w:val="00B40A31"/>
    <w:rsid w:val="00B40D7D"/>
    <w:rsid w:val="00B40EB9"/>
    <w:rsid w:val="00B41163"/>
    <w:rsid w:val="00B4193D"/>
    <w:rsid w:val="00B41A60"/>
    <w:rsid w:val="00B42262"/>
    <w:rsid w:val="00B42EA6"/>
    <w:rsid w:val="00B4452E"/>
    <w:rsid w:val="00B44565"/>
    <w:rsid w:val="00B44B97"/>
    <w:rsid w:val="00B450AF"/>
    <w:rsid w:val="00B45F29"/>
    <w:rsid w:val="00B45FDA"/>
    <w:rsid w:val="00B463A9"/>
    <w:rsid w:val="00B46427"/>
    <w:rsid w:val="00B46B83"/>
    <w:rsid w:val="00B474FA"/>
    <w:rsid w:val="00B47E26"/>
    <w:rsid w:val="00B50C00"/>
    <w:rsid w:val="00B51FAB"/>
    <w:rsid w:val="00B526F4"/>
    <w:rsid w:val="00B5293A"/>
    <w:rsid w:val="00B531B3"/>
    <w:rsid w:val="00B53D23"/>
    <w:rsid w:val="00B54036"/>
    <w:rsid w:val="00B542C2"/>
    <w:rsid w:val="00B55524"/>
    <w:rsid w:val="00B555E9"/>
    <w:rsid w:val="00B55992"/>
    <w:rsid w:val="00B55C00"/>
    <w:rsid w:val="00B55DA3"/>
    <w:rsid w:val="00B5749E"/>
    <w:rsid w:val="00B57793"/>
    <w:rsid w:val="00B60228"/>
    <w:rsid w:val="00B61695"/>
    <w:rsid w:val="00B61972"/>
    <w:rsid w:val="00B638B5"/>
    <w:rsid w:val="00B63A17"/>
    <w:rsid w:val="00B641A4"/>
    <w:rsid w:val="00B64E60"/>
    <w:rsid w:val="00B65471"/>
    <w:rsid w:val="00B65D24"/>
    <w:rsid w:val="00B662D5"/>
    <w:rsid w:val="00B663FF"/>
    <w:rsid w:val="00B668A2"/>
    <w:rsid w:val="00B66EEB"/>
    <w:rsid w:val="00B67467"/>
    <w:rsid w:val="00B67482"/>
    <w:rsid w:val="00B67B06"/>
    <w:rsid w:val="00B67BC3"/>
    <w:rsid w:val="00B70BDC"/>
    <w:rsid w:val="00B71C4B"/>
    <w:rsid w:val="00B720FC"/>
    <w:rsid w:val="00B722D5"/>
    <w:rsid w:val="00B72A70"/>
    <w:rsid w:val="00B72D3B"/>
    <w:rsid w:val="00B7319D"/>
    <w:rsid w:val="00B732AF"/>
    <w:rsid w:val="00B7392D"/>
    <w:rsid w:val="00B73D27"/>
    <w:rsid w:val="00B73D4B"/>
    <w:rsid w:val="00B74502"/>
    <w:rsid w:val="00B75734"/>
    <w:rsid w:val="00B7623C"/>
    <w:rsid w:val="00B766C4"/>
    <w:rsid w:val="00B76778"/>
    <w:rsid w:val="00B76A0E"/>
    <w:rsid w:val="00B76F5E"/>
    <w:rsid w:val="00B7742F"/>
    <w:rsid w:val="00B7750B"/>
    <w:rsid w:val="00B80355"/>
    <w:rsid w:val="00B81301"/>
    <w:rsid w:val="00B814B7"/>
    <w:rsid w:val="00B81712"/>
    <w:rsid w:val="00B83790"/>
    <w:rsid w:val="00B84684"/>
    <w:rsid w:val="00B84841"/>
    <w:rsid w:val="00B848AC"/>
    <w:rsid w:val="00B856D0"/>
    <w:rsid w:val="00B8573B"/>
    <w:rsid w:val="00B86269"/>
    <w:rsid w:val="00B86C19"/>
    <w:rsid w:val="00B86E96"/>
    <w:rsid w:val="00B8743D"/>
    <w:rsid w:val="00B8743E"/>
    <w:rsid w:val="00B87728"/>
    <w:rsid w:val="00B87C1C"/>
    <w:rsid w:val="00B903D6"/>
    <w:rsid w:val="00B9098B"/>
    <w:rsid w:val="00B90F11"/>
    <w:rsid w:val="00B91BAD"/>
    <w:rsid w:val="00B91EB7"/>
    <w:rsid w:val="00B92E66"/>
    <w:rsid w:val="00B9396B"/>
    <w:rsid w:val="00B93DC8"/>
    <w:rsid w:val="00B93FE9"/>
    <w:rsid w:val="00B94BCA"/>
    <w:rsid w:val="00B94DE1"/>
    <w:rsid w:val="00B94F76"/>
    <w:rsid w:val="00B95362"/>
    <w:rsid w:val="00B95B0C"/>
    <w:rsid w:val="00B96157"/>
    <w:rsid w:val="00B967C6"/>
    <w:rsid w:val="00B9698D"/>
    <w:rsid w:val="00B97687"/>
    <w:rsid w:val="00BA0027"/>
    <w:rsid w:val="00BA2A06"/>
    <w:rsid w:val="00BA3338"/>
    <w:rsid w:val="00BA3E02"/>
    <w:rsid w:val="00BA4490"/>
    <w:rsid w:val="00BA517E"/>
    <w:rsid w:val="00BA5B07"/>
    <w:rsid w:val="00BA5EAE"/>
    <w:rsid w:val="00BA5FB3"/>
    <w:rsid w:val="00BA663F"/>
    <w:rsid w:val="00BA7303"/>
    <w:rsid w:val="00BA7D66"/>
    <w:rsid w:val="00BB0177"/>
    <w:rsid w:val="00BB15F2"/>
    <w:rsid w:val="00BB1807"/>
    <w:rsid w:val="00BB1EB3"/>
    <w:rsid w:val="00BB2293"/>
    <w:rsid w:val="00BB2BC6"/>
    <w:rsid w:val="00BB3E67"/>
    <w:rsid w:val="00BB507E"/>
    <w:rsid w:val="00BB7160"/>
    <w:rsid w:val="00BB76F7"/>
    <w:rsid w:val="00BB7B57"/>
    <w:rsid w:val="00BC0FA9"/>
    <w:rsid w:val="00BC1BDC"/>
    <w:rsid w:val="00BC2485"/>
    <w:rsid w:val="00BC3496"/>
    <w:rsid w:val="00BC3C4C"/>
    <w:rsid w:val="00BC4060"/>
    <w:rsid w:val="00BC45B8"/>
    <w:rsid w:val="00BC45F2"/>
    <w:rsid w:val="00BC4829"/>
    <w:rsid w:val="00BC4AD5"/>
    <w:rsid w:val="00BC4DFD"/>
    <w:rsid w:val="00BC4E8B"/>
    <w:rsid w:val="00BC54DB"/>
    <w:rsid w:val="00BC575F"/>
    <w:rsid w:val="00BC679C"/>
    <w:rsid w:val="00BC6888"/>
    <w:rsid w:val="00BC7648"/>
    <w:rsid w:val="00BC7869"/>
    <w:rsid w:val="00BC79C1"/>
    <w:rsid w:val="00BD09E3"/>
    <w:rsid w:val="00BD0F0D"/>
    <w:rsid w:val="00BD1176"/>
    <w:rsid w:val="00BD127B"/>
    <w:rsid w:val="00BD163B"/>
    <w:rsid w:val="00BD244A"/>
    <w:rsid w:val="00BD2866"/>
    <w:rsid w:val="00BD2A4C"/>
    <w:rsid w:val="00BD2E31"/>
    <w:rsid w:val="00BD38EB"/>
    <w:rsid w:val="00BD4656"/>
    <w:rsid w:val="00BD4EE2"/>
    <w:rsid w:val="00BD5646"/>
    <w:rsid w:val="00BD56FB"/>
    <w:rsid w:val="00BD5BF7"/>
    <w:rsid w:val="00BD6ABB"/>
    <w:rsid w:val="00BD7A33"/>
    <w:rsid w:val="00BE03E4"/>
    <w:rsid w:val="00BE12E0"/>
    <w:rsid w:val="00BE15D6"/>
    <w:rsid w:val="00BE25F2"/>
    <w:rsid w:val="00BE269C"/>
    <w:rsid w:val="00BE46F5"/>
    <w:rsid w:val="00BE4830"/>
    <w:rsid w:val="00BE59C3"/>
    <w:rsid w:val="00BE5D85"/>
    <w:rsid w:val="00BE630F"/>
    <w:rsid w:val="00BE63A7"/>
    <w:rsid w:val="00BE6478"/>
    <w:rsid w:val="00BE66BE"/>
    <w:rsid w:val="00BE6F07"/>
    <w:rsid w:val="00BE70E0"/>
    <w:rsid w:val="00BF0B40"/>
    <w:rsid w:val="00BF1429"/>
    <w:rsid w:val="00BF1AA7"/>
    <w:rsid w:val="00BF1EFE"/>
    <w:rsid w:val="00BF2AAD"/>
    <w:rsid w:val="00BF2E3E"/>
    <w:rsid w:val="00BF3013"/>
    <w:rsid w:val="00BF35C0"/>
    <w:rsid w:val="00BF3D5D"/>
    <w:rsid w:val="00BF424A"/>
    <w:rsid w:val="00BF445F"/>
    <w:rsid w:val="00BF55BA"/>
    <w:rsid w:val="00BF56C7"/>
    <w:rsid w:val="00BF6B61"/>
    <w:rsid w:val="00BF7A7D"/>
    <w:rsid w:val="00C00823"/>
    <w:rsid w:val="00C010F5"/>
    <w:rsid w:val="00C01291"/>
    <w:rsid w:val="00C01323"/>
    <w:rsid w:val="00C01645"/>
    <w:rsid w:val="00C016F5"/>
    <w:rsid w:val="00C01754"/>
    <w:rsid w:val="00C02D74"/>
    <w:rsid w:val="00C0402F"/>
    <w:rsid w:val="00C043D0"/>
    <w:rsid w:val="00C047A4"/>
    <w:rsid w:val="00C04C27"/>
    <w:rsid w:val="00C05E1A"/>
    <w:rsid w:val="00C061DA"/>
    <w:rsid w:val="00C06874"/>
    <w:rsid w:val="00C071D7"/>
    <w:rsid w:val="00C07F96"/>
    <w:rsid w:val="00C10844"/>
    <w:rsid w:val="00C10F83"/>
    <w:rsid w:val="00C11E0F"/>
    <w:rsid w:val="00C136D4"/>
    <w:rsid w:val="00C14448"/>
    <w:rsid w:val="00C15014"/>
    <w:rsid w:val="00C15A9B"/>
    <w:rsid w:val="00C15AFC"/>
    <w:rsid w:val="00C16761"/>
    <w:rsid w:val="00C16BB1"/>
    <w:rsid w:val="00C16EE6"/>
    <w:rsid w:val="00C20770"/>
    <w:rsid w:val="00C21AEC"/>
    <w:rsid w:val="00C2243D"/>
    <w:rsid w:val="00C2384A"/>
    <w:rsid w:val="00C23A31"/>
    <w:rsid w:val="00C2461B"/>
    <w:rsid w:val="00C24CCE"/>
    <w:rsid w:val="00C24D6C"/>
    <w:rsid w:val="00C2583C"/>
    <w:rsid w:val="00C25E2B"/>
    <w:rsid w:val="00C25EB7"/>
    <w:rsid w:val="00C27629"/>
    <w:rsid w:val="00C27A52"/>
    <w:rsid w:val="00C27EAB"/>
    <w:rsid w:val="00C30067"/>
    <w:rsid w:val="00C300E1"/>
    <w:rsid w:val="00C3040C"/>
    <w:rsid w:val="00C307C7"/>
    <w:rsid w:val="00C30831"/>
    <w:rsid w:val="00C30EFA"/>
    <w:rsid w:val="00C31456"/>
    <w:rsid w:val="00C31D3A"/>
    <w:rsid w:val="00C32717"/>
    <w:rsid w:val="00C32D7F"/>
    <w:rsid w:val="00C33341"/>
    <w:rsid w:val="00C3571F"/>
    <w:rsid w:val="00C35D6A"/>
    <w:rsid w:val="00C3688B"/>
    <w:rsid w:val="00C36904"/>
    <w:rsid w:val="00C36FE4"/>
    <w:rsid w:val="00C37269"/>
    <w:rsid w:val="00C37695"/>
    <w:rsid w:val="00C40A72"/>
    <w:rsid w:val="00C41240"/>
    <w:rsid w:val="00C4227E"/>
    <w:rsid w:val="00C442FB"/>
    <w:rsid w:val="00C4490F"/>
    <w:rsid w:val="00C44BDC"/>
    <w:rsid w:val="00C44F89"/>
    <w:rsid w:val="00C4532D"/>
    <w:rsid w:val="00C454E5"/>
    <w:rsid w:val="00C45EAF"/>
    <w:rsid w:val="00C462D9"/>
    <w:rsid w:val="00C46E1A"/>
    <w:rsid w:val="00C46E42"/>
    <w:rsid w:val="00C46FA1"/>
    <w:rsid w:val="00C50812"/>
    <w:rsid w:val="00C50F16"/>
    <w:rsid w:val="00C52619"/>
    <w:rsid w:val="00C526C5"/>
    <w:rsid w:val="00C526F9"/>
    <w:rsid w:val="00C5285C"/>
    <w:rsid w:val="00C5292D"/>
    <w:rsid w:val="00C52CEE"/>
    <w:rsid w:val="00C52F18"/>
    <w:rsid w:val="00C531CC"/>
    <w:rsid w:val="00C535BF"/>
    <w:rsid w:val="00C53CE9"/>
    <w:rsid w:val="00C5400C"/>
    <w:rsid w:val="00C545AC"/>
    <w:rsid w:val="00C5491E"/>
    <w:rsid w:val="00C54A4C"/>
    <w:rsid w:val="00C55056"/>
    <w:rsid w:val="00C5561D"/>
    <w:rsid w:val="00C55C2A"/>
    <w:rsid w:val="00C56C8C"/>
    <w:rsid w:val="00C57828"/>
    <w:rsid w:val="00C6075E"/>
    <w:rsid w:val="00C6101D"/>
    <w:rsid w:val="00C619D5"/>
    <w:rsid w:val="00C61FDF"/>
    <w:rsid w:val="00C62189"/>
    <w:rsid w:val="00C621D8"/>
    <w:rsid w:val="00C62752"/>
    <w:rsid w:val="00C62920"/>
    <w:rsid w:val="00C62B5C"/>
    <w:rsid w:val="00C63787"/>
    <w:rsid w:val="00C63A21"/>
    <w:rsid w:val="00C63C55"/>
    <w:rsid w:val="00C63FB0"/>
    <w:rsid w:val="00C6534C"/>
    <w:rsid w:val="00C65884"/>
    <w:rsid w:val="00C65F7D"/>
    <w:rsid w:val="00C6604E"/>
    <w:rsid w:val="00C6614C"/>
    <w:rsid w:val="00C661C2"/>
    <w:rsid w:val="00C66431"/>
    <w:rsid w:val="00C677AA"/>
    <w:rsid w:val="00C67D87"/>
    <w:rsid w:val="00C70359"/>
    <w:rsid w:val="00C705BA"/>
    <w:rsid w:val="00C70DA3"/>
    <w:rsid w:val="00C71A59"/>
    <w:rsid w:val="00C71C95"/>
    <w:rsid w:val="00C7259F"/>
    <w:rsid w:val="00C72A62"/>
    <w:rsid w:val="00C736ED"/>
    <w:rsid w:val="00C739CC"/>
    <w:rsid w:val="00C73B04"/>
    <w:rsid w:val="00C74010"/>
    <w:rsid w:val="00C75C6E"/>
    <w:rsid w:val="00C761A1"/>
    <w:rsid w:val="00C76C60"/>
    <w:rsid w:val="00C76CDA"/>
    <w:rsid w:val="00C77141"/>
    <w:rsid w:val="00C77587"/>
    <w:rsid w:val="00C77BCD"/>
    <w:rsid w:val="00C810F0"/>
    <w:rsid w:val="00C81D60"/>
    <w:rsid w:val="00C81DB1"/>
    <w:rsid w:val="00C82192"/>
    <w:rsid w:val="00C822E1"/>
    <w:rsid w:val="00C8244D"/>
    <w:rsid w:val="00C82567"/>
    <w:rsid w:val="00C82990"/>
    <w:rsid w:val="00C82A3E"/>
    <w:rsid w:val="00C83209"/>
    <w:rsid w:val="00C83BA9"/>
    <w:rsid w:val="00C8447A"/>
    <w:rsid w:val="00C8449B"/>
    <w:rsid w:val="00C8498A"/>
    <w:rsid w:val="00C8552F"/>
    <w:rsid w:val="00C85573"/>
    <w:rsid w:val="00C85ACD"/>
    <w:rsid w:val="00C86A8B"/>
    <w:rsid w:val="00C87F29"/>
    <w:rsid w:val="00C9055E"/>
    <w:rsid w:val="00C90915"/>
    <w:rsid w:val="00C9099A"/>
    <w:rsid w:val="00C9111A"/>
    <w:rsid w:val="00C9144C"/>
    <w:rsid w:val="00C92BEA"/>
    <w:rsid w:val="00C92E6C"/>
    <w:rsid w:val="00C92F0A"/>
    <w:rsid w:val="00C92F15"/>
    <w:rsid w:val="00C932BD"/>
    <w:rsid w:val="00C93712"/>
    <w:rsid w:val="00C945FF"/>
    <w:rsid w:val="00C94978"/>
    <w:rsid w:val="00C9553B"/>
    <w:rsid w:val="00C95587"/>
    <w:rsid w:val="00C95D00"/>
    <w:rsid w:val="00C96D55"/>
    <w:rsid w:val="00C97B5B"/>
    <w:rsid w:val="00CA0106"/>
    <w:rsid w:val="00CA023A"/>
    <w:rsid w:val="00CA17F6"/>
    <w:rsid w:val="00CA1E02"/>
    <w:rsid w:val="00CA2008"/>
    <w:rsid w:val="00CA20FC"/>
    <w:rsid w:val="00CA21C1"/>
    <w:rsid w:val="00CA321A"/>
    <w:rsid w:val="00CA3D3D"/>
    <w:rsid w:val="00CA3FFA"/>
    <w:rsid w:val="00CA4C14"/>
    <w:rsid w:val="00CA5664"/>
    <w:rsid w:val="00CA5EE7"/>
    <w:rsid w:val="00CA5F33"/>
    <w:rsid w:val="00CA69EE"/>
    <w:rsid w:val="00CA7338"/>
    <w:rsid w:val="00CB0581"/>
    <w:rsid w:val="00CB156D"/>
    <w:rsid w:val="00CB18D1"/>
    <w:rsid w:val="00CB1925"/>
    <w:rsid w:val="00CB28C1"/>
    <w:rsid w:val="00CB3252"/>
    <w:rsid w:val="00CB3B14"/>
    <w:rsid w:val="00CB3B1B"/>
    <w:rsid w:val="00CB4683"/>
    <w:rsid w:val="00CB5E43"/>
    <w:rsid w:val="00CB6BFF"/>
    <w:rsid w:val="00CB7B43"/>
    <w:rsid w:val="00CC12CA"/>
    <w:rsid w:val="00CC1BAD"/>
    <w:rsid w:val="00CC23B1"/>
    <w:rsid w:val="00CC2491"/>
    <w:rsid w:val="00CC2683"/>
    <w:rsid w:val="00CC3338"/>
    <w:rsid w:val="00CC3622"/>
    <w:rsid w:val="00CC3C1C"/>
    <w:rsid w:val="00CC50F8"/>
    <w:rsid w:val="00CC5D00"/>
    <w:rsid w:val="00CC6E06"/>
    <w:rsid w:val="00CC72A4"/>
    <w:rsid w:val="00CC7558"/>
    <w:rsid w:val="00CC7F2A"/>
    <w:rsid w:val="00CD0159"/>
    <w:rsid w:val="00CD089B"/>
    <w:rsid w:val="00CD0A25"/>
    <w:rsid w:val="00CD0BA8"/>
    <w:rsid w:val="00CD0C4A"/>
    <w:rsid w:val="00CD0E18"/>
    <w:rsid w:val="00CD2892"/>
    <w:rsid w:val="00CD2D59"/>
    <w:rsid w:val="00CD4238"/>
    <w:rsid w:val="00CD45DC"/>
    <w:rsid w:val="00CD4745"/>
    <w:rsid w:val="00CD47AC"/>
    <w:rsid w:val="00CD4844"/>
    <w:rsid w:val="00CD4E30"/>
    <w:rsid w:val="00CD5C3C"/>
    <w:rsid w:val="00CD61E5"/>
    <w:rsid w:val="00CD6279"/>
    <w:rsid w:val="00CD62AB"/>
    <w:rsid w:val="00CD6A0C"/>
    <w:rsid w:val="00CD7094"/>
    <w:rsid w:val="00CD70AB"/>
    <w:rsid w:val="00CD7235"/>
    <w:rsid w:val="00CD7985"/>
    <w:rsid w:val="00CE0602"/>
    <w:rsid w:val="00CE198D"/>
    <w:rsid w:val="00CE2345"/>
    <w:rsid w:val="00CE38C1"/>
    <w:rsid w:val="00CE4065"/>
    <w:rsid w:val="00CE4981"/>
    <w:rsid w:val="00CE4B1D"/>
    <w:rsid w:val="00CE4D70"/>
    <w:rsid w:val="00CE5213"/>
    <w:rsid w:val="00CE5446"/>
    <w:rsid w:val="00CE6E98"/>
    <w:rsid w:val="00CE6F1D"/>
    <w:rsid w:val="00CE72AE"/>
    <w:rsid w:val="00CE75AC"/>
    <w:rsid w:val="00CE77EF"/>
    <w:rsid w:val="00CF0E75"/>
    <w:rsid w:val="00CF116B"/>
    <w:rsid w:val="00CF15D8"/>
    <w:rsid w:val="00CF1B52"/>
    <w:rsid w:val="00CF210C"/>
    <w:rsid w:val="00CF2508"/>
    <w:rsid w:val="00CF2A43"/>
    <w:rsid w:val="00CF3F5C"/>
    <w:rsid w:val="00CF4304"/>
    <w:rsid w:val="00CF4BC9"/>
    <w:rsid w:val="00CF5500"/>
    <w:rsid w:val="00CF5FDE"/>
    <w:rsid w:val="00CF62FF"/>
    <w:rsid w:val="00CF63FC"/>
    <w:rsid w:val="00CF656C"/>
    <w:rsid w:val="00CF65FB"/>
    <w:rsid w:val="00CF686E"/>
    <w:rsid w:val="00D007E5"/>
    <w:rsid w:val="00D010BD"/>
    <w:rsid w:val="00D01834"/>
    <w:rsid w:val="00D02116"/>
    <w:rsid w:val="00D021B0"/>
    <w:rsid w:val="00D02BEF"/>
    <w:rsid w:val="00D02DE7"/>
    <w:rsid w:val="00D03109"/>
    <w:rsid w:val="00D03676"/>
    <w:rsid w:val="00D04205"/>
    <w:rsid w:val="00D042FB"/>
    <w:rsid w:val="00D04A90"/>
    <w:rsid w:val="00D0519A"/>
    <w:rsid w:val="00D0762E"/>
    <w:rsid w:val="00D079AC"/>
    <w:rsid w:val="00D079B0"/>
    <w:rsid w:val="00D1001F"/>
    <w:rsid w:val="00D10573"/>
    <w:rsid w:val="00D111C8"/>
    <w:rsid w:val="00D12ADF"/>
    <w:rsid w:val="00D13195"/>
    <w:rsid w:val="00D1347C"/>
    <w:rsid w:val="00D13528"/>
    <w:rsid w:val="00D1368A"/>
    <w:rsid w:val="00D13B55"/>
    <w:rsid w:val="00D1409D"/>
    <w:rsid w:val="00D15338"/>
    <w:rsid w:val="00D156E6"/>
    <w:rsid w:val="00D15F63"/>
    <w:rsid w:val="00D16052"/>
    <w:rsid w:val="00D16775"/>
    <w:rsid w:val="00D169A3"/>
    <w:rsid w:val="00D16F71"/>
    <w:rsid w:val="00D17045"/>
    <w:rsid w:val="00D170B7"/>
    <w:rsid w:val="00D17704"/>
    <w:rsid w:val="00D17CA7"/>
    <w:rsid w:val="00D17EB0"/>
    <w:rsid w:val="00D17FA1"/>
    <w:rsid w:val="00D20CE2"/>
    <w:rsid w:val="00D20E6D"/>
    <w:rsid w:val="00D2153E"/>
    <w:rsid w:val="00D22029"/>
    <w:rsid w:val="00D2216B"/>
    <w:rsid w:val="00D226EA"/>
    <w:rsid w:val="00D228D3"/>
    <w:rsid w:val="00D22C32"/>
    <w:rsid w:val="00D24175"/>
    <w:rsid w:val="00D24293"/>
    <w:rsid w:val="00D248AE"/>
    <w:rsid w:val="00D24A31"/>
    <w:rsid w:val="00D25B9B"/>
    <w:rsid w:val="00D263CA"/>
    <w:rsid w:val="00D2650B"/>
    <w:rsid w:val="00D26CB5"/>
    <w:rsid w:val="00D27644"/>
    <w:rsid w:val="00D27B23"/>
    <w:rsid w:val="00D315EE"/>
    <w:rsid w:val="00D31948"/>
    <w:rsid w:val="00D32038"/>
    <w:rsid w:val="00D32305"/>
    <w:rsid w:val="00D32E1A"/>
    <w:rsid w:val="00D32E2F"/>
    <w:rsid w:val="00D334C9"/>
    <w:rsid w:val="00D336B3"/>
    <w:rsid w:val="00D337E7"/>
    <w:rsid w:val="00D33DF1"/>
    <w:rsid w:val="00D3438C"/>
    <w:rsid w:val="00D34A41"/>
    <w:rsid w:val="00D34FCC"/>
    <w:rsid w:val="00D35421"/>
    <w:rsid w:val="00D358CE"/>
    <w:rsid w:val="00D35E52"/>
    <w:rsid w:val="00D35EF5"/>
    <w:rsid w:val="00D36395"/>
    <w:rsid w:val="00D36767"/>
    <w:rsid w:val="00D36B94"/>
    <w:rsid w:val="00D373EB"/>
    <w:rsid w:val="00D37767"/>
    <w:rsid w:val="00D3787F"/>
    <w:rsid w:val="00D402B8"/>
    <w:rsid w:val="00D40D14"/>
    <w:rsid w:val="00D41CF9"/>
    <w:rsid w:val="00D426CD"/>
    <w:rsid w:val="00D438EF"/>
    <w:rsid w:val="00D43983"/>
    <w:rsid w:val="00D43DBA"/>
    <w:rsid w:val="00D44B78"/>
    <w:rsid w:val="00D4554D"/>
    <w:rsid w:val="00D50952"/>
    <w:rsid w:val="00D51181"/>
    <w:rsid w:val="00D51520"/>
    <w:rsid w:val="00D515BF"/>
    <w:rsid w:val="00D51CA2"/>
    <w:rsid w:val="00D52A47"/>
    <w:rsid w:val="00D52C79"/>
    <w:rsid w:val="00D534EB"/>
    <w:rsid w:val="00D53804"/>
    <w:rsid w:val="00D54803"/>
    <w:rsid w:val="00D550E8"/>
    <w:rsid w:val="00D55ABA"/>
    <w:rsid w:val="00D55B0A"/>
    <w:rsid w:val="00D55E0A"/>
    <w:rsid w:val="00D5623B"/>
    <w:rsid w:val="00D56C47"/>
    <w:rsid w:val="00D57314"/>
    <w:rsid w:val="00D57A73"/>
    <w:rsid w:val="00D60293"/>
    <w:rsid w:val="00D60F60"/>
    <w:rsid w:val="00D6195A"/>
    <w:rsid w:val="00D61A8D"/>
    <w:rsid w:val="00D633E0"/>
    <w:rsid w:val="00D63496"/>
    <w:rsid w:val="00D63792"/>
    <w:rsid w:val="00D6383C"/>
    <w:rsid w:val="00D639AE"/>
    <w:rsid w:val="00D63EE9"/>
    <w:rsid w:val="00D640FD"/>
    <w:rsid w:val="00D645D8"/>
    <w:rsid w:val="00D65D76"/>
    <w:rsid w:val="00D65E59"/>
    <w:rsid w:val="00D660AA"/>
    <w:rsid w:val="00D667ED"/>
    <w:rsid w:val="00D66E6D"/>
    <w:rsid w:val="00D67209"/>
    <w:rsid w:val="00D67E8A"/>
    <w:rsid w:val="00D70267"/>
    <w:rsid w:val="00D7029B"/>
    <w:rsid w:val="00D71322"/>
    <w:rsid w:val="00D7165E"/>
    <w:rsid w:val="00D72BE3"/>
    <w:rsid w:val="00D72F86"/>
    <w:rsid w:val="00D7346E"/>
    <w:rsid w:val="00D737EA"/>
    <w:rsid w:val="00D7449C"/>
    <w:rsid w:val="00D74CD9"/>
    <w:rsid w:val="00D750EB"/>
    <w:rsid w:val="00D752C3"/>
    <w:rsid w:val="00D75717"/>
    <w:rsid w:val="00D759E0"/>
    <w:rsid w:val="00D76977"/>
    <w:rsid w:val="00D76AE4"/>
    <w:rsid w:val="00D773C4"/>
    <w:rsid w:val="00D774B3"/>
    <w:rsid w:val="00D77849"/>
    <w:rsid w:val="00D80370"/>
    <w:rsid w:val="00D80C6F"/>
    <w:rsid w:val="00D81A9C"/>
    <w:rsid w:val="00D81AF1"/>
    <w:rsid w:val="00D825E5"/>
    <w:rsid w:val="00D82872"/>
    <w:rsid w:val="00D82CFA"/>
    <w:rsid w:val="00D8368C"/>
    <w:rsid w:val="00D83D0C"/>
    <w:rsid w:val="00D84B14"/>
    <w:rsid w:val="00D85400"/>
    <w:rsid w:val="00D85446"/>
    <w:rsid w:val="00D85A0B"/>
    <w:rsid w:val="00D86BBF"/>
    <w:rsid w:val="00D877B1"/>
    <w:rsid w:val="00D87D4B"/>
    <w:rsid w:val="00D90A9A"/>
    <w:rsid w:val="00D9153F"/>
    <w:rsid w:val="00D92325"/>
    <w:rsid w:val="00D924EC"/>
    <w:rsid w:val="00D92E14"/>
    <w:rsid w:val="00D9313C"/>
    <w:rsid w:val="00D93225"/>
    <w:rsid w:val="00D934E4"/>
    <w:rsid w:val="00D93630"/>
    <w:rsid w:val="00D93C7A"/>
    <w:rsid w:val="00D93CA9"/>
    <w:rsid w:val="00D949B7"/>
    <w:rsid w:val="00D95B9C"/>
    <w:rsid w:val="00D95F6C"/>
    <w:rsid w:val="00D96FE3"/>
    <w:rsid w:val="00D97288"/>
    <w:rsid w:val="00D97341"/>
    <w:rsid w:val="00D977A2"/>
    <w:rsid w:val="00D97B00"/>
    <w:rsid w:val="00DA0219"/>
    <w:rsid w:val="00DA0590"/>
    <w:rsid w:val="00DA08D2"/>
    <w:rsid w:val="00DA09A6"/>
    <w:rsid w:val="00DA0ADF"/>
    <w:rsid w:val="00DA0B9F"/>
    <w:rsid w:val="00DA0E27"/>
    <w:rsid w:val="00DA15E3"/>
    <w:rsid w:val="00DA1970"/>
    <w:rsid w:val="00DA1C54"/>
    <w:rsid w:val="00DA21FD"/>
    <w:rsid w:val="00DA267A"/>
    <w:rsid w:val="00DA306E"/>
    <w:rsid w:val="00DA32BF"/>
    <w:rsid w:val="00DA3324"/>
    <w:rsid w:val="00DA362E"/>
    <w:rsid w:val="00DA373D"/>
    <w:rsid w:val="00DA378A"/>
    <w:rsid w:val="00DA397B"/>
    <w:rsid w:val="00DA6183"/>
    <w:rsid w:val="00DA6345"/>
    <w:rsid w:val="00DA6AC1"/>
    <w:rsid w:val="00DA7689"/>
    <w:rsid w:val="00DB0807"/>
    <w:rsid w:val="00DB0AAD"/>
    <w:rsid w:val="00DB11B0"/>
    <w:rsid w:val="00DB21CB"/>
    <w:rsid w:val="00DB23F5"/>
    <w:rsid w:val="00DB2D56"/>
    <w:rsid w:val="00DB3379"/>
    <w:rsid w:val="00DB39C0"/>
    <w:rsid w:val="00DB3E1B"/>
    <w:rsid w:val="00DB48F2"/>
    <w:rsid w:val="00DB6019"/>
    <w:rsid w:val="00DB62BA"/>
    <w:rsid w:val="00DB6E29"/>
    <w:rsid w:val="00DB735E"/>
    <w:rsid w:val="00DB73D5"/>
    <w:rsid w:val="00DB75E1"/>
    <w:rsid w:val="00DB7CAE"/>
    <w:rsid w:val="00DC0F0E"/>
    <w:rsid w:val="00DC1526"/>
    <w:rsid w:val="00DC2281"/>
    <w:rsid w:val="00DC2F67"/>
    <w:rsid w:val="00DC350B"/>
    <w:rsid w:val="00DC38AF"/>
    <w:rsid w:val="00DC435D"/>
    <w:rsid w:val="00DC4A4E"/>
    <w:rsid w:val="00DC6578"/>
    <w:rsid w:val="00DC698C"/>
    <w:rsid w:val="00DC797B"/>
    <w:rsid w:val="00DD0BF9"/>
    <w:rsid w:val="00DD0E92"/>
    <w:rsid w:val="00DD0EF4"/>
    <w:rsid w:val="00DD1C01"/>
    <w:rsid w:val="00DD2092"/>
    <w:rsid w:val="00DD249D"/>
    <w:rsid w:val="00DD31BD"/>
    <w:rsid w:val="00DD39B9"/>
    <w:rsid w:val="00DD39D6"/>
    <w:rsid w:val="00DD3B62"/>
    <w:rsid w:val="00DD3B92"/>
    <w:rsid w:val="00DD3BE1"/>
    <w:rsid w:val="00DD3D13"/>
    <w:rsid w:val="00DD3E36"/>
    <w:rsid w:val="00DD509A"/>
    <w:rsid w:val="00DD51EA"/>
    <w:rsid w:val="00DD54A3"/>
    <w:rsid w:val="00DD7C75"/>
    <w:rsid w:val="00DE0421"/>
    <w:rsid w:val="00DE0BB1"/>
    <w:rsid w:val="00DE1269"/>
    <w:rsid w:val="00DE1283"/>
    <w:rsid w:val="00DE1BC8"/>
    <w:rsid w:val="00DE1EBE"/>
    <w:rsid w:val="00DE2202"/>
    <w:rsid w:val="00DE24F6"/>
    <w:rsid w:val="00DE2721"/>
    <w:rsid w:val="00DE289B"/>
    <w:rsid w:val="00DE45FC"/>
    <w:rsid w:val="00DE4849"/>
    <w:rsid w:val="00DE5D15"/>
    <w:rsid w:val="00DE7DB4"/>
    <w:rsid w:val="00DF14A9"/>
    <w:rsid w:val="00DF1FBD"/>
    <w:rsid w:val="00DF1FDF"/>
    <w:rsid w:val="00DF2174"/>
    <w:rsid w:val="00DF329A"/>
    <w:rsid w:val="00DF69E6"/>
    <w:rsid w:val="00DF6DF4"/>
    <w:rsid w:val="00DF7B80"/>
    <w:rsid w:val="00E0020B"/>
    <w:rsid w:val="00E002E8"/>
    <w:rsid w:val="00E009FF"/>
    <w:rsid w:val="00E00ECD"/>
    <w:rsid w:val="00E018DB"/>
    <w:rsid w:val="00E01F46"/>
    <w:rsid w:val="00E01F91"/>
    <w:rsid w:val="00E02923"/>
    <w:rsid w:val="00E035B0"/>
    <w:rsid w:val="00E05190"/>
    <w:rsid w:val="00E053DD"/>
    <w:rsid w:val="00E05996"/>
    <w:rsid w:val="00E05FA8"/>
    <w:rsid w:val="00E06EC7"/>
    <w:rsid w:val="00E07187"/>
    <w:rsid w:val="00E07D6C"/>
    <w:rsid w:val="00E10383"/>
    <w:rsid w:val="00E112A5"/>
    <w:rsid w:val="00E11E46"/>
    <w:rsid w:val="00E11F5E"/>
    <w:rsid w:val="00E14065"/>
    <w:rsid w:val="00E142B0"/>
    <w:rsid w:val="00E14337"/>
    <w:rsid w:val="00E14CE0"/>
    <w:rsid w:val="00E15C37"/>
    <w:rsid w:val="00E163AC"/>
    <w:rsid w:val="00E16614"/>
    <w:rsid w:val="00E16844"/>
    <w:rsid w:val="00E1686B"/>
    <w:rsid w:val="00E16DC1"/>
    <w:rsid w:val="00E17338"/>
    <w:rsid w:val="00E17533"/>
    <w:rsid w:val="00E17809"/>
    <w:rsid w:val="00E17C46"/>
    <w:rsid w:val="00E2010A"/>
    <w:rsid w:val="00E20458"/>
    <w:rsid w:val="00E2085C"/>
    <w:rsid w:val="00E20DE7"/>
    <w:rsid w:val="00E20EA3"/>
    <w:rsid w:val="00E21A05"/>
    <w:rsid w:val="00E21F00"/>
    <w:rsid w:val="00E21F79"/>
    <w:rsid w:val="00E222F7"/>
    <w:rsid w:val="00E22799"/>
    <w:rsid w:val="00E22813"/>
    <w:rsid w:val="00E22DA4"/>
    <w:rsid w:val="00E24C07"/>
    <w:rsid w:val="00E25629"/>
    <w:rsid w:val="00E25808"/>
    <w:rsid w:val="00E25865"/>
    <w:rsid w:val="00E2590D"/>
    <w:rsid w:val="00E25F72"/>
    <w:rsid w:val="00E267E5"/>
    <w:rsid w:val="00E26932"/>
    <w:rsid w:val="00E272C8"/>
    <w:rsid w:val="00E279DC"/>
    <w:rsid w:val="00E30159"/>
    <w:rsid w:val="00E3055B"/>
    <w:rsid w:val="00E30769"/>
    <w:rsid w:val="00E310A1"/>
    <w:rsid w:val="00E3178F"/>
    <w:rsid w:val="00E31995"/>
    <w:rsid w:val="00E31F6D"/>
    <w:rsid w:val="00E323BB"/>
    <w:rsid w:val="00E33A4F"/>
    <w:rsid w:val="00E34A7D"/>
    <w:rsid w:val="00E352E9"/>
    <w:rsid w:val="00E35E4A"/>
    <w:rsid w:val="00E3646C"/>
    <w:rsid w:val="00E3655B"/>
    <w:rsid w:val="00E36776"/>
    <w:rsid w:val="00E369F2"/>
    <w:rsid w:val="00E36B7F"/>
    <w:rsid w:val="00E36BAB"/>
    <w:rsid w:val="00E371F0"/>
    <w:rsid w:val="00E37331"/>
    <w:rsid w:val="00E3771D"/>
    <w:rsid w:val="00E37BF1"/>
    <w:rsid w:val="00E40393"/>
    <w:rsid w:val="00E407F5"/>
    <w:rsid w:val="00E41951"/>
    <w:rsid w:val="00E41D32"/>
    <w:rsid w:val="00E4372B"/>
    <w:rsid w:val="00E439E5"/>
    <w:rsid w:val="00E43E61"/>
    <w:rsid w:val="00E442B2"/>
    <w:rsid w:val="00E443B8"/>
    <w:rsid w:val="00E44942"/>
    <w:rsid w:val="00E44D9E"/>
    <w:rsid w:val="00E45720"/>
    <w:rsid w:val="00E46A61"/>
    <w:rsid w:val="00E47403"/>
    <w:rsid w:val="00E510AA"/>
    <w:rsid w:val="00E512D9"/>
    <w:rsid w:val="00E51BBD"/>
    <w:rsid w:val="00E5207A"/>
    <w:rsid w:val="00E52255"/>
    <w:rsid w:val="00E52DF1"/>
    <w:rsid w:val="00E53189"/>
    <w:rsid w:val="00E538D7"/>
    <w:rsid w:val="00E539D1"/>
    <w:rsid w:val="00E53EC9"/>
    <w:rsid w:val="00E5415D"/>
    <w:rsid w:val="00E54E11"/>
    <w:rsid w:val="00E5594D"/>
    <w:rsid w:val="00E567BB"/>
    <w:rsid w:val="00E56D61"/>
    <w:rsid w:val="00E602C5"/>
    <w:rsid w:val="00E6073C"/>
    <w:rsid w:val="00E6076A"/>
    <w:rsid w:val="00E60D75"/>
    <w:rsid w:val="00E62456"/>
    <w:rsid w:val="00E6257D"/>
    <w:rsid w:val="00E62ACA"/>
    <w:rsid w:val="00E63053"/>
    <w:rsid w:val="00E639C4"/>
    <w:rsid w:val="00E63E09"/>
    <w:rsid w:val="00E6464C"/>
    <w:rsid w:val="00E65155"/>
    <w:rsid w:val="00E656DE"/>
    <w:rsid w:val="00E66AF9"/>
    <w:rsid w:val="00E66E19"/>
    <w:rsid w:val="00E6703C"/>
    <w:rsid w:val="00E70718"/>
    <w:rsid w:val="00E70EBE"/>
    <w:rsid w:val="00E71854"/>
    <w:rsid w:val="00E71B9C"/>
    <w:rsid w:val="00E71BED"/>
    <w:rsid w:val="00E71DF3"/>
    <w:rsid w:val="00E7353A"/>
    <w:rsid w:val="00E73829"/>
    <w:rsid w:val="00E74785"/>
    <w:rsid w:val="00E74A07"/>
    <w:rsid w:val="00E75296"/>
    <w:rsid w:val="00E75FB7"/>
    <w:rsid w:val="00E75FCB"/>
    <w:rsid w:val="00E76436"/>
    <w:rsid w:val="00E80F25"/>
    <w:rsid w:val="00E81419"/>
    <w:rsid w:val="00E81FA9"/>
    <w:rsid w:val="00E8250F"/>
    <w:rsid w:val="00E8316B"/>
    <w:rsid w:val="00E832FD"/>
    <w:rsid w:val="00E8383E"/>
    <w:rsid w:val="00E83E58"/>
    <w:rsid w:val="00E84058"/>
    <w:rsid w:val="00E84675"/>
    <w:rsid w:val="00E846AD"/>
    <w:rsid w:val="00E8498C"/>
    <w:rsid w:val="00E849BF"/>
    <w:rsid w:val="00E84E09"/>
    <w:rsid w:val="00E8523A"/>
    <w:rsid w:val="00E8540A"/>
    <w:rsid w:val="00E85EA6"/>
    <w:rsid w:val="00E86E29"/>
    <w:rsid w:val="00E87096"/>
    <w:rsid w:val="00E87401"/>
    <w:rsid w:val="00E87742"/>
    <w:rsid w:val="00E87805"/>
    <w:rsid w:val="00E87911"/>
    <w:rsid w:val="00E9172B"/>
    <w:rsid w:val="00E91A3A"/>
    <w:rsid w:val="00E91A6B"/>
    <w:rsid w:val="00E924EF"/>
    <w:rsid w:val="00E92DB3"/>
    <w:rsid w:val="00E92F1F"/>
    <w:rsid w:val="00E931DA"/>
    <w:rsid w:val="00E932B8"/>
    <w:rsid w:val="00E93807"/>
    <w:rsid w:val="00E9391A"/>
    <w:rsid w:val="00E93928"/>
    <w:rsid w:val="00E93A13"/>
    <w:rsid w:val="00E93F66"/>
    <w:rsid w:val="00E94859"/>
    <w:rsid w:val="00E9493E"/>
    <w:rsid w:val="00E94AAF"/>
    <w:rsid w:val="00E94DFB"/>
    <w:rsid w:val="00E95379"/>
    <w:rsid w:val="00E953DF"/>
    <w:rsid w:val="00E96066"/>
    <w:rsid w:val="00E97034"/>
    <w:rsid w:val="00E976EF"/>
    <w:rsid w:val="00E97AD2"/>
    <w:rsid w:val="00E97D8A"/>
    <w:rsid w:val="00EA06BF"/>
    <w:rsid w:val="00EA0A25"/>
    <w:rsid w:val="00EA13D5"/>
    <w:rsid w:val="00EA18F3"/>
    <w:rsid w:val="00EA1A46"/>
    <w:rsid w:val="00EA1A67"/>
    <w:rsid w:val="00EA1ABF"/>
    <w:rsid w:val="00EA2058"/>
    <w:rsid w:val="00EA21F4"/>
    <w:rsid w:val="00EA2736"/>
    <w:rsid w:val="00EA3576"/>
    <w:rsid w:val="00EA3B13"/>
    <w:rsid w:val="00EA3E76"/>
    <w:rsid w:val="00EA5050"/>
    <w:rsid w:val="00EA60DA"/>
    <w:rsid w:val="00EA6C90"/>
    <w:rsid w:val="00EA7579"/>
    <w:rsid w:val="00EA7596"/>
    <w:rsid w:val="00EA7766"/>
    <w:rsid w:val="00EB0238"/>
    <w:rsid w:val="00EB0FF8"/>
    <w:rsid w:val="00EB1888"/>
    <w:rsid w:val="00EB1FED"/>
    <w:rsid w:val="00EB3077"/>
    <w:rsid w:val="00EB3ECD"/>
    <w:rsid w:val="00EB4633"/>
    <w:rsid w:val="00EB4A57"/>
    <w:rsid w:val="00EB5205"/>
    <w:rsid w:val="00EB6354"/>
    <w:rsid w:val="00EB6541"/>
    <w:rsid w:val="00EB6581"/>
    <w:rsid w:val="00EB6D4E"/>
    <w:rsid w:val="00EB709C"/>
    <w:rsid w:val="00EB742D"/>
    <w:rsid w:val="00EC0022"/>
    <w:rsid w:val="00EC0FF9"/>
    <w:rsid w:val="00EC1412"/>
    <w:rsid w:val="00EC216A"/>
    <w:rsid w:val="00EC28C1"/>
    <w:rsid w:val="00EC38D9"/>
    <w:rsid w:val="00EC3A87"/>
    <w:rsid w:val="00EC3C31"/>
    <w:rsid w:val="00EC402D"/>
    <w:rsid w:val="00EC43BB"/>
    <w:rsid w:val="00EC4E95"/>
    <w:rsid w:val="00EC4F6F"/>
    <w:rsid w:val="00EC596B"/>
    <w:rsid w:val="00EC5CCC"/>
    <w:rsid w:val="00EC671B"/>
    <w:rsid w:val="00EC7E8B"/>
    <w:rsid w:val="00EC7F6F"/>
    <w:rsid w:val="00ED030F"/>
    <w:rsid w:val="00ED0CAA"/>
    <w:rsid w:val="00ED1158"/>
    <w:rsid w:val="00ED2890"/>
    <w:rsid w:val="00ED2CC1"/>
    <w:rsid w:val="00ED2E82"/>
    <w:rsid w:val="00ED2EB3"/>
    <w:rsid w:val="00ED308B"/>
    <w:rsid w:val="00ED322F"/>
    <w:rsid w:val="00ED3D32"/>
    <w:rsid w:val="00ED3F9B"/>
    <w:rsid w:val="00ED4336"/>
    <w:rsid w:val="00ED4CD6"/>
    <w:rsid w:val="00ED5154"/>
    <w:rsid w:val="00ED5223"/>
    <w:rsid w:val="00ED5432"/>
    <w:rsid w:val="00ED573C"/>
    <w:rsid w:val="00ED6D16"/>
    <w:rsid w:val="00ED7434"/>
    <w:rsid w:val="00EE0081"/>
    <w:rsid w:val="00EE0955"/>
    <w:rsid w:val="00EE0B6A"/>
    <w:rsid w:val="00EE1CAF"/>
    <w:rsid w:val="00EE2E97"/>
    <w:rsid w:val="00EE2F60"/>
    <w:rsid w:val="00EE360E"/>
    <w:rsid w:val="00EE3943"/>
    <w:rsid w:val="00EE3B98"/>
    <w:rsid w:val="00EE3BE0"/>
    <w:rsid w:val="00EE5774"/>
    <w:rsid w:val="00EE6C79"/>
    <w:rsid w:val="00EE7D25"/>
    <w:rsid w:val="00EF05A7"/>
    <w:rsid w:val="00EF0829"/>
    <w:rsid w:val="00EF107C"/>
    <w:rsid w:val="00EF12A8"/>
    <w:rsid w:val="00EF1BD5"/>
    <w:rsid w:val="00EF1FB5"/>
    <w:rsid w:val="00EF2376"/>
    <w:rsid w:val="00EF33A0"/>
    <w:rsid w:val="00EF376D"/>
    <w:rsid w:val="00EF3C7E"/>
    <w:rsid w:val="00EF3E15"/>
    <w:rsid w:val="00EF4585"/>
    <w:rsid w:val="00EF4FC1"/>
    <w:rsid w:val="00EF56AC"/>
    <w:rsid w:val="00EF5A8A"/>
    <w:rsid w:val="00EF5E52"/>
    <w:rsid w:val="00EF5ED4"/>
    <w:rsid w:val="00EF78A5"/>
    <w:rsid w:val="00EF7CD7"/>
    <w:rsid w:val="00F0069F"/>
    <w:rsid w:val="00F00747"/>
    <w:rsid w:val="00F00A39"/>
    <w:rsid w:val="00F00A43"/>
    <w:rsid w:val="00F01121"/>
    <w:rsid w:val="00F0214B"/>
    <w:rsid w:val="00F0229A"/>
    <w:rsid w:val="00F02A26"/>
    <w:rsid w:val="00F030AB"/>
    <w:rsid w:val="00F03624"/>
    <w:rsid w:val="00F039C9"/>
    <w:rsid w:val="00F03F4C"/>
    <w:rsid w:val="00F046CA"/>
    <w:rsid w:val="00F04B86"/>
    <w:rsid w:val="00F04D23"/>
    <w:rsid w:val="00F0523A"/>
    <w:rsid w:val="00F05C5F"/>
    <w:rsid w:val="00F066F8"/>
    <w:rsid w:val="00F07511"/>
    <w:rsid w:val="00F07580"/>
    <w:rsid w:val="00F078F1"/>
    <w:rsid w:val="00F1130D"/>
    <w:rsid w:val="00F11CFD"/>
    <w:rsid w:val="00F12324"/>
    <w:rsid w:val="00F12347"/>
    <w:rsid w:val="00F128FC"/>
    <w:rsid w:val="00F13158"/>
    <w:rsid w:val="00F13425"/>
    <w:rsid w:val="00F134E7"/>
    <w:rsid w:val="00F13701"/>
    <w:rsid w:val="00F1404C"/>
    <w:rsid w:val="00F144B2"/>
    <w:rsid w:val="00F146C0"/>
    <w:rsid w:val="00F147DC"/>
    <w:rsid w:val="00F150B3"/>
    <w:rsid w:val="00F1549D"/>
    <w:rsid w:val="00F15715"/>
    <w:rsid w:val="00F1571F"/>
    <w:rsid w:val="00F1595F"/>
    <w:rsid w:val="00F167E5"/>
    <w:rsid w:val="00F170AF"/>
    <w:rsid w:val="00F17E6A"/>
    <w:rsid w:val="00F20BB4"/>
    <w:rsid w:val="00F21554"/>
    <w:rsid w:val="00F225C5"/>
    <w:rsid w:val="00F22D6B"/>
    <w:rsid w:val="00F23118"/>
    <w:rsid w:val="00F233E7"/>
    <w:rsid w:val="00F23DA5"/>
    <w:rsid w:val="00F23F17"/>
    <w:rsid w:val="00F24B80"/>
    <w:rsid w:val="00F24C24"/>
    <w:rsid w:val="00F25093"/>
    <w:rsid w:val="00F2590E"/>
    <w:rsid w:val="00F25D12"/>
    <w:rsid w:val="00F27FDD"/>
    <w:rsid w:val="00F303DF"/>
    <w:rsid w:val="00F3170E"/>
    <w:rsid w:val="00F32266"/>
    <w:rsid w:val="00F3288F"/>
    <w:rsid w:val="00F335F9"/>
    <w:rsid w:val="00F3378A"/>
    <w:rsid w:val="00F33FD7"/>
    <w:rsid w:val="00F3407A"/>
    <w:rsid w:val="00F3457D"/>
    <w:rsid w:val="00F35934"/>
    <w:rsid w:val="00F35B05"/>
    <w:rsid w:val="00F35DE0"/>
    <w:rsid w:val="00F3617A"/>
    <w:rsid w:val="00F366D9"/>
    <w:rsid w:val="00F36EA1"/>
    <w:rsid w:val="00F37389"/>
    <w:rsid w:val="00F40119"/>
    <w:rsid w:val="00F41631"/>
    <w:rsid w:val="00F419CE"/>
    <w:rsid w:val="00F4230C"/>
    <w:rsid w:val="00F42497"/>
    <w:rsid w:val="00F424D3"/>
    <w:rsid w:val="00F4272C"/>
    <w:rsid w:val="00F42D3B"/>
    <w:rsid w:val="00F42EEC"/>
    <w:rsid w:val="00F433E3"/>
    <w:rsid w:val="00F43EFD"/>
    <w:rsid w:val="00F44C37"/>
    <w:rsid w:val="00F44DE9"/>
    <w:rsid w:val="00F45329"/>
    <w:rsid w:val="00F45CEA"/>
    <w:rsid w:val="00F46443"/>
    <w:rsid w:val="00F47116"/>
    <w:rsid w:val="00F47355"/>
    <w:rsid w:val="00F475D7"/>
    <w:rsid w:val="00F47623"/>
    <w:rsid w:val="00F5009C"/>
    <w:rsid w:val="00F5095D"/>
    <w:rsid w:val="00F50B9F"/>
    <w:rsid w:val="00F51923"/>
    <w:rsid w:val="00F52E0D"/>
    <w:rsid w:val="00F53E6F"/>
    <w:rsid w:val="00F53FB6"/>
    <w:rsid w:val="00F54386"/>
    <w:rsid w:val="00F54441"/>
    <w:rsid w:val="00F54E7C"/>
    <w:rsid w:val="00F54F68"/>
    <w:rsid w:val="00F552F3"/>
    <w:rsid w:val="00F5611B"/>
    <w:rsid w:val="00F562A3"/>
    <w:rsid w:val="00F5698B"/>
    <w:rsid w:val="00F56B7A"/>
    <w:rsid w:val="00F5783F"/>
    <w:rsid w:val="00F57A21"/>
    <w:rsid w:val="00F57EF8"/>
    <w:rsid w:val="00F600A4"/>
    <w:rsid w:val="00F60592"/>
    <w:rsid w:val="00F6079D"/>
    <w:rsid w:val="00F612E7"/>
    <w:rsid w:val="00F614D8"/>
    <w:rsid w:val="00F62639"/>
    <w:rsid w:val="00F630C5"/>
    <w:rsid w:val="00F63D08"/>
    <w:rsid w:val="00F64182"/>
    <w:rsid w:val="00F64758"/>
    <w:rsid w:val="00F648C6"/>
    <w:rsid w:val="00F6573F"/>
    <w:rsid w:val="00F65CE7"/>
    <w:rsid w:val="00F65DBC"/>
    <w:rsid w:val="00F661C7"/>
    <w:rsid w:val="00F66374"/>
    <w:rsid w:val="00F6664A"/>
    <w:rsid w:val="00F66FF7"/>
    <w:rsid w:val="00F67E9A"/>
    <w:rsid w:val="00F702B5"/>
    <w:rsid w:val="00F70523"/>
    <w:rsid w:val="00F70FB2"/>
    <w:rsid w:val="00F7117E"/>
    <w:rsid w:val="00F7147E"/>
    <w:rsid w:val="00F72092"/>
    <w:rsid w:val="00F72629"/>
    <w:rsid w:val="00F727D5"/>
    <w:rsid w:val="00F7372A"/>
    <w:rsid w:val="00F737D6"/>
    <w:rsid w:val="00F74186"/>
    <w:rsid w:val="00F754CB"/>
    <w:rsid w:val="00F7559C"/>
    <w:rsid w:val="00F75B73"/>
    <w:rsid w:val="00F76847"/>
    <w:rsid w:val="00F77CAE"/>
    <w:rsid w:val="00F803D4"/>
    <w:rsid w:val="00F8113A"/>
    <w:rsid w:val="00F81161"/>
    <w:rsid w:val="00F81542"/>
    <w:rsid w:val="00F81A84"/>
    <w:rsid w:val="00F82072"/>
    <w:rsid w:val="00F82384"/>
    <w:rsid w:val="00F82456"/>
    <w:rsid w:val="00F83597"/>
    <w:rsid w:val="00F849D6"/>
    <w:rsid w:val="00F84B15"/>
    <w:rsid w:val="00F86531"/>
    <w:rsid w:val="00F873EA"/>
    <w:rsid w:val="00F87AB5"/>
    <w:rsid w:val="00F90BD9"/>
    <w:rsid w:val="00F90C0C"/>
    <w:rsid w:val="00F91B20"/>
    <w:rsid w:val="00F925B6"/>
    <w:rsid w:val="00F93689"/>
    <w:rsid w:val="00F93D59"/>
    <w:rsid w:val="00F9519C"/>
    <w:rsid w:val="00F951DE"/>
    <w:rsid w:val="00F956BE"/>
    <w:rsid w:val="00F95E8B"/>
    <w:rsid w:val="00F96179"/>
    <w:rsid w:val="00F961AA"/>
    <w:rsid w:val="00F97982"/>
    <w:rsid w:val="00F97BBE"/>
    <w:rsid w:val="00FA060A"/>
    <w:rsid w:val="00FA073F"/>
    <w:rsid w:val="00FA184A"/>
    <w:rsid w:val="00FA2027"/>
    <w:rsid w:val="00FA21A0"/>
    <w:rsid w:val="00FA39AE"/>
    <w:rsid w:val="00FA3B41"/>
    <w:rsid w:val="00FA3BC8"/>
    <w:rsid w:val="00FA3F89"/>
    <w:rsid w:val="00FA45C4"/>
    <w:rsid w:val="00FA5A27"/>
    <w:rsid w:val="00FA5DBE"/>
    <w:rsid w:val="00FA5DFE"/>
    <w:rsid w:val="00FA5F8E"/>
    <w:rsid w:val="00FA6BCE"/>
    <w:rsid w:val="00FA7504"/>
    <w:rsid w:val="00FA7B0C"/>
    <w:rsid w:val="00FB021F"/>
    <w:rsid w:val="00FB08AC"/>
    <w:rsid w:val="00FB12EB"/>
    <w:rsid w:val="00FB24EB"/>
    <w:rsid w:val="00FB2559"/>
    <w:rsid w:val="00FB3367"/>
    <w:rsid w:val="00FB39F1"/>
    <w:rsid w:val="00FB4255"/>
    <w:rsid w:val="00FB4887"/>
    <w:rsid w:val="00FB648E"/>
    <w:rsid w:val="00FB7F01"/>
    <w:rsid w:val="00FB7F6C"/>
    <w:rsid w:val="00FB7F8D"/>
    <w:rsid w:val="00FC00B6"/>
    <w:rsid w:val="00FC0D04"/>
    <w:rsid w:val="00FC10E5"/>
    <w:rsid w:val="00FC1C61"/>
    <w:rsid w:val="00FC2B09"/>
    <w:rsid w:val="00FC418C"/>
    <w:rsid w:val="00FC4522"/>
    <w:rsid w:val="00FC4AD0"/>
    <w:rsid w:val="00FC5000"/>
    <w:rsid w:val="00FC5990"/>
    <w:rsid w:val="00FC60A4"/>
    <w:rsid w:val="00FC71C9"/>
    <w:rsid w:val="00FC76A8"/>
    <w:rsid w:val="00FC780B"/>
    <w:rsid w:val="00FC7E24"/>
    <w:rsid w:val="00FC7E9C"/>
    <w:rsid w:val="00FD09FE"/>
    <w:rsid w:val="00FD0A0F"/>
    <w:rsid w:val="00FD1E3F"/>
    <w:rsid w:val="00FD1F8F"/>
    <w:rsid w:val="00FD26BA"/>
    <w:rsid w:val="00FD2759"/>
    <w:rsid w:val="00FD399F"/>
    <w:rsid w:val="00FD4167"/>
    <w:rsid w:val="00FD46B9"/>
    <w:rsid w:val="00FD4AFE"/>
    <w:rsid w:val="00FD4D9C"/>
    <w:rsid w:val="00FD4F55"/>
    <w:rsid w:val="00FD5928"/>
    <w:rsid w:val="00FD5CE2"/>
    <w:rsid w:val="00FD6039"/>
    <w:rsid w:val="00FD7A8A"/>
    <w:rsid w:val="00FD7B25"/>
    <w:rsid w:val="00FE096B"/>
    <w:rsid w:val="00FE14E5"/>
    <w:rsid w:val="00FE1942"/>
    <w:rsid w:val="00FE1A42"/>
    <w:rsid w:val="00FE1CCA"/>
    <w:rsid w:val="00FE25A3"/>
    <w:rsid w:val="00FE2624"/>
    <w:rsid w:val="00FE2FFA"/>
    <w:rsid w:val="00FE453D"/>
    <w:rsid w:val="00FE6C8F"/>
    <w:rsid w:val="00FE7006"/>
    <w:rsid w:val="00FE795B"/>
    <w:rsid w:val="00FF051D"/>
    <w:rsid w:val="00FF052B"/>
    <w:rsid w:val="00FF0710"/>
    <w:rsid w:val="00FF0CF8"/>
    <w:rsid w:val="00FF11D7"/>
    <w:rsid w:val="00FF1C7C"/>
    <w:rsid w:val="00FF32A8"/>
    <w:rsid w:val="00FF3498"/>
    <w:rsid w:val="00FF40A7"/>
    <w:rsid w:val="00FF4407"/>
    <w:rsid w:val="00FF4BC4"/>
    <w:rsid w:val="00FF4DF3"/>
    <w:rsid w:val="00FF5A4C"/>
    <w:rsid w:val="00FF62D6"/>
    <w:rsid w:val="00FF64D6"/>
    <w:rsid w:val="00FF7367"/>
    <w:rsid w:val="00FF7A82"/>
    <w:rsid w:val="010840EB"/>
    <w:rsid w:val="01085400"/>
    <w:rsid w:val="010C1DDD"/>
    <w:rsid w:val="0115207C"/>
    <w:rsid w:val="01153D99"/>
    <w:rsid w:val="01176EA7"/>
    <w:rsid w:val="011A62E0"/>
    <w:rsid w:val="01281959"/>
    <w:rsid w:val="012F6D2B"/>
    <w:rsid w:val="013627B1"/>
    <w:rsid w:val="013C06BC"/>
    <w:rsid w:val="014063FE"/>
    <w:rsid w:val="01465B42"/>
    <w:rsid w:val="01481C67"/>
    <w:rsid w:val="014F4AE5"/>
    <w:rsid w:val="014F5A51"/>
    <w:rsid w:val="01676CE2"/>
    <w:rsid w:val="01687703"/>
    <w:rsid w:val="016F7CC9"/>
    <w:rsid w:val="01723614"/>
    <w:rsid w:val="01802C9E"/>
    <w:rsid w:val="01874C80"/>
    <w:rsid w:val="01891125"/>
    <w:rsid w:val="018E16E2"/>
    <w:rsid w:val="018F2EE2"/>
    <w:rsid w:val="018F4C90"/>
    <w:rsid w:val="018F791C"/>
    <w:rsid w:val="019329D2"/>
    <w:rsid w:val="019D73AC"/>
    <w:rsid w:val="01A4698D"/>
    <w:rsid w:val="01AB57CD"/>
    <w:rsid w:val="01B12E58"/>
    <w:rsid w:val="01B13002"/>
    <w:rsid w:val="01BC0A33"/>
    <w:rsid w:val="01BD0E58"/>
    <w:rsid w:val="01BF1898"/>
    <w:rsid w:val="01BF6623"/>
    <w:rsid w:val="01CB4ADC"/>
    <w:rsid w:val="01D0353E"/>
    <w:rsid w:val="01D34A03"/>
    <w:rsid w:val="01D37FFC"/>
    <w:rsid w:val="01D56655"/>
    <w:rsid w:val="01D95E40"/>
    <w:rsid w:val="01D9777A"/>
    <w:rsid w:val="01DE1773"/>
    <w:rsid w:val="01E10861"/>
    <w:rsid w:val="01F2595E"/>
    <w:rsid w:val="01F31B11"/>
    <w:rsid w:val="01FB0ECD"/>
    <w:rsid w:val="01FF7ADB"/>
    <w:rsid w:val="02071B4B"/>
    <w:rsid w:val="02116C5C"/>
    <w:rsid w:val="021803FB"/>
    <w:rsid w:val="022038B7"/>
    <w:rsid w:val="02247ACE"/>
    <w:rsid w:val="02257F7A"/>
    <w:rsid w:val="022618D2"/>
    <w:rsid w:val="0227136C"/>
    <w:rsid w:val="022C5991"/>
    <w:rsid w:val="022D1D83"/>
    <w:rsid w:val="022E54A5"/>
    <w:rsid w:val="023C36F4"/>
    <w:rsid w:val="023F2212"/>
    <w:rsid w:val="023F311C"/>
    <w:rsid w:val="02414829"/>
    <w:rsid w:val="0251087C"/>
    <w:rsid w:val="02596AD1"/>
    <w:rsid w:val="025C0A2E"/>
    <w:rsid w:val="02636518"/>
    <w:rsid w:val="026778C4"/>
    <w:rsid w:val="02765697"/>
    <w:rsid w:val="027842C9"/>
    <w:rsid w:val="02803E12"/>
    <w:rsid w:val="028125B5"/>
    <w:rsid w:val="02831772"/>
    <w:rsid w:val="028A0D66"/>
    <w:rsid w:val="029C5AAB"/>
    <w:rsid w:val="02A30313"/>
    <w:rsid w:val="02A63AF7"/>
    <w:rsid w:val="02AD7AC3"/>
    <w:rsid w:val="02AE4195"/>
    <w:rsid w:val="02B4593A"/>
    <w:rsid w:val="02BC238B"/>
    <w:rsid w:val="02BF2193"/>
    <w:rsid w:val="02C243CC"/>
    <w:rsid w:val="02C81745"/>
    <w:rsid w:val="02C8524D"/>
    <w:rsid w:val="02D85F1D"/>
    <w:rsid w:val="02DD5A76"/>
    <w:rsid w:val="02E4100B"/>
    <w:rsid w:val="02E62FD5"/>
    <w:rsid w:val="02E80AFB"/>
    <w:rsid w:val="02E90A19"/>
    <w:rsid w:val="02E920B9"/>
    <w:rsid w:val="02EB2F59"/>
    <w:rsid w:val="02F12253"/>
    <w:rsid w:val="02F254D6"/>
    <w:rsid w:val="02FA58B9"/>
    <w:rsid w:val="02FD7EB3"/>
    <w:rsid w:val="02FE0D72"/>
    <w:rsid w:val="030078C9"/>
    <w:rsid w:val="030342BE"/>
    <w:rsid w:val="0305345B"/>
    <w:rsid w:val="030572F4"/>
    <w:rsid w:val="030A3D11"/>
    <w:rsid w:val="0311019A"/>
    <w:rsid w:val="031435FA"/>
    <w:rsid w:val="03147C4F"/>
    <w:rsid w:val="03167E35"/>
    <w:rsid w:val="03195159"/>
    <w:rsid w:val="031E4E24"/>
    <w:rsid w:val="0321178E"/>
    <w:rsid w:val="03291B63"/>
    <w:rsid w:val="032E6179"/>
    <w:rsid w:val="03366CFC"/>
    <w:rsid w:val="033A79FC"/>
    <w:rsid w:val="0340506E"/>
    <w:rsid w:val="03412CB6"/>
    <w:rsid w:val="0346435E"/>
    <w:rsid w:val="034D095E"/>
    <w:rsid w:val="034E1357"/>
    <w:rsid w:val="03561F09"/>
    <w:rsid w:val="036B273A"/>
    <w:rsid w:val="03747198"/>
    <w:rsid w:val="038E1794"/>
    <w:rsid w:val="03915E3C"/>
    <w:rsid w:val="03922815"/>
    <w:rsid w:val="03996C2B"/>
    <w:rsid w:val="039A0111"/>
    <w:rsid w:val="03A367D0"/>
    <w:rsid w:val="03A3744B"/>
    <w:rsid w:val="03B50BA3"/>
    <w:rsid w:val="03C91AD7"/>
    <w:rsid w:val="03CB1293"/>
    <w:rsid w:val="03CB18C2"/>
    <w:rsid w:val="03CB4D47"/>
    <w:rsid w:val="03CF75C5"/>
    <w:rsid w:val="03D33F6A"/>
    <w:rsid w:val="03D57D87"/>
    <w:rsid w:val="03D61711"/>
    <w:rsid w:val="03DD7F34"/>
    <w:rsid w:val="03EE4597"/>
    <w:rsid w:val="03F45F28"/>
    <w:rsid w:val="03F75581"/>
    <w:rsid w:val="03FB1990"/>
    <w:rsid w:val="03FB789E"/>
    <w:rsid w:val="03FF434E"/>
    <w:rsid w:val="040556DD"/>
    <w:rsid w:val="04055AC0"/>
    <w:rsid w:val="04081B1E"/>
    <w:rsid w:val="040A232C"/>
    <w:rsid w:val="040B6A87"/>
    <w:rsid w:val="041D38A8"/>
    <w:rsid w:val="042033D6"/>
    <w:rsid w:val="042042C5"/>
    <w:rsid w:val="042223C8"/>
    <w:rsid w:val="04265714"/>
    <w:rsid w:val="042C39FE"/>
    <w:rsid w:val="042D1459"/>
    <w:rsid w:val="04340A32"/>
    <w:rsid w:val="04355BEF"/>
    <w:rsid w:val="04363AA4"/>
    <w:rsid w:val="043F16F2"/>
    <w:rsid w:val="0446766D"/>
    <w:rsid w:val="04497378"/>
    <w:rsid w:val="044D01BA"/>
    <w:rsid w:val="044D4146"/>
    <w:rsid w:val="044E0E32"/>
    <w:rsid w:val="04511CDD"/>
    <w:rsid w:val="045E6625"/>
    <w:rsid w:val="04625EBD"/>
    <w:rsid w:val="04654A37"/>
    <w:rsid w:val="04711BE0"/>
    <w:rsid w:val="0472224C"/>
    <w:rsid w:val="04753095"/>
    <w:rsid w:val="04765C97"/>
    <w:rsid w:val="047F420A"/>
    <w:rsid w:val="04804DA9"/>
    <w:rsid w:val="04807AAD"/>
    <w:rsid w:val="0482175C"/>
    <w:rsid w:val="048C6559"/>
    <w:rsid w:val="049079C3"/>
    <w:rsid w:val="04910D1F"/>
    <w:rsid w:val="04932B05"/>
    <w:rsid w:val="04972BAA"/>
    <w:rsid w:val="04A62A1C"/>
    <w:rsid w:val="04BE4571"/>
    <w:rsid w:val="04BF4F3C"/>
    <w:rsid w:val="04C2712A"/>
    <w:rsid w:val="04C504B5"/>
    <w:rsid w:val="04C60311"/>
    <w:rsid w:val="04C7153D"/>
    <w:rsid w:val="04CE5ACF"/>
    <w:rsid w:val="04D4279E"/>
    <w:rsid w:val="04DB4F44"/>
    <w:rsid w:val="04E561D8"/>
    <w:rsid w:val="04EF16DB"/>
    <w:rsid w:val="04F05A45"/>
    <w:rsid w:val="04F70794"/>
    <w:rsid w:val="04FD07A4"/>
    <w:rsid w:val="0502217D"/>
    <w:rsid w:val="05143FD4"/>
    <w:rsid w:val="052B7C85"/>
    <w:rsid w:val="052E656D"/>
    <w:rsid w:val="05300A2B"/>
    <w:rsid w:val="05366981"/>
    <w:rsid w:val="0540725C"/>
    <w:rsid w:val="05434116"/>
    <w:rsid w:val="0543630F"/>
    <w:rsid w:val="05441EDA"/>
    <w:rsid w:val="05541DAE"/>
    <w:rsid w:val="0554505D"/>
    <w:rsid w:val="05565D9E"/>
    <w:rsid w:val="05573334"/>
    <w:rsid w:val="055F6B9D"/>
    <w:rsid w:val="05606835"/>
    <w:rsid w:val="057F0FAE"/>
    <w:rsid w:val="05803B10"/>
    <w:rsid w:val="058201CC"/>
    <w:rsid w:val="058663AA"/>
    <w:rsid w:val="058A4714"/>
    <w:rsid w:val="0591547A"/>
    <w:rsid w:val="059279E7"/>
    <w:rsid w:val="059540F9"/>
    <w:rsid w:val="059A79E5"/>
    <w:rsid w:val="059C44F1"/>
    <w:rsid w:val="05A03755"/>
    <w:rsid w:val="05A3217E"/>
    <w:rsid w:val="05A3539A"/>
    <w:rsid w:val="05A47DB3"/>
    <w:rsid w:val="05B56BCD"/>
    <w:rsid w:val="05BE1FE7"/>
    <w:rsid w:val="05C13E91"/>
    <w:rsid w:val="05DA719F"/>
    <w:rsid w:val="05DE4009"/>
    <w:rsid w:val="05E312D5"/>
    <w:rsid w:val="05E57574"/>
    <w:rsid w:val="05E73218"/>
    <w:rsid w:val="05E732EC"/>
    <w:rsid w:val="05F45A09"/>
    <w:rsid w:val="06007F0A"/>
    <w:rsid w:val="060406CC"/>
    <w:rsid w:val="060411F8"/>
    <w:rsid w:val="06115522"/>
    <w:rsid w:val="0618501F"/>
    <w:rsid w:val="061A6470"/>
    <w:rsid w:val="06205149"/>
    <w:rsid w:val="062B3F73"/>
    <w:rsid w:val="063B2989"/>
    <w:rsid w:val="06431F3B"/>
    <w:rsid w:val="06471FDD"/>
    <w:rsid w:val="0651380D"/>
    <w:rsid w:val="0674734F"/>
    <w:rsid w:val="068C5C42"/>
    <w:rsid w:val="06952D48"/>
    <w:rsid w:val="0699354A"/>
    <w:rsid w:val="06A10E35"/>
    <w:rsid w:val="06A14987"/>
    <w:rsid w:val="06A92639"/>
    <w:rsid w:val="06B34F7C"/>
    <w:rsid w:val="06B648E9"/>
    <w:rsid w:val="06BA1548"/>
    <w:rsid w:val="06BC02D5"/>
    <w:rsid w:val="06CC25DF"/>
    <w:rsid w:val="06CC636F"/>
    <w:rsid w:val="06CD318E"/>
    <w:rsid w:val="06CE24F7"/>
    <w:rsid w:val="06D52FEA"/>
    <w:rsid w:val="06D77260"/>
    <w:rsid w:val="06D8720F"/>
    <w:rsid w:val="06DF4A4A"/>
    <w:rsid w:val="06E30C78"/>
    <w:rsid w:val="06E97FB5"/>
    <w:rsid w:val="06EE4F3E"/>
    <w:rsid w:val="06F67912"/>
    <w:rsid w:val="07012579"/>
    <w:rsid w:val="070153EF"/>
    <w:rsid w:val="07016FBD"/>
    <w:rsid w:val="070B6B66"/>
    <w:rsid w:val="070C0315"/>
    <w:rsid w:val="071026CB"/>
    <w:rsid w:val="071579E5"/>
    <w:rsid w:val="07246A32"/>
    <w:rsid w:val="07403DC0"/>
    <w:rsid w:val="07470275"/>
    <w:rsid w:val="07542016"/>
    <w:rsid w:val="07571DAC"/>
    <w:rsid w:val="075A7AEE"/>
    <w:rsid w:val="07634BF4"/>
    <w:rsid w:val="076361A6"/>
    <w:rsid w:val="07673E9C"/>
    <w:rsid w:val="076A1726"/>
    <w:rsid w:val="07870519"/>
    <w:rsid w:val="07942D71"/>
    <w:rsid w:val="07964498"/>
    <w:rsid w:val="07990616"/>
    <w:rsid w:val="07A03530"/>
    <w:rsid w:val="07A20778"/>
    <w:rsid w:val="07A23716"/>
    <w:rsid w:val="07AF755F"/>
    <w:rsid w:val="07B225BC"/>
    <w:rsid w:val="07B37C1F"/>
    <w:rsid w:val="07B74F40"/>
    <w:rsid w:val="07C73CEA"/>
    <w:rsid w:val="07CC7BFE"/>
    <w:rsid w:val="07E058A4"/>
    <w:rsid w:val="07E54F62"/>
    <w:rsid w:val="07E7432C"/>
    <w:rsid w:val="07F42A9C"/>
    <w:rsid w:val="07F626E7"/>
    <w:rsid w:val="080C218A"/>
    <w:rsid w:val="08167EB9"/>
    <w:rsid w:val="081B6CF2"/>
    <w:rsid w:val="08251A4C"/>
    <w:rsid w:val="082962EA"/>
    <w:rsid w:val="082D2490"/>
    <w:rsid w:val="082D6309"/>
    <w:rsid w:val="083F1DBF"/>
    <w:rsid w:val="08420995"/>
    <w:rsid w:val="084637B0"/>
    <w:rsid w:val="08485EB9"/>
    <w:rsid w:val="08503177"/>
    <w:rsid w:val="08512C9F"/>
    <w:rsid w:val="085A3CDA"/>
    <w:rsid w:val="08605B33"/>
    <w:rsid w:val="08634780"/>
    <w:rsid w:val="08643BEF"/>
    <w:rsid w:val="0865499C"/>
    <w:rsid w:val="08680C66"/>
    <w:rsid w:val="086C1D46"/>
    <w:rsid w:val="087F5652"/>
    <w:rsid w:val="087F5A5E"/>
    <w:rsid w:val="0882554E"/>
    <w:rsid w:val="088616E9"/>
    <w:rsid w:val="088926F5"/>
    <w:rsid w:val="088B1121"/>
    <w:rsid w:val="088C346A"/>
    <w:rsid w:val="088C3CD7"/>
    <w:rsid w:val="08927EA8"/>
    <w:rsid w:val="08A401D8"/>
    <w:rsid w:val="08A72527"/>
    <w:rsid w:val="08A96637"/>
    <w:rsid w:val="08AC5ADC"/>
    <w:rsid w:val="08AC65C9"/>
    <w:rsid w:val="08AC6AD2"/>
    <w:rsid w:val="08AD7EA6"/>
    <w:rsid w:val="08BC2613"/>
    <w:rsid w:val="08C63CBC"/>
    <w:rsid w:val="08CA0733"/>
    <w:rsid w:val="08CB3C01"/>
    <w:rsid w:val="08CB5E01"/>
    <w:rsid w:val="08CD6506"/>
    <w:rsid w:val="08E238A4"/>
    <w:rsid w:val="08E543DD"/>
    <w:rsid w:val="08F8136C"/>
    <w:rsid w:val="08F85810"/>
    <w:rsid w:val="08FD6983"/>
    <w:rsid w:val="0902043D"/>
    <w:rsid w:val="09041C74"/>
    <w:rsid w:val="0915777D"/>
    <w:rsid w:val="091F0B3A"/>
    <w:rsid w:val="091F0FEF"/>
    <w:rsid w:val="09292BDA"/>
    <w:rsid w:val="092B34F0"/>
    <w:rsid w:val="092F4AB9"/>
    <w:rsid w:val="093255A9"/>
    <w:rsid w:val="093305F6"/>
    <w:rsid w:val="0935052C"/>
    <w:rsid w:val="093D327D"/>
    <w:rsid w:val="093D69B2"/>
    <w:rsid w:val="093F243A"/>
    <w:rsid w:val="09412D13"/>
    <w:rsid w:val="09414431"/>
    <w:rsid w:val="0949606C"/>
    <w:rsid w:val="09520ED8"/>
    <w:rsid w:val="095376C9"/>
    <w:rsid w:val="095636EB"/>
    <w:rsid w:val="09652EA6"/>
    <w:rsid w:val="09655400"/>
    <w:rsid w:val="096E2C99"/>
    <w:rsid w:val="09794987"/>
    <w:rsid w:val="097F1D39"/>
    <w:rsid w:val="09916EF4"/>
    <w:rsid w:val="09955B8F"/>
    <w:rsid w:val="09972FB3"/>
    <w:rsid w:val="09985E4C"/>
    <w:rsid w:val="099C263F"/>
    <w:rsid w:val="09AF1F07"/>
    <w:rsid w:val="09BB1615"/>
    <w:rsid w:val="09C4326B"/>
    <w:rsid w:val="09C556F2"/>
    <w:rsid w:val="09D122E9"/>
    <w:rsid w:val="09D129A0"/>
    <w:rsid w:val="09E044EE"/>
    <w:rsid w:val="09E04520"/>
    <w:rsid w:val="09EC5ECA"/>
    <w:rsid w:val="09FE0CF4"/>
    <w:rsid w:val="09FE2877"/>
    <w:rsid w:val="0A042898"/>
    <w:rsid w:val="0A0D698B"/>
    <w:rsid w:val="0A121772"/>
    <w:rsid w:val="0A1B3F65"/>
    <w:rsid w:val="0A1F007C"/>
    <w:rsid w:val="0A283509"/>
    <w:rsid w:val="0A2C751F"/>
    <w:rsid w:val="0A312D88"/>
    <w:rsid w:val="0A361AA5"/>
    <w:rsid w:val="0A382E9D"/>
    <w:rsid w:val="0A3B7028"/>
    <w:rsid w:val="0A40320F"/>
    <w:rsid w:val="0A491BD7"/>
    <w:rsid w:val="0A554EFC"/>
    <w:rsid w:val="0A5C25D8"/>
    <w:rsid w:val="0A5E07EB"/>
    <w:rsid w:val="0A6B567B"/>
    <w:rsid w:val="0A786149"/>
    <w:rsid w:val="0A7E1D45"/>
    <w:rsid w:val="0A876E4C"/>
    <w:rsid w:val="0A8C5A3A"/>
    <w:rsid w:val="0A9C2225"/>
    <w:rsid w:val="0A9D21CB"/>
    <w:rsid w:val="0AA174C2"/>
    <w:rsid w:val="0AAB2DCC"/>
    <w:rsid w:val="0ABB41D7"/>
    <w:rsid w:val="0AC46402"/>
    <w:rsid w:val="0AC50710"/>
    <w:rsid w:val="0AD962B4"/>
    <w:rsid w:val="0ADB3EFE"/>
    <w:rsid w:val="0AE95AF1"/>
    <w:rsid w:val="0AEE75F6"/>
    <w:rsid w:val="0B013C63"/>
    <w:rsid w:val="0B020FBA"/>
    <w:rsid w:val="0B0614D4"/>
    <w:rsid w:val="0B095AB3"/>
    <w:rsid w:val="0B0C5929"/>
    <w:rsid w:val="0B0C7351"/>
    <w:rsid w:val="0B0F79E3"/>
    <w:rsid w:val="0B186F04"/>
    <w:rsid w:val="0B1B192A"/>
    <w:rsid w:val="0B1E48A3"/>
    <w:rsid w:val="0B237A34"/>
    <w:rsid w:val="0B2A249A"/>
    <w:rsid w:val="0B31090B"/>
    <w:rsid w:val="0B37561E"/>
    <w:rsid w:val="0B3C7E73"/>
    <w:rsid w:val="0B4C649E"/>
    <w:rsid w:val="0B536FB3"/>
    <w:rsid w:val="0B6273B7"/>
    <w:rsid w:val="0B6E638C"/>
    <w:rsid w:val="0B7421BC"/>
    <w:rsid w:val="0B756CA4"/>
    <w:rsid w:val="0B78042B"/>
    <w:rsid w:val="0B7B1E62"/>
    <w:rsid w:val="0B7C31FF"/>
    <w:rsid w:val="0B7D3FE1"/>
    <w:rsid w:val="0B7F311A"/>
    <w:rsid w:val="0B846A84"/>
    <w:rsid w:val="0B860EB1"/>
    <w:rsid w:val="0B93537C"/>
    <w:rsid w:val="0B9527EC"/>
    <w:rsid w:val="0B996E37"/>
    <w:rsid w:val="0B9A42FC"/>
    <w:rsid w:val="0B9B3AAE"/>
    <w:rsid w:val="0BA46B52"/>
    <w:rsid w:val="0BAC14BF"/>
    <w:rsid w:val="0BB35A1E"/>
    <w:rsid w:val="0BBA2B8C"/>
    <w:rsid w:val="0BBE4CFF"/>
    <w:rsid w:val="0BC02474"/>
    <w:rsid w:val="0BC97DBA"/>
    <w:rsid w:val="0BD25442"/>
    <w:rsid w:val="0BD71FDC"/>
    <w:rsid w:val="0BD85ACC"/>
    <w:rsid w:val="0BDC793D"/>
    <w:rsid w:val="0BED0C65"/>
    <w:rsid w:val="0BF30FFB"/>
    <w:rsid w:val="0BFE4DFB"/>
    <w:rsid w:val="0C01199F"/>
    <w:rsid w:val="0C01678A"/>
    <w:rsid w:val="0C081395"/>
    <w:rsid w:val="0C0D15D3"/>
    <w:rsid w:val="0C0F4658"/>
    <w:rsid w:val="0C17787A"/>
    <w:rsid w:val="0C210BDA"/>
    <w:rsid w:val="0C2B4E2E"/>
    <w:rsid w:val="0C3B278F"/>
    <w:rsid w:val="0C4050C2"/>
    <w:rsid w:val="0C426C49"/>
    <w:rsid w:val="0C476893"/>
    <w:rsid w:val="0C4D4C35"/>
    <w:rsid w:val="0C525237"/>
    <w:rsid w:val="0C536DFE"/>
    <w:rsid w:val="0C5D60B6"/>
    <w:rsid w:val="0C5E00AC"/>
    <w:rsid w:val="0C604915"/>
    <w:rsid w:val="0C637445"/>
    <w:rsid w:val="0C6A568B"/>
    <w:rsid w:val="0C6C62F9"/>
    <w:rsid w:val="0C6D3E1F"/>
    <w:rsid w:val="0C7451AE"/>
    <w:rsid w:val="0C7C0663"/>
    <w:rsid w:val="0C84135A"/>
    <w:rsid w:val="0C8464AB"/>
    <w:rsid w:val="0C8F646D"/>
    <w:rsid w:val="0C900A4E"/>
    <w:rsid w:val="0C91363E"/>
    <w:rsid w:val="0C970E9C"/>
    <w:rsid w:val="0C9A295D"/>
    <w:rsid w:val="0C9F3B69"/>
    <w:rsid w:val="0CA04E96"/>
    <w:rsid w:val="0CAD19F6"/>
    <w:rsid w:val="0CAF07F8"/>
    <w:rsid w:val="0CB94DCA"/>
    <w:rsid w:val="0CC46135"/>
    <w:rsid w:val="0CCB220F"/>
    <w:rsid w:val="0CD343D3"/>
    <w:rsid w:val="0CDD42C7"/>
    <w:rsid w:val="0CE3155E"/>
    <w:rsid w:val="0CE510A5"/>
    <w:rsid w:val="0CE5781A"/>
    <w:rsid w:val="0CEF0CD8"/>
    <w:rsid w:val="0CF15AE5"/>
    <w:rsid w:val="0CF16F6F"/>
    <w:rsid w:val="0CF27FC3"/>
    <w:rsid w:val="0CF71966"/>
    <w:rsid w:val="0CF804C6"/>
    <w:rsid w:val="0D076022"/>
    <w:rsid w:val="0D12460D"/>
    <w:rsid w:val="0D1E3902"/>
    <w:rsid w:val="0D1E6BF9"/>
    <w:rsid w:val="0D1F2ECA"/>
    <w:rsid w:val="0D292F3D"/>
    <w:rsid w:val="0D305579"/>
    <w:rsid w:val="0D341D61"/>
    <w:rsid w:val="0D4311BA"/>
    <w:rsid w:val="0D4C0D1B"/>
    <w:rsid w:val="0D4C752D"/>
    <w:rsid w:val="0D4E2FA5"/>
    <w:rsid w:val="0D4F144C"/>
    <w:rsid w:val="0D602BDE"/>
    <w:rsid w:val="0D631685"/>
    <w:rsid w:val="0D6D1FAA"/>
    <w:rsid w:val="0D793E0F"/>
    <w:rsid w:val="0D7C14B8"/>
    <w:rsid w:val="0D815DD4"/>
    <w:rsid w:val="0D822A36"/>
    <w:rsid w:val="0D89174F"/>
    <w:rsid w:val="0D906973"/>
    <w:rsid w:val="0D9C1253"/>
    <w:rsid w:val="0D9F1F1C"/>
    <w:rsid w:val="0DAA3FFB"/>
    <w:rsid w:val="0DB43D4C"/>
    <w:rsid w:val="0DB742A8"/>
    <w:rsid w:val="0DBB5A11"/>
    <w:rsid w:val="0DC3019B"/>
    <w:rsid w:val="0DC618AE"/>
    <w:rsid w:val="0DD04139"/>
    <w:rsid w:val="0DE7642F"/>
    <w:rsid w:val="0DF5231E"/>
    <w:rsid w:val="0DF84F51"/>
    <w:rsid w:val="0DFA0F8F"/>
    <w:rsid w:val="0DFB6936"/>
    <w:rsid w:val="0E0642DD"/>
    <w:rsid w:val="0E0A48AD"/>
    <w:rsid w:val="0E0B1B42"/>
    <w:rsid w:val="0E1456BE"/>
    <w:rsid w:val="0E171550"/>
    <w:rsid w:val="0E1A7CD5"/>
    <w:rsid w:val="0E1B71A1"/>
    <w:rsid w:val="0E2067BC"/>
    <w:rsid w:val="0E230973"/>
    <w:rsid w:val="0E245572"/>
    <w:rsid w:val="0E267BB6"/>
    <w:rsid w:val="0E2D45D4"/>
    <w:rsid w:val="0E304AEE"/>
    <w:rsid w:val="0E364E11"/>
    <w:rsid w:val="0E3F3599"/>
    <w:rsid w:val="0E4E5C66"/>
    <w:rsid w:val="0E4F1A2E"/>
    <w:rsid w:val="0E535DCA"/>
    <w:rsid w:val="0E54415D"/>
    <w:rsid w:val="0E670336"/>
    <w:rsid w:val="0E681446"/>
    <w:rsid w:val="0E72396F"/>
    <w:rsid w:val="0E7616B1"/>
    <w:rsid w:val="0E76345F"/>
    <w:rsid w:val="0E773D43"/>
    <w:rsid w:val="0E7E1F4A"/>
    <w:rsid w:val="0E80608C"/>
    <w:rsid w:val="0E843B47"/>
    <w:rsid w:val="0E865A49"/>
    <w:rsid w:val="0E9A480B"/>
    <w:rsid w:val="0EA555F9"/>
    <w:rsid w:val="0EA67107"/>
    <w:rsid w:val="0EBF06A5"/>
    <w:rsid w:val="0ECB2E93"/>
    <w:rsid w:val="0ED160FA"/>
    <w:rsid w:val="0ED56DC0"/>
    <w:rsid w:val="0EDA597E"/>
    <w:rsid w:val="0EDB59B8"/>
    <w:rsid w:val="0EDC2598"/>
    <w:rsid w:val="0EE4283E"/>
    <w:rsid w:val="0EF03133"/>
    <w:rsid w:val="0EF15A6A"/>
    <w:rsid w:val="0EF166D9"/>
    <w:rsid w:val="0EF372A9"/>
    <w:rsid w:val="0EF92712"/>
    <w:rsid w:val="0EF97BEC"/>
    <w:rsid w:val="0F000F7B"/>
    <w:rsid w:val="0F104D45"/>
    <w:rsid w:val="0F181697"/>
    <w:rsid w:val="0F192B8F"/>
    <w:rsid w:val="0F2A6BF8"/>
    <w:rsid w:val="0F2B26EE"/>
    <w:rsid w:val="0F3249FD"/>
    <w:rsid w:val="0F364D94"/>
    <w:rsid w:val="0F390E06"/>
    <w:rsid w:val="0F392B74"/>
    <w:rsid w:val="0F41185F"/>
    <w:rsid w:val="0F4165A6"/>
    <w:rsid w:val="0F464CE4"/>
    <w:rsid w:val="0F474DFC"/>
    <w:rsid w:val="0F495197"/>
    <w:rsid w:val="0F4D11F1"/>
    <w:rsid w:val="0F532AB2"/>
    <w:rsid w:val="0F557595"/>
    <w:rsid w:val="0F5F2145"/>
    <w:rsid w:val="0F616BCD"/>
    <w:rsid w:val="0F6270F2"/>
    <w:rsid w:val="0F6975D1"/>
    <w:rsid w:val="0F6B16B8"/>
    <w:rsid w:val="0F6C44B5"/>
    <w:rsid w:val="0F7F09E1"/>
    <w:rsid w:val="0F864741"/>
    <w:rsid w:val="0F8F2AAD"/>
    <w:rsid w:val="0F910349"/>
    <w:rsid w:val="0F931DEF"/>
    <w:rsid w:val="0F964C6A"/>
    <w:rsid w:val="0F995B1B"/>
    <w:rsid w:val="0FA412F7"/>
    <w:rsid w:val="0FA46456"/>
    <w:rsid w:val="0FCC0920"/>
    <w:rsid w:val="0FF341F8"/>
    <w:rsid w:val="0FF6515C"/>
    <w:rsid w:val="0FF705D0"/>
    <w:rsid w:val="0FFA3C1C"/>
    <w:rsid w:val="1004366D"/>
    <w:rsid w:val="10083E00"/>
    <w:rsid w:val="100C678F"/>
    <w:rsid w:val="100C6993"/>
    <w:rsid w:val="100E2CD2"/>
    <w:rsid w:val="10115D29"/>
    <w:rsid w:val="101376F5"/>
    <w:rsid w:val="10184526"/>
    <w:rsid w:val="102E4BC5"/>
    <w:rsid w:val="103B7666"/>
    <w:rsid w:val="10435106"/>
    <w:rsid w:val="104960FF"/>
    <w:rsid w:val="10501A8E"/>
    <w:rsid w:val="10526CD3"/>
    <w:rsid w:val="10547277"/>
    <w:rsid w:val="105572C6"/>
    <w:rsid w:val="10593DE8"/>
    <w:rsid w:val="105C6C18"/>
    <w:rsid w:val="10620DCD"/>
    <w:rsid w:val="106E2367"/>
    <w:rsid w:val="10726BC5"/>
    <w:rsid w:val="107C7193"/>
    <w:rsid w:val="107E1E30"/>
    <w:rsid w:val="10833933"/>
    <w:rsid w:val="109B2265"/>
    <w:rsid w:val="109E2CB0"/>
    <w:rsid w:val="10A15EA8"/>
    <w:rsid w:val="10A51DDA"/>
    <w:rsid w:val="10B62EC4"/>
    <w:rsid w:val="10B71B0D"/>
    <w:rsid w:val="10BE3346"/>
    <w:rsid w:val="10C30B88"/>
    <w:rsid w:val="10CB397B"/>
    <w:rsid w:val="10D01150"/>
    <w:rsid w:val="10D35A49"/>
    <w:rsid w:val="10D9770F"/>
    <w:rsid w:val="10DD74E3"/>
    <w:rsid w:val="10DF0599"/>
    <w:rsid w:val="10E15792"/>
    <w:rsid w:val="10E30C50"/>
    <w:rsid w:val="10F5208B"/>
    <w:rsid w:val="10F90B12"/>
    <w:rsid w:val="10FA3B35"/>
    <w:rsid w:val="10FE14EA"/>
    <w:rsid w:val="11097B2A"/>
    <w:rsid w:val="110D4632"/>
    <w:rsid w:val="110E3426"/>
    <w:rsid w:val="11124F95"/>
    <w:rsid w:val="11137441"/>
    <w:rsid w:val="111B5819"/>
    <w:rsid w:val="111D2385"/>
    <w:rsid w:val="111D4066"/>
    <w:rsid w:val="11224B8A"/>
    <w:rsid w:val="11240158"/>
    <w:rsid w:val="11253157"/>
    <w:rsid w:val="11256325"/>
    <w:rsid w:val="11325DA5"/>
    <w:rsid w:val="11366ED6"/>
    <w:rsid w:val="113C53EC"/>
    <w:rsid w:val="113C5499"/>
    <w:rsid w:val="11406F24"/>
    <w:rsid w:val="114A123E"/>
    <w:rsid w:val="1151328C"/>
    <w:rsid w:val="11567852"/>
    <w:rsid w:val="115845D4"/>
    <w:rsid w:val="115E01DA"/>
    <w:rsid w:val="11660A66"/>
    <w:rsid w:val="11681C47"/>
    <w:rsid w:val="116A3434"/>
    <w:rsid w:val="1173286D"/>
    <w:rsid w:val="117417AC"/>
    <w:rsid w:val="11784B94"/>
    <w:rsid w:val="117D1C5A"/>
    <w:rsid w:val="118045F5"/>
    <w:rsid w:val="11806727"/>
    <w:rsid w:val="11826FEC"/>
    <w:rsid w:val="118B7221"/>
    <w:rsid w:val="11977390"/>
    <w:rsid w:val="119E30ED"/>
    <w:rsid w:val="11A65107"/>
    <w:rsid w:val="11B40043"/>
    <w:rsid w:val="11BF03CE"/>
    <w:rsid w:val="11C46B93"/>
    <w:rsid w:val="11C52008"/>
    <w:rsid w:val="11D26F03"/>
    <w:rsid w:val="11D30BC8"/>
    <w:rsid w:val="11DB574D"/>
    <w:rsid w:val="11E472D1"/>
    <w:rsid w:val="11ED5CE9"/>
    <w:rsid w:val="11F1391A"/>
    <w:rsid w:val="11F94B0C"/>
    <w:rsid w:val="11FE644C"/>
    <w:rsid w:val="12015736"/>
    <w:rsid w:val="1202783C"/>
    <w:rsid w:val="1207790A"/>
    <w:rsid w:val="120F732F"/>
    <w:rsid w:val="120F7453"/>
    <w:rsid w:val="121B400D"/>
    <w:rsid w:val="121C7314"/>
    <w:rsid w:val="121E2272"/>
    <w:rsid w:val="12253EC7"/>
    <w:rsid w:val="122D6A14"/>
    <w:rsid w:val="122E504D"/>
    <w:rsid w:val="12357353"/>
    <w:rsid w:val="123631F3"/>
    <w:rsid w:val="12487948"/>
    <w:rsid w:val="124B50FE"/>
    <w:rsid w:val="1250070A"/>
    <w:rsid w:val="12531FB2"/>
    <w:rsid w:val="12567AEE"/>
    <w:rsid w:val="125F76DD"/>
    <w:rsid w:val="12677195"/>
    <w:rsid w:val="127A659F"/>
    <w:rsid w:val="127F558C"/>
    <w:rsid w:val="12806D01"/>
    <w:rsid w:val="12844259"/>
    <w:rsid w:val="128878AD"/>
    <w:rsid w:val="1289211A"/>
    <w:rsid w:val="128D61F7"/>
    <w:rsid w:val="12905F07"/>
    <w:rsid w:val="129F30CB"/>
    <w:rsid w:val="12A54ED6"/>
    <w:rsid w:val="12A57457"/>
    <w:rsid w:val="12AC38F3"/>
    <w:rsid w:val="12BA011E"/>
    <w:rsid w:val="12BB58E4"/>
    <w:rsid w:val="12C10272"/>
    <w:rsid w:val="12C35854"/>
    <w:rsid w:val="12D54348"/>
    <w:rsid w:val="12DB1BB6"/>
    <w:rsid w:val="12E826DA"/>
    <w:rsid w:val="12EE14AD"/>
    <w:rsid w:val="12EF509F"/>
    <w:rsid w:val="12F10C94"/>
    <w:rsid w:val="12FC5EFD"/>
    <w:rsid w:val="13017126"/>
    <w:rsid w:val="13033257"/>
    <w:rsid w:val="130A0795"/>
    <w:rsid w:val="131E2FC6"/>
    <w:rsid w:val="1321035B"/>
    <w:rsid w:val="13226DD8"/>
    <w:rsid w:val="132F4395"/>
    <w:rsid w:val="133253C2"/>
    <w:rsid w:val="13390EFF"/>
    <w:rsid w:val="133E4BC9"/>
    <w:rsid w:val="134D7084"/>
    <w:rsid w:val="134F6E8B"/>
    <w:rsid w:val="13567EBC"/>
    <w:rsid w:val="13581385"/>
    <w:rsid w:val="135D0FAF"/>
    <w:rsid w:val="13652EC9"/>
    <w:rsid w:val="136863EC"/>
    <w:rsid w:val="13766C90"/>
    <w:rsid w:val="137C23B1"/>
    <w:rsid w:val="138E182D"/>
    <w:rsid w:val="13A22FE2"/>
    <w:rsid w:val="13A740BB"/>
    <w:rsid w:val="13AE6F8F"/>
    <w:rsid w:val="13BA111F"/>
    <w:rsid w:val="13BA6E74"/>
    <w:rsid w:val="13BC0431"/>
    <w:rsid w:val="13BE387C"/>
    <w:rsid w:val="13BE73AC"/>
    <w:rsid w:val="13C460F2"/>
    <w:rsid w:val="13CE03EA"/>
    <w:rsid w:val="13D3034B"/>
    <w:rsid w:val="13D777CD"/>
    <w:rsid w:val="13DA623E"/>
    <w:rsid w:val="13E156A4"/>
    <w:rsid w:val="13E76221"/>
    <w:rsid w:val="13EF43CE"/>
    <w:rsid w:val="13F6337E"/>
    <w:rsid w:val="13FB1773"/>
    <w:rsid w:val="13FF4C2F"/>
    <w:rsid w:val="14023D26"/>
    <w:rsid w:val="140240DB"/>
    <w:rsid w:val="1406114B"/>
    <w:rsid w:val="140D295F"/>
    <w:rsid w:val="141A2ADF"/>
    <w:rsid w:val="142C0BA3"/>
    <w:rsid w:val="14342437"/>
    <w:rsid w:val="143534B6"/>
    <w:rsid w:val="14365114"/>
    <w:rsid w:val="143C1FA0"/>
    <w:rsid w:val="143D6E71"/>
    <w:rsid w:val="143E419F"/>
    <w:rsid w:val="14482FD7"/>
    <w:rsid w:val="144F53B2"/>
    <w:rsid w:val="1457163D"/>
    <w:rsid w:val="14587163"/>
    <w:rsid w:val="145C6E35"/>
    <w:rsid w:val="146D2C0E"/>
    <w:rsid w:val="1478062D"/>
    <w:rsid w:val="147D531A"/>
    <w:rsid w:val="14826F0E"/>
    <w:rsid w:val="1482718B"/>
    <w:rsid w:val="14881B83"/>
    <w:rsid w:val="148E6108"/>
    <w:rsid w:val="148E7B10"/>
    <w:rsid w:val="149016CC"/>
    <w:rsid w:val="14927C85"/>
    <w:rsid w:val="14984CBD"/>
    <w:rsid w:val="149E36F7"/>
    <w:rsid w:val="14BC1DE8"/>
    <w:rsid w:val="14C26DEF"/>
    <w:rsid w:val="14C37F11"/>
    <w:rsid w:val="14DC5FE6"/>
    <w:rsid w:val="14E32F57"/>
    <w:rsid w:val="14E46C49"/>
    <w:rsid w:val="14E6418C"/>
    <w:rsid w:val="14EA72C9"/>
    <w:rsid w:val="14EC2CFE"/>
    <w:rsid w:val="14F92A75"/>
    <w:rsid w:val="14FC21E4"/>
    <w:rsid w:val="14FC72A9"/>
    <w:rsid w:val="15024C9E"/>
    <w:rsid w:val="15033991"/>
    <w:rsid w:val="15083691"/>
    <w:rsid w:val="150856CB"/>
    <w:rsid w:val="1509664E"/>
    <w:rsid w:val="15192D96"/>
    <w:rsid w:val="1527610F"/>
    <w:rsid w:val="1528161B"/>
    <w:rsid w:val="152B6CBE"/>
    <w:rsid w:val="153374B9"/>
    <w:rsid w:val="15350ECA"/>
    <w:rsid w:val="15386ABB"/>
    <w:rsid w:val="153C265C"/>
    <w:rsid w:val="15410713"/>
    <w:rsid w:val="1546265B"/>
    <w:rsid w:val="1546436C"/>
    <w:rsid w:val="154819A1"/>
    <w:rsid w:val="154F7CC1"/>
    <w:rsid w:val="1553478E"/>
    <w:rsid w:val="15552A6D"/>
    <w:rsid w:val="15573B44"/>
    <w:rsid w:val="156009C5"/>
    <w:rsid w:val="1562780B"/>
    <w:rsid w:val="157D7416"/>
    <w:rsid w:val="157E0A96"/>
    <w:rsid w:val="1582093B"/>
    <w:rsid w:val="1583093D"/>
    <w:rsid w:val="158740CA"/>
    <w:rsid w:val="15890793"/>
    <w:rsid w:val="15974285"/>
    <w:rsid w:val="15A422B7"/>
    <w:rsid w:val="15A62933"/>
    <w:rsid w:val="15AE34DE"/>
    <w:rsid w:val="15B4486D"/>
    <w:rsid w:val="15B91E83"/>
    <w:rsid w:val="15D73ADB"/>
    <w:rsid w:val="15DD0556"/>
    <w:rsid w:val="15DE6E26"/>
    <w:rsid w:val="15EE20BC"/>
    <w:rsid w:val="15F56135"/>
    <w:rsid w:val="15FF1AB5"/>
    <w:rsid w:val="1604695B"/>
    <w:rsid w:val="16092D42"/>
    <w:rsid w:val="160B6B83"/>
    <w:rsid w:val="160C5A42"/>
    <w:rsid w:val="160F1472"/>
    <w:rsid w:val="16116348"/>
    <w:rsid w:val="161E145D"/>
    <w:rsid w:val="162435F4"/>
    <w:rsid w:val="1639710E"/>
    <w:rsid w:val="163C6874"/>
    <w:rsid w:val="164756E1"/>
    <w:rsid w:val="16482C17"/>
    <w:rsid w:val="164D3E62"/>
    <w:rsid w:val="16500C16"/>
    <w:rsid w:val="16512CFC"/>
    <w:rsid w:val="1652230F"/>
    <w:rsid w:val="16554842"/>
    <w:rsid w:val="16577C35"/>
    <w:rsid w:val="1662034D"/>
    <w:rsid w:val="166F14DC"/>
    <w:rsid w:val="16763D27"/>
    <w:rsid w:val="167B5544"/>
    <w:rsid w:val="167C04F3"/>
    <w:rsid w:val="168F2045"/>
    <w:rsid w:val="169056B1"/>
    <w:rsid w:val="16946B78"/>
    <w:rsid w:val="16974E75"/>
    <w:rsid w:val="169F2025"/>
    <w:rsid w:val="16A14FAE"/>
    <w:rsid w:val="16A83C7D"/>
    <w:rsid w:val="16AA037C"/>
    <w:rsid w:val="16B2706C"/>
    <w:rsid w:val="16B443FB"/>
    <w:rsid w:val="16B56AEF"/>
    <w:rsid w:val="16BA364A"/>
    <w:rsid w:val="16C13D9A"/>
    <w:rsid w:val="16C1478D"/>
    <w:rsid w:val="16C44F84"/>
    <w:rsid w:val="16C73AA8"/>
    <w:rsid w:val="16D428B7"/>
    <w:rsid w:val="16D73E12"/>
    <w:rsid w:val="16DD5088"/>
    <w:rsid w:val="16E91BC3"/>
    <w:rsid w:val="16F0667E"/>
    <w:rsid w:val="16F34540"/>
    <w:rsid w:val="17090B61"/>
    <w:rsid w:val="170C4016"/>
    <w:rsid w:val="170D1F2E"/>
    <w:rsid w:val="170F0767"/>
    <w:rsid w:val="170F63CB"/>
    <w:rsid w:val="1717442C"/>
    <w:rsid w:val="171C6B6E"/>
    <w:rsid w:val="172762F6"/>
    <w:rsid w:val="172D2E0D"/>
    <w:rsid w:val="172E1794"/>
    <w:rsid w:val="17342109"/>
    <w:rsid w:val="173840BF"/>
    <w:rsid w:val="17460C29"/>
    <w:rsid w:val="17547F98"/>
    <w:rsid w:val="17575230"/>
    <w:rsid w:val="1757663F"/>
    <w:rsid w:val="1758370A"/>
    <w:rsid w:val="175D03C9"/>
    <w:rsid w:val="175D63D0"/>
    <w:rsid w:val="17694AC8"/>
    <w:rsid w:val="177C142C"/>
    <w:rsid w:val="1783508D"/>
    <w:rsid w:val="17864644"/>
    <w:rsid w:val="179E4B34"/>
    <w:rsid w:val="17A40F5D"/>
    <w:rsid w:val="17A721D3"/>
    <w:rsid w:val="17A95D41"/>
    <w:rsid w:val="17AB494D"/>
    <w:rsid w:val="17BC3898"/>
    <w:rsid w:val="17C747C1"/>
    <w:rsid w:val="17CC162A"/>
    <w:rsid w:val="17DC7D40"/>
    <w:rsid w:val="17E010C6"/>
    <w:rsid w:val="17E07B9B"/>
    <w:rsid w:val="17EB5949"/>
    <w:rsid w:val="17F517C1"/>
    <w:rsid w:val="17F7021F"/>
    <w:rsid w:val="18137F71"/>
    <w:rsid w:val="18180CF0"/>
    <w:rsid w:val="181B047D"/>
    <w:rsid w:val="182757CA"/>
    <w:rsid w:val="182779BB"/>
    <w:rsid w:val="182C29D2"/>
    <w:rsid w:val="182E416C"/>
    <w:rsid w:val="1833416F"/>
    <w:rsid w:val="183450B2"/>
    <w:rsid w:val="183C74C7"/>
    <w:rsid w:val="184862CE"/>
    <w:rsid w:val="184B34AC"/>
    <w:rsid w:val="184D556F"/>
    <w:rsid w:val="18530F15"/>
    <w:rsid w:val="18536BDD"/>
    <w:rsid w:val="185B71EE"/>
    <w:rsid w:val="185C461C"/>
    <w:rsid w:val="18801EAB"/>
    <w:rsid w:val="18843EBE"/>
    <w:rsid w:val="189B4319"/>
    <w:rsid w:val="18BA663E"/>
    <w:rsid w:val="18BB1E56"/>
    <w:rsid w:val="18BB747D"/>
    <w:rsid w:val="18BC10DA"/>
    <w:rsid w:val="18BD09A6"/>
    <w:rsid w:val="18C21CAF"/>
    <w:rsid w:val="18C45E1B"/>
    <w:rsid w:val="18D227B2"/>
    <w:rsid w:val="18D525C9"/>
    <w:rsid w:val="18D6491F"/>
    <w:rsid w:val="18D80F53"/>
    <w:rsid w:val="18E72B38"/>
    <w:rsid w:val="18F22B41"/>
    <w:rsid w:val="18F56EC2"/>
    <w:rsid w:val="1901368E"/>
    <w:rsid w:val="19063631"/>
    <w:rsid w:val="190A44A2"/>
    <w:rsid w:val="19137AFC"/>
    <w:rsid w:val="19137BC7"/>
    <w:rsid w:val="191523E5"/>
    <w:rsid w:val="191534BE"/>
    <w:rsid w:val="1922271B"/>
    <w:rsid w:val="192715AE"/>
    <w:rsid w:val="19293DB0"/>
    <w:rsid w:val="193919B2"/>
    <w:rsid w:val="193B4D3A"/>
    <w:rsid w:val="19427273"/>
    <w:rsid w:val="19451602"/>
    <w:rsid w:val="19472785"/>
    <w:rsid w:val="19495EFB"/>
    <w:rsid w:val="194962A4"/>
    <w:rsid w:val="19520AE8"/>
    <w:rsid w:val="19530238"/>
    <w:rsid w:val="195824CB"/>
    <w:rsid w:val="19642B1F"/>
    <w:rsid w:val="196B70D4"/>
    <w:rsid w:val="197068BE"/>
    <w:rsid w:val="1974268B"/>
    <w:rsid w:val="19750CD6"/>
    <w:rsid w:val="197D6D91"/>
    <w:rsid w:val="198E7A46"/>
    <w:rsid w:val="19902AF4"/>
    <w:rsid w:val="19942C91"/>
    <w:rsid w:val="199D1A54"/>
    <w:rsid w:val="19A473C3"/>
    <w:rsid w:val="19B27315"/>
    <w:rsid w:val="19B73DE1"/>
    <w:rsid w:val="19B91E8A"/>
    <w:rsid w:val="19B94B48"/>
    <w:rsid w:val="19C70CDA"/>
    <w:rsid w:val="19CF5F18"/>
    <w:rsid w:val="19D51569"/>
    <w:rsid w:val="19DF08CC"/>
    <w:rsid w:val="19DF5764"/>
    <w:rsid w:val="19EB6494"/>
    <w:rsid w:val="19EC1287"/>
    <w:rsid w:val="19ED0880"/>
    <w:rsid w:val="19EF056A"/>
    <w:rsid w:val="19F75A4C"/>
    <w:rsid w:val="19FF58BD"/>
    <w:rsid w:val="1A0D3C96"/>
    <w:rsid w:val="1A0E184B"/>
    <w:rsid w:val="1A100D82"/>
    <w:rsid w:val="1A106FAF"/>
    <w:rsid w:val="1A113891"/>
    <w:rsid w:val="1A116732"/>
    <w:rsid w:val="1A141BC9"/>
    <w:rsid w:val="1A180B1F"/>
    <w:rsid w:val="1A1C3E92"/>
    <w:rsid w:val="1A2170A9"/>
    <w:rsid w:val="1A23764F"/>
    <w:rsid w:val="1A3752AF"/>
    <w:rsid w:val="1A37559A"/>
    <w:rsid w:val="1A3A2CEB"/>
    <w:rsid w:val="1A436381"/>
    <w:rsid w:val="1A4A2F27"/>
    <w:rsid w:val="1A4A6173"/>
    <w:rsid w:val="1A587EBD"/>
    <w:rsid w:val="1A597124"/>
    <w:rsid w:val="1A5C6E5B"/>
    <w:rsid w:val="1A607A2E"/>
    <w:rsid w:val="1A63665F"/>
    <w:rsid w:val="1A637E43"/>
    <w:rsid w:val="1A6D6300"/>
    <w:rsid w:val="1A6D6992"/>
    <w:rsid w:val="1A746671"/>
    <w:rsid w:val="1A7700C2"/>
    <w:rsid w:val="1A772A39"/>
    <w:rsid w:val="1A787533"/>
    <w:rsid w:val="1A7E0C69"/>
    <w:rsid w:val="1A800B62"/>
    <w:rsid w:val="1A8F43B1"/>
    <w:rsid w:val="1A9C1D68"/>
    <w:rsid w:val="1AA03612"/>
    <w:rsid w:val="1AA352A7"/>
    <w:rsid w:val="1AAD78D2"/>
    <w:rsid w:val="1AB20609"/>
    <w:rsid w:val="1AB24945"/>
    <w:rsid w:val="1AB3679B"/>
    <w:rsid w:val="1ABC6143"/>
    <w:rsid w:val="1AC31D3D"/>
    <w:rsid w:val="1AC70D42"/>
    <w:rsid w:val="1ACB38A2"/>
    <w:rsid w:val="1ACD459F"/>
    <w:rsid w:val="1AD35795"/>
    <w:rsid w:val="1AD86FF5"/>
    <w:rsid w:val="1ADD227B"/>
    <w:rsid w:val="1ADF1AC5"/>
    <w:rsid w:val="1ADF5EC2"/>
    <w:rsid w:val="1AE04AF2"/>
    <w:rsid w:val="1AE259D8"/>
    <w:rsid w:val="1AEB28CF"/>
    <w:rsid w:val="1AF50FA9"/>
    <w:rsid w:val="1AF50FBF"/>
    <w:rsid w:val="1B0A65B0"/>
    <w:rsid w:val="1B0D1E51"/>
    <w:rsid w:val="1B14260D"/>
    <w:rsid w:val="1B1B5329"/>
    <w:rsid w:val="1B1C4A2C"/>
    <w:rsid w:val="1B241A7B"/>
    <w:rsid w:val="1B26332C"/>
    <w:rsid w:val="1B2F369F"/>
    <w:rsid w:val="1B397CEE"/>
    <w:rsid w:val="1B3A6E71"/>
    <w:rsid w:val="1B3B5901"/>
    <w:rsid w:val="1B4416CF"/>
    <w:rsid w:val="1B44661E"/>
    <w:rsid w:val="1B454A11"/>
    <w:rsid w:val="1B4A5DB9"/>
    <w:rsid w:val="1B520DB0"/>
    <w:rsid w:val="1B523A0B"/>
    <w:rsid w:val="1B57160C"/>
    <w:rsid w:val="1B5972A1"/>
    <w:rsid w:val="1B610ACA"/>
    <w:rsid w:val="1B611234"/>
    <w:rsid w:val="1B654F02"/>
    <w:rsid w:val="1B6821B4"/>
    <w:rsid w:val="1B6E4555"/>
    <w:rsid w:val="1B6F3710"/>
    <w:rsid w:val="1B785726"/>
    <w:rsid w:val="1B903686"/>
    <w:rsid w:val="1BA138C5"/>
    <w:rsid w:val="1BBD607A"/>
    <w:rsid w:val="1BBD6732"/>
    <w:rsid w:val="1BE07C15"/>
    <w:rsid w:val="1BE860AD"/>
    <w:rsid w:val="1BED5CA5"/>
    <w:rsid w:val="1BEE2C03"/>
    <w:rsid w:val="1BF6583B"/>
    <w:rsid w:val="1BF96A1D"/>
    <w:rsid w:val="1C0A40F8"/>
    <w:rsid w:val="1C0F6B52"/>
    <w:rsid w:val="1C136882"/>
    <w:rsid w:val="1C1D1DD3"/>
    <w:rsid w:val="1C1E0C92"/>
    <w:rsid w:val="1C1F1D32"/>
    <w:rsid w:val="1C255A3A"/>
    <w:rsid w:val="1C2838BF"/>
    <w:rsid w:val="1C33473D"/>
    <w:rsid w:val="1C367FBC"/>
    <w:rsid w:val="1C3D0093"/>
    <w:rsid w:val="1C450915"/>
    <w:rsid w:val="1C461390"/>
    <w:rsid w:val="1C5A0516"/>
    <w:rsid w:val="1C5F19D6"/>
    <w:rsid w:val="1C694A5B"/>
    <w:rsid w:val="1C6F7740"/>
    <w:rsid w:val="1C706C47"/>
    <w:rsid w:val="1C72396A"/>
    <w:rsid w:val="1C795310"/>
    <w:rsid w:val="1C7F3E27"/>
    <w:rsid w:val="1C7F66B8"/>
    <w:rsid w:val="1C93317D"/>
    <w:rsid w:val="1C9A158D"/>
    <w:rsid w:val="1C9E5DD2"/>
    <w:rsid w:val="1C9F7FB7"/>
    <w:rsid w:val="1CA22721"/>
    <w:rsid w:val="1CA229A3"/>
    <w:rsid w:val="1CA36D9E"/>
    <w:rsid w:val="1CA55B7C"/>
    <w:rsid w:val="1CB20E0C"/>
    <w:rsid w:val="1CB5632E"/>
    <w:rsid w:val="1CB67152"/>
    <w:rsid w:val="1CBA09BB"/>
    <w:rsid w:val="1CC741A7"/>
    <w:rsid w:val="1CCE50AB"/>
    <w:rsid w:val="1CD61524"/>
    <w:rsid w:val="1CD74DF2"/>
    <w:rsid w:val="1CD94255"/>
    <w:rsid w:val="1CDF48C5"/>
    <w:rsid w:val="1CF77127"/>
    <w:rsid w:val="1CFA10AF"/>
    <w:rsid w:val="1CFE68CF"/>
    <w:rsid w:val="1D0A3566"/>
    <w:rsid w:val="1D116C7F"/>
    <w:rsid w:val="1D121D67"/>
    <w:rsid w:val="1D194809"/>
    <w:rsid w:val="1D240282"/>
    <w:rsid w:val="1D28626C"/>
    <w:rsid w:val="1D346A69"/>
    <w:rsid w:val="1D36496D"/>
    <w:rsid w:val="1D3A2F44"/>
    <w:rsid w:val="1D3C0674"/>
    <w:rsid w:val="1D3D7998"/>
    <w:rsid w:val="1D451F20"/>
    <w:rsid w:val="1D465B98"/>
    <w:rsid w:val="1D4A5FE1"/>
    <w:rsid w:val="1D4E55EC"/>
    <w:rsid w:val="1D526E45"/>
    <w:rsid w:val="1D556936"/>
    <w:rsid w:val="1D571CEE"/>
    <w:rsid w:val="1D577C72"/>
    <w:rsid w:val="1D5E190C"/>
    <w:rsid w:val="1D5F5A06"/>
    <w:rsid w:val="1D646B79"/>
    <w:rsid w:val="1D70094D"/>
    <w:rsid w:val="1D7664F1"/>
    <w:rsid w:val="1D7A01C2"/>
    <w:rsid w:val="1D7C37AB"/>
    <w:rsid w:val="1D8259A4"/>
    <w:rsid w:val="1D8476C6"/>
    <w:rsid w:val="1D866B35"/>
    <w:rsid w:val="1D867DF3"/>
    <w:rsid w:val="1D884F5D"/>
    <w:rsid w:val="1D8E6859"/>
    <w:rsid w:val="1DA42749"/>
    <w:rsid w:val="1DA50990"/>
    <w:rsid w:val="1DAC071D"/>
    <w:rsid w:val="1DAD49C3"/>
    <w:rsid w:val="1DAF4298"/>
    <w:rsid w:val="1DAF6A3B"/>
    <w:rsid w:val="1DB4365C"/>
    <w:rsid w:val="1DB55626"/>
    <w:rsid w:val="1DBB0331"/>
    <w:rsid w:val="1DC352D1"/>
    <w:rsid w:val="1DCB66E7"/>
    <w:rsid w:val="1DD07D98"/>
    <w:rsid w:val="1DD30688"/>
    <w:rsid w:val="1DDC7E12"/>
    <w:rsid w:val="1DE56026"/>
    <w:rsid w:val="1DEE09BB"/>
    <w:rsid w:val="1E1176E2"/>
    <w:rsid w:val="1E17070C"/>
    <w:rsid w:val="1E20121B"/>
    <w:rsid w:val="1E2B7F3D"/>
    <w:rsid w:val="1E2F5FFD"/>
    <w:rsid w:val="1E305D91"/>
    <w:rsid w:val="1E3173A3"/>
    <w:rsid w:val="1E3F4583"/>
    <w:rsid w:val="1E4662B7"/>
    <w:rsid w:val="1E4747F5"/>
    <w:rsid w:val="1E5135A1"/>
    <w:rsid w:val="1E592926"/>
    <w:rsid w:val="1E5B441F"/>
    <w:rsid w:val="1E652BA8"/>
    <w:rsid w:val="1E701BAF"/>
    <w:rsid w:val="1E7F6240"/>
    <w:rsid w:val="1E8F5E77"/>
    <w:rsid w:val="1E94348E"/>
    <w:rsid w:val="1E9A2886"/>
    <w:rsid w:val="1E9C0848"/>
    <w:rsid w:val="1EA97A67"/>
    <w:rsid w:val="1EB11603"/>
    <w:rsid w:val="1EB26FD3"/>
    <w:rsid w:val="1EB65E96"/>
    <w:rsid w:val="1EB92588"/>
    <w:rsid w:val="1EBE3D1C"/>
    <w:rsid w:val="1EBF3FB4"/>
    <w:rsid w:val="1EC21DA9"/>
    <w:rsid w:val="1ECB4286"/>
    <w:rsid w:val="1ED22882"/>
    <w:rsid w:val="1ED33872"/>
    <w:rsid w:val="1ED346F8"/>
    <w:rsid w:val="1ED567F8"/>
    <w:rsid w:val="1EE014DD"/>
    <w:rsid w:val="1EE16937"/>
    <w:rsid w:val="1EE80285"/>
    <w:rsid w:val="1EE811E8"/>
    <w:rsid w:val="1EF537D0"/>
    <w:rsid w:val="1EF72727"/>
    <w:rsid w:val="1EF7760A"/>
    <w:rsid w:val="1EFB0862"/>
    <w:rsid w:val="1EFE05C2"/>
    <w:rsid w:val="1EFF2C5B"/>
    <w:rsid w:val="1F003D4D"/>
    <w:rsid w:val="1F026649"/>
    <w:rsid w:val="1F0713DB"/>
    <w:rsid w:val="1F0E6D8A"/>
    <w:rsid w:val="1F0F5CA0"/>
    <w:rsid w:val="1F141DAD"/>
    <w:rsid w:val="1F1A1BE5"/>
    <w:rsid w:val="1F1F71FB"/>
    <w:rsid w:val="1F214FD0"/>
    <w:rsid w:val="1F282046"/>
    <w:rsid w:val="1F2C245A"/>
    <w:rsid w:val="1F2F1C4E"/>
    <w:rsid w:val="1F337025"/>
    <w:rsid w:val="1F363CFA"/>
    <w:rsid w:val="1F3833D7"/>
    <w:rsid w:val="1F40004B"/>
    <w:rsid w:val="1F465677"/>
    <w:rsid w:val="1F4924CA"/>
    <w:rsid w:val="1F4F70B5"/>
    <w:rsid w:val="1F59357C"/>
    <w:rsid w:val="1F5A1573"/>
    <w:rsid w:val="1F5C13AF"/>
    <w:rsid w:val="1F603D1D"/>
    <w:rsid w:val="1F62133F"/>
    <w:rsid w:val="1F6257C6"/>
    <w:rsid w:val="1F64555E"/>
    <w:rsid w:val="1F65610B"/>
    <w:rsid w:val="1F686E90"/>
    <w:rsid w:val="1F6F647F"/>
    <w:rsid w:val="1F7A226A"/>
    <w:rsid w:val="1F7B27B5"/>
    <w:rsid w:val="1F7C289F"/>
    <w:rsid w:val="1F7D0AC9"/>
    <w:rsid w:val="1F7D44C0"/>
    <w:rsid w:val="1F873AB1"/>
    <w:rsid w:val="1F943AF5"/>
    <w:rsid w:val="1F9A4AD4"/>
    <w:rsid w:val="1FA036CC"/>
    <w:rsid w:val="1FA20BD2"/>
    <w:rsid w:val="1FB3253C"/>
    <w:rsid w:val="1FB45B95"/>
    <w:rsid w:val="1FB913FE"/>
    <w:rsid w:val="1FBA4501"/>
    <w:rsid w:val="1FBF1805"/>
    <w:rsid w:val="1FBF2D33"/>
    <w:rsid w:val="1FC754F1"/>
    <w:rsid w:val="1FC97167"/>
    <w:rsid w:val="1FCA29AF"/>
    <w:rsid w:val="1FD2644D"/>
    <w:rsid w:val="1FD32E5C"/>
    <w:rsid w:val="1FD4578F"/>
    <w:rsid w:val="1FDA6ADD"/>
    <w:rsid w:val="1FE03933"/>
    <w:rsid w:val="1FE10A37"/>
    <w:rsid w:val="1FE43FA1"/>
    <w:rsid w:val="1FEC17CF"/>
    <w:rsid w:val="1FF00B97"/>
    <w:rsid w:val="1FF1417F"/>
    <w:rsid w:val="1FF15C21"/>
    <w:rsid w:val="200872A5"/>
    <w:rsid w:val="200917C3"/>
    <w:rsid w:val="20131F16"/>
    <w:rsid w:val="201412AF"/>
    <w:rsid w:val="202870A4"/>
    <w:rsid w:val="203B0065"/>
    <w:rsid w:val="203E0D70"/>
    <w:rsid w:val="20416233"/>
    <w:rsid w:val="20460183"/>
    <w:rsid w:val="204E05B7"/>
    <w:rsid w:val="20525DCB"/>
    <w:rsid w:val="205630F0"/>
    <w:rsid w:val="205A09CD"/>
    <w:rsid w:val="20610B4E"/>
    <w:rsid w:val="2063127D"/>
    <w:rsid w:val="20686A5D"/>
    <w:rsid w:val="206A5E02"/>
    <w:rsid w:val="20795404"/>
    <w:rsid w:val="207B2B57"/>
    <w:rsid w:val="20814207"/>
    <w:rsid w:val="20847C5E"/>
    <w:rsid w:val="208C549D"/>
    <w:rsid w:val="20931C4F"/>
    <w:rsid w:val="20943C19"/>
    <w:rsid w:val="20947775"/>
    <w:rsid w:val="2099122F"/>
    <w:rsid w:val="2099399B"/>
    <w:rsid w:val="20A35C0A"/>
    <w:rsid w:val="20AF3C44"/>
    <w:rsid w:val="20B41410"/>
    <w:rsid w:val="20B5162A"/>
    <w:rsid w:val="20B6593D"/>
    <w:rsid w:val="20BA5B42"/>
    <w:rsid w:val="20CD3B06"/>
    <w:rsid w:val="20CE7D6C"/>
    <w:rsid w:val="20CF121D"/>
    <w:rsid w:val="20E11601"/>
    <w:rsid w:val="20E979D7"/>
    <w:rsid w:val="20F070A1"/>
    <w:rsid w:val="20F23D3F"/>
    <w:rsid w:val="20F46FCE"/>
    <w:rsid w:val="20F6718D"/>
    <w:rsid w:val="20F87D04"/>
    <w:rsid w:val="21054E3C"/>
    <w:rsid w:val="210C4C94"/>
    <w:rsid w:val="210C4D18"/>
    <w:rsid w:val="210C7C53"/>
    <w:rsid w:val="21141355"/>
    <w:rsid w:val="21182154"/>
    <w:rsid w:val="21244F9D"/>
    <w:rsid w:val="21350F58"/>
    <w:rsid w:val="21411453"/>
    <w:rsid w:val="21464BB2"/>
    <w:rsid w:val="21495A63"/>
    <w:rsid w:val="2157569F"/>
    <w:rsid w:val="21584C46"/>
    <w:rsid w:val="215A03CA"/>
    <w:rsid w:val="215B0191"/>
    <w:rsid w:val="2163463C"/>
    <w:rsid w:val="216A7EFB"/>
    <w:rsid w:val="216B4D2D"/>
    <w:rsid w:val="21773C26"/>
    <w:rsid w:val="21861C4C"/>
    <w:rsid w:val="21925DB3"/>
    <w:rsid w:val="21977E0B"/>
    <w:rsid w:val="2199566E"/>
    <w:rsid w:val="21A14E65"/>
    <w:rsid w:val="21A2074B"/>
    <w:rsid w:val="21A34A93"/>
    <w:rsid w:val="21A56FE5"/>
    <w:rsid w:val="21A97781"/>
    <w:rsid w:val="21AE3DE6"/>
    <w:rsid w:val="21AF381E"/>
    <w:rsid w:val="21B24356"/>
    <w:rsid w:val="21BD3EB9"/>
    <w:rsid w:val="21CA5B44"/>
    <w:rsid w:val="21CB1179"/>
    <w:rsid w:val="21CF5E82"/>
    <w:rsid w:val="21D321FC"/>
    <w:rsid w:val="21D6687B"/>
    <w:rsid w:val="21E37E5D"/>
    <w:rsid w:val="21EB7716"/>
    <w:rsid w:val="21F524EE"/>
    <w:rsid w:val="21FA4845"/>
    <w:rsid w:val="21FB3F4F"/>
    <w:rsid w:val="22023AFC"/>
    <w:rsid w:val="2209529F"/>
    <w:rsid w:val="221024DB"/>
    <w:rsid w:val="22130462"/>
    <w:rsid w:val="221B5BE2"/>
    <w:rsid w:val="22232476"/>
    <w:rsid w:val="222B455B"/>
    <w:rsid w:val="22334814"/>
    <w:rsid w:val="2233786C"/>
    <w:rsid w:val="2234240D"/>
    <w:rsid w:val="223B3EEA"/>
    <w:rsid w:val="223C1B3A"/>
    <w:rsid w:val="224156DA"/>
    <w:rsid w:val="22420407"/>
    <w:rsid w:val="22462DF7"/>
    <w:rsid w:val="22484CBB"/>
    <w:rsid w:val="22550BDA"/>
    <w:rsid w:val="225A144F"/>
    <w:rsid w:val="225B3C55"/>
    <w:rsid w:val="225B5D84"/>
    <w:rsid w:val="225B679C"/>
    <w:rsid w:val="226F3FF6"/>
    <w:rsid w:val="227E2391"/>
    <w:rsid w:val="22860640"/>
    <w:rsid w:val="22865BC3"/>
    <w:rsid w:val="229B3E00"/>
    <w:rsid w:val="229D6136"/>
    <w:rsid w:val="229E6BD7"/>
    <w:rsid w:val="22A16830"/>
    <w:rsid w:val="22A504AE"/>
    <w:rsid w:val="22B0648C"/>
    <w:rsid w:val="22B76AEC"/>
    <w:rsid w:val="22B8732B"/>
    <w:rsid w:val="22BB37B7"/>
    <w:rsid w:val="22C0132E"/>
    <w:rsid w:val="22C5630B"/>
    <w:rsid w:val="22CA1B74"/>
    <w:rsid w:val="22CD5072"/>
    <w:rsid w:val="22D82200"/>
    <w:rsid w:val="22E13276"/>
    <w:rsid w:val="22F422C8"/>
    <w:rsid w:val="22F67121"/>
    <w:rsid w:val="22FF7A6F"/>
    <w:rsid w:val="230A0E17"/>
    <w:rsid w:val="23165ECA"/>
    <w:rsid w:val="23190E38"/>
    <w:rsid w:val="23194E81"/>
    <w:rsid w:val="231D639B"/>
    <w:rsid w:val="232272BA"/>
    <w:rsid w:val="23256DAA"/>
    <w:rsid w:val="23272874"/>
    <w:rsid w:val="232B360B"/>
    <w:rsid w:val="23362116"/>
    <w:rsid w:val="233F7E6C"/>
    <w:rsid w:val="2349665F"/>
    <w:rsid w:val="234B207D"/>
    <w:rsid w:val="234D4382"/>
    <w:rsid w:val="234F4C30"/>
    <w:rsid w:val="23554AEF"/>
    <w:rsid w:val="23583B59"/>
    <w:rsid w:val="235872F9"/>
    <w:rsid w:val="2368509A"/>
    <w:rsid w:val="237A5348"/>
    <w:rsid w:val="238B1303"/>
    <w:rsid w:val="23A45F21"/>
    <w:rsid w:val="23A9545E"/>
    <w:rsid w:val="23BA4C38"/>
    <w:rsid w:val="23BC326A"/>
    <w:rsid w:val="23CF2C19"/>
    <w:rsid w:val="23D02A18"/>
    <w:rsid w:val="23D35E05"/>
    <w:rsid w:val="23D5771D"/>
    <w:rsid w:val="23D9335C"/>
    <w:rsid w:val="23D966EE"/>
    <w:rsid w:val="23E34329"/>
    <w:rsid w:val="23E40A13"/>
    <w:rsid w:val="23F04747"/>
    <w:rsid w:val="2406231C"/>
    <w:rsid w:val="24066BDB"/>
    <w:rsid w:val="240D1D18"/>
    <w:rsid w:val="24162BA6"/>
    <w:rsid w:val="24170DE9"/>
    <w:rsid w:val="241A28A0"/>
    <w:rsid w:val="241B7B20"/>
    <w:rsid w:val="241C16B7"/>
    <w:rsid w:val="241D2B6B"/>
    <w:rsid w:val="24200D8E"/>
    <w:rsid w:val="2423778D"/>
    <w:rsid w:val="24270BCF"/>
    <w:rsid w:val="242972CB"/>
    <w:rsid w:val="242D4D88"/>
    <w:rsid w:val="242D5F16"/>
    <w:rsid w:val="24305014"/>
    <w:rsid w:val="24326B76"/>
    <w:rsid w:val="2447544B"/>
    <w:rsid w:val="24561911"/>
    <w:rsid w:val="24566AFE"/>
    <w:rsid w:val="2458204C"/>
    <w:rsid w:val="245E2EB0"/>
    <w:rsid w:val="247A4985"/>
    <w:rsid w:val="248B77AA"/>
    <w:rsid w:val="24926D64"/>
    <w:rsid w:val="24A454D3"/>
    <w:rsid w:val="24A501E0"/>
    <w:rsid w:val="24A65CC9"/>
    <w:rsid w:val="24A87C93"/>
    <w:rsid w:val="24AC436B"/>
    <w:rsid w:val="24B7056C"/>
    <w:rsid w:val="24C7636B"/>
    <w:rsid w:val="24CC0C41"/>
    <w:rsid w:val="24D07FF7"/>
    <w:rsid w:val="24D665CA"/>
    <w:rsid w:val="24D748F6"/>
    <w:rsid w:val="24E63A1B"/>
    <w:rsid w:val="24E72772"/>
    <w:rsid w:val="24F114BD"/>
    <w:rsid w:val="24FE45B6"/>
    <w:rsid w:val="25072450"/>
    <w:rsid w:val="25080ED1"/>
    <w:rsid w:val="250A4DA6"/>
    <w:rsid w:val="250C6474"/>
    <w:rsid w:val="25105B59"/>
    <w:rsid w:val="2511133F"/>
    <w:rsid w:val="251A293E"/>
    <w:rsid w:val="251D678D"/>
    <w:rsid w:val="252235A1"/>
    <w:rsid w:val="25290EBE"/>
    <w:rsid w:val="252A68FA"/>
    <w:rsid w:val="252E3D6A"/>
    <w:rsid w:val="253136CA"/>
    <w:rsid w:val="253538A7"/>
    <w:rsid w:val="25357778"/>
    <w:rsid w:val="25382DC5"/>
    <w:rsid w:val="253E146F"/>
    <w:rsid w:val="254B2F86"/>
    <w:rsid w:val="254B360C"/>
    <w:rsid w:val="254D565E"/>
    <w:rsid w:val="2550620F"/>
    <w:rsid w:val="25540C8A"/>
    <w:rsid w:val="25565535"/>
    <w:rsid w:val="25575B08"/>
    <w:rsid w:val="255A175D"/>
    <w:rsid w:val="256A1AB4"/>
    <w:rsid w:val="257638AF"/>
    <w:rsid w:val="257A4EA7"/>
    <w:rsid w:val="25827B2D"/>
    <w:rsid w:val="25865445"/>
    <w:rsid w:val="258A34AE"/>
    <w:rsid w:val="259535DA"/>
    <w:rsid w:val="25992F1E"/>
    <w:rsid w:val="259B3779"/>
    <w:rsid w:val="259F4BF2"/>
    <w:rsid w:val="25A154CD"/>
    <w:rsid w:val="25AF5102"/>
    <w:rsid w:val="25B06DFF"/>
    <w:rsid w:val="25B1679A"/>
    <w:rsid w:val="25B61D67"/>
    <w:rsid w:val="25B86F75"/>
    <w:rsid w:val="25B91D59"/>
    <w:rsid w:val="25D50F01"/>
    <w:rsid w:val="25DC5C7C"/>
    <w:rsid w:val="25EB21E1"/>
    <w:rsid w:val="25ED4D74"/>
    <w:rsid w:val="25F0149C"/>
    <w:rsid w:val="25F94ECE"/>
    <w:rsid w:val="25FA66A5"/>
    <w:rsid w:val="26041640"/>
    <w:rsid w:val="26063217"/>
    <w:rsid w:val="26063DAD"/>
    <w:rsid w:val="26087A74"/>
    <w:rsid w:val="260908A6"/>
    <w:rsid w:val="260C4691"/>
    <w:rsid w:val="260D59E8"/>
    <w:rsid w:val="2615068A"/>
    <w:rsid w:val="26152AF0"/>
    <w:rsid w:val="26162DD9"/>
    <w:rsid w:val="26217CFD"/>
    <w:rsid w:val="26270255"/>
    <w:rsid w:val="262C4524"/>
    <w:rsid w:val="262F6A7A"/>
    <w:rsid w:val="26325420"/>
    <w:rsid w:val="263F14EC"/>
    <w:rsid w:val="2642400F"/>
    <w:rsid w:val="26443106"/>
    <w:rsid w:val="26597496"/>
    <w:rsid w:val="265D1C24"/>
    <w:rsid w:val="26683828"/>
    <w:rsid w:val="266D03EA"/>
    <w:rsid w:val="2674427A"/>
    <w:rsid w:val="267A6665"/>
    <w:rsid w:val="268177A8"/>
    <w:rsid w:val="26833E51"/>
    <w:rsid w:val="26867610"/>
    <w:rsid w:val="26937DC4"/>
    <w:rsid w:val="26A22471"/>
    <w:rsid w:val="26A26570"/>
    <w:rsid w:val="26A339B3"/>
    <w:rsid w:val="26A56238"/>
    <w:rsid w:val="26A62639"/>
    <w:rsid w:val="26AB5818"/>
    <w:rsid w:val="26AE05C8"/>
    <w:rsid w:val="26B020ED"/>
    <w:rsid w:val="26B24E9D"/>
    <w:rsid w:val="26B97F35"/>
    <w:rsid w:val="26CB720C"/>
    <w:rsid w:val="26D76006"/>
    <w:rsid w:val="26E23298"/>
    <w:rsid w:val="26EE4083"/>
    <w:rsid w:val="26F34CA9"/>
    <w:rsid w:val="26F871C3"/>
    <w:rsid w:val="26F97EAE"/>
    <w:rsid w:val="26FA6096"/>
    <w:rsid w:val="26FB67A0"/>
    <w:rsid w:val="27056CD9"/>
    <w:rsid w:val="27160F81"/>
    <w:rsid w:val="271717E4"/>
    <w:rsid w:val="27190EC8"/>
    <w:rsid w:val="271E1E0D"/>
    <w:rsid w:val="2720583B"/>
    <w:rsid w:val="27223D2C"/>
    <w:rsid w:val="272814B7"/>
    <w:rsid w:val="27285896"/>
    <w:rsid w:val="27286E69"/>
    <w:rsid w:val="27294A71"/>
    <w:rsid w:val="272B79BF"/>
    <w:rsid w:val="27490115"/>
    <w:rsid w:val="27496678"/>
    <w:rsid w:val="274A4A79"/>
    <w:rsid w:val="274F0561"/>
    <w:rsid w:val="27523F4E"/>
    <w:rsid w:val="27543827"/>
    <w:rsid w:val="275B1DA0"/>
    <w:rsid w:val="275B723E"/>
    <w:rsid w:val="276712EA"/>
    <w:rsid w:val="276A1F39"/>
    <w:rsid w:val="276E0A30"/>
    <w:rsid w:val="276E0D20"/>
    <w:rsid w:val="27703059"/>
    <w:rsid w:val="277163C9"/>
    <w:rsid w:val="27725ED5"/>
    <w:rsid w:val="278241A3"/>
    <w:rsid w:val="278405CF"/>
    <w:rsid w:val="279E5D11"/>
    <w:rsid w:val="27A01812"/>
    <w:rsid w:val="27AC1C94"/>
    <w:rsid w:val="27B71A80"/>
    <w:rsid w:val="27BD05A5"/>
    <w:rsid w:val="27BD5803"/>
    <w:rsid w:val="27C330D9"/>
    <w:rsid w:val="27C43035"/>
    <w:rsid w:val="27C51B70"/>
    <w:rsid w:val="27D233FC"/>
    <w:rsid w:val="27D72414"/>
    <w:rsid w:val="27DA2A5C"/>
    <w:rsid w:val="27E91E7A"/>
    <w:rsid w:val="27EB32D3"/>
    <w:rsid w:val="27F1158C"/>
    <w:rsid w:val="27F848F1"/>
    <w:rsid w:val="27FD7778"/>
    <w:rsid w:val="28104A9F"/>
    <w:rsid w:val="281B64AF"/>
    <w:rsid w:val="28215D92"/>
    <w:rsid w:val="282C5A6C"/>
    <w:rsid w:val="284A36F8"/>
    <w:rsid w:val="284E5E5A"/>
    <w:rsid w:val="28510A5F"/>
    <w:rsid w:val="28572C66"/>
    <w:rsid w:val="2858147B"/>
    <w:rsid w:val="285A7F91"/>
    <w:rsid w:val="28610884"/>
    <w:rsid w:val="286B29B2"/>
    <w:rsid w:val="286F2FA1"/>
    <w:rsid w:val="288C68DE"/>
    <w:rsid w:val="289D5565"/>
    <w:rsid w:val="28AC3961"/>
    <w:rsid w:val="28BF7438"/>
    <w:rsid w:val="28C579F4"/>
    <w:rsid w:val="28C71CB3"/>
    <w:rsid w:val="28CC6A27"/>
    <w:rsid w:val="28D21782"/>
    <w:rsid w:val="28E13773"/>
    <w:rsid w:val="28E36A59"/>
    <w:rsid w:val="28E84D68"/>
    <w:rsid w:val="28E92DA0"/>
    <w:rsid w:val="28EC37AD"/>
    <w:rsid w:val="28FA0563"/>
    <w:rsid w:val="28FD5234"/>
    <w:rsid w:val="29087CEA"/>
    <w:rsid w:val="29111BB8"/>
    <w:rsid w:val="29147DB8"/>
    <w:rsid w:val="29162A0E"/>
    <w:rsid w:val="291F4C2B"/>
    <w:rsid w:val="2920429C"/>
    <w:rsid w:val="29241BE8"/>
    <w:rsid w:val="29262086"/>
    <w:rsid w:val="292635C6"/>
    <w:rsid w:val="293E26D1"/>
    <w:rsid w:val="29424212"/>
    <w:rsid w:val="29505F9F"/>
    <w:rsid w:val="2959673D"/>
    <w:rsid w:val="29604D54"/>
    <w:rsid w:val="2968189C"/>
    <w:rsid w:val="296F0A24"/>
    <w:rsid w:val="2977538F"/>
    <w:rsid w:val="2978462F"/>
    <w:rsid w:val="29797FB6"/>
    <w:rsid w:val="297C3422"/>
    <w:rsid w:val="297C78F2"/>
    <w:rsid w:val="298F6F6C"/>
    <w:rsid w:val="2991004C"/>
    <w:rsid w:val="29A70FC7"/>
    <w:rsid w:val="29A94291"/>
    <w:rsid w:val="29AE7AF9"/>
    <w:rsid w:val="29B41D26"/>
    <w:rsid w:val="29B85648"/>
    <w:rsid w:val="29C31E3E"/>
    <w:rsid w:val="29CC4423"/>
    <w:rsid w:val="29D1606E"/>
    <w:rsid w:val="29DA5EC3"/>
    <w:rsid w:val="29F6376C"/>
    <w:rsid w:val="29FF4004"/>
    <w:rsid w:val="2A077209"/>
    <w:rsid w:val="2A0D1C4E"/>
    <w:rsid w:val="2A0E67EA"/>
    <w:rsid w:val="2A137F5F"/>
    <w:rsid w:val="2A16511E"/>
    <w:rsid w:val="2A346F29"/>
    <w:rsid w:val="2A430511"/>
    <w:rsid w:val="2A467D32"/>
    <w:rsid w:val="2A491627"/>
    <w:rsid w:val="2A4C7131"/>
    <w:rsid w:val="2A4E308A"/>
    <w:rsid w:val="2A4E5ABA"/>
    <w:rsid w:val="2A580712"/>
    <w:rsid w:val="2A5D6ECA"/>
    <w:rsid w:val="2A5F2366"/>
    <w:rsid w:val="2A6361DA"/>
    <w:rsid w:val="2A6952A9"/>
    <w:rsid w:val="2A6D2633"/>
    <w:rsid w:val="2A7E7344"/>
    <w:rsid w:val="2A857713"/>
    <w:rsid w:val="2A862820"/>
    <w:rsid w:val="2A8A2271"/>
    <w:rsid w:val="2A8B3997"/>
    <w:rsid w:val="2A8C5785"/>
    <w:rsid w:val="2A8D5977"/>
    <w:rsid w:val="2A905055"/>
    <w:rsid w:val="2A915D79"/>
    <w:rsid w:val="2A97501C"/>
    <w:rsid w:val="2A9D15F2"/>
    <w:rsid w:val="2A9D7742"/>
    <w:rsid w:val="2AB0164F"/>
    <w:rsid w:val="2AB52D45"/>
    <w:rsid w:val="2AB71995"/>
    <w:rsid w:val="2ABA427C"/>
    <w:rsid w:val="2ABB5361"/>
    <w:rsid w:val="2ABE2167"/>
    <w:rsid w:val="2ABE5238"/>
    <w:rsid w:val="2ACB3B4E"/>
    <w:rsid w:val="2ACB624E"/>
    <w:rsid w:val="2ACD049B"/>
    <w:rsid w:val="2ADB4165"/>
    <w:rsid w:val="2AE0289C"/>
    <w:rsid w:val="2AE354C8"/>
    <w:rsid w:val="2B15682D"/>
    <w:rsid w:val="2B161A0E"/>
    <w:rsid w:val="2B193CEA"/>
    <w:rsid w:val="2B2444FB"/>
    <w:rsid w:val="2B261911"/>
    <w:rsid w:val="2B2F5A8C"/>
    <w:rsid w:val="2B30080C"/>
    <w:rsid w:val="2B30453E"/>
    <w:rsid w:val="2B312E5E"/>
    <w:rsid w:val="2B350C6A"/>
    <w:rsid w:val="2B361B54"/>
    <w:rsid w:val="2B375A50"/>
    <w:rsid w:val="2B395AE8"/>
    <w:rsid w:val="2B3B630C"/>
    <w:rsid w:val="2B4216BC"/>
    <w:rsid w:val="2B480846"/>
    <w:rsid w:val="2B4E21F2"/>
    <w:rsid w:val="2B4E5774"/>
    <w:rsid w:val="2B533272"/>
    <w:rsid w:val="2B537449"/>
    <w:rsid w:val="2B604E2D"/>
    <w:rsid w:val="2B6106E4"/>
    <w:rsid w:val="2B616D57"/>
    <w:rsid w:val="2B653C68"/>
    <w:rsid w:val="2B7F1101"/>
    <w:rsid w:val="2B8E1990"/>
    <w:rsid w:val="2B91322F"/>
    <w:rsid w:val="2B9351F9"/>
    <w:rsid w:val="2B951F28"/>
    <w:rsid w:val="2B980A61"/>
    <w:rsid w:val="2B9B220D"/>
    <w:rsid w:val="2BA32F62"/>
    <w:rsid w:val="2BAA0139"/>
    <w:rsid w:val="2BAA5F79"/>
    <w:rsid w:val="2BB37A01"/>
    <w:rsid w:val="2BB642C6"/>
    <w:rsid w:val="2BD355F5"/>
    <w:rsid w:val="2BD410CE"/>
    <w:rsid w:val="2BD66E42"/>
    <w:rsid w:val="2BE006E7"/>
    <w:rsid w:val="2BE41AF0"/>
    <w:rsid w:val="2BEC2B5B"/>
    <w:rsid w:val="2BF85A2F"/>
    <w:rsid w:val="2C0734F1"/>
    <w:rsid w:val="2C091017"/>
    <w:rsid w:val="2C0B2FE1"/>
    <w:rsid w:val="2C177A6D"/>
    <w:rsid w:val="2C1973E5"/>
    <w:rsid w:val="2C2C05B2"/>
    <w:rsid w:val="2C3E4853"/>
    <w:rsid w:val="2C4168EA"/>
    <w:rsid w:val="2C437476"/>
    <w:rsid w:val="2C513230"/>
    <w:rsid w:val="2C536B29"/>
    <w:rsid w:val="2C652A3A"/>
    <w:rsid w:val="2C775033"/>
    <w:rsid w:val="2C7C41FA"/>
    <w:rsid w:val="2C7D1A05"/>
    <w:rsid w:val="2C7F7EC0"/>
    <w:rsid w:val="2C8114F5"/>
    <w:rsid w:val="2C947B55"/>
    <w:rsid w:val="2C996C0E"/>
    <w:rsid w:val="2CA6050A"/>
    <w:rsid w:val="2CBA5AE4"/>
    <w:rsid w:val="2CBF486B"/>
    <w:rsid w:val="2CC4601C"/>
    <w:rsid w:val="2CC615B7"/>
    <w:rsid w:val="2CCF7281"/>
    <w:rsid w:val="2CD33A7F"/>
    <w:rsid w:val="2CDB14C4"/>
    <w:rsid w:val="2CDC274F"/>
    <w:rsid w:val="2CDC3771"/>
    <w:rsid w:val="2CE05F54"/>
    <w:rsid w:val="2CE455E0"/>
    <w:rsid w:val="2CE6093A"/>
    <w:rsid w:val="2CEE3221"/>
    <w:rsid w:val="2CFB590C"/>
    <w:rsid w:val="2CFB648A"/>
    <w:rsid w:val="2CFC4088"/>
    <w:rsid w:val="2D041633"/>
    <w:rsid w:val="2D0462A3"/>
    <w:rsid w:val="2D050C29"/>
    <w:rsid w:val="2D117BDA"/>
    <w:rsid w:val="2D1302B6"/>
    <w:rsid w:val="2D245698"/>
    <w:rsid w:val="2D2768A0"/>
    <w:rsid w:val="2D2E0A6A"/>
    <w:rsid w:val="2D340315"/>
    <w:rsid w:val="2D3E16EE"/>
    <w:rsid w:val="2D427893"/>
    <w:rsid w:val="2D481A0D"/>
    <w:rsid w:val="2D50479B"/>
    <w:rsid w:val="2D512969"/>
    <w:rsid w:val="2D687FBF"/>
    <w:rsid w:val="2D72010F"/>
    <w:rsid w:val="2D7A6297"/>
    <w:rsid w:val="2D7B4579"/>
    <w:rsid w:val="2D8F19F0"/>
    <w:rsid w:val="2D934525"/>
    <w:rsid w:val="2D9D17CB"/>
    <w:rsid w:val="2DA00729"/>
    <w:rsid w:val="2DA41ABE"/>
    <w:rsid w:val="2DA81F6B"/>
    <w:rsid w:val="2DB35569"/>
    <w:rsid w:val="2DB35F1D"/>
    <w:rsid w:val="2DBB0A37"/>
    <w:rsid w:val="2DBC447A"/>
    <w:rsid w:val="2DC93539"/>
    <w:rsid w:val="2DD16436"/>
    <w:rsid w:val="2DD805B0"/>
    <w:rsid w:val="2DDB2E87"/>
    <w:rsid w:val="2DDE225B"/>
    <w:rsid w:val="2DE10AA4"/>
    <w:rsid w:val="2DF651A5"/>
    <w:rsid w:val="2DFB3E6C"/>
    <w:rsid w:val="2DFC6752"/>
    <w:rsid w:val="2DFE0923"/>
    <w:rsid w:val="2E047C83"/>
    <w:rsid w:val="2E08578D"/>
    <w:rsid w:val="2E182A60"/>
    <w:rsid w:val="2E1A3538"/>
    <w:rsid w:val="2E1D00AD"/>
    <w:rsid w:val="2E297BED"/>
    <w:rsid w:val="2E2E2FB7"/>
    <w:rsid w:val="2E2E4CC4"/>
    <w:rsid w:val="2E305080"/>
    <w:rsid w:val="2E35265A"/>
    <w:rsid w:val="2E35547E"/>
    <w:rsid w:val="2E4525C0"/>
    <w:rsid w:val="2E4E6E65"/>
    <w:rsid w:val="2E5D7659"/>
    <w:rsid w:val="2E655368"/>
    <w:rsid w:val="2E6B5FB9"/>
    <w:rsid w:val="2E6E1A4D"/>
    <w:rsid w:val="2E714226"/>
    <w:rsid w:val="2E7750C0"/>
    <w:rsid w:val="2E816A5C"/>
    <w:rsid w:val="2E997CD7"/>
    <w:rsid w:val="2EA012C3"/>
    <w:rsid w:val="2EA12BCB"/>
    <w:rsid w:val="2EA27519"/>
    <w:rsid w:val="2EA36B40"/>
    <w:rsid w:val="2EB163EC"/>
    <w:rsid w:val="2EB56016"/>
    <w:rsid w:val="2EBA5724"/>
    <w:rsid w:val="2EC002C4"/>
    <w:rsid w:val="2EC4548A"/>
    <w:rsid w:val="2EC72E1A"/>
    <w:rsid w:val="2EC7548D"/>
    <w:rsid w:val="2ECE0F92"/>
    <w:rsid w:val="2ECF0EA8"/>
    <w:rsid w:val="2ED27DE6"/>
    <w:rsid w:val="2ED56E18"/>
    <w:rsid w:val="2ED8620C"/>
    <w:rsid w:val="2EDA7318"/>
    <w:rsid w:val="2EDF05D3"/>
    <w:rsid w:val="2EE20AAA"/>
    <w:rsid w:val="2EE752A8"/>
    <w:rsid w:val="2EE8600B"/>
    <w:rsid w:val="2EF0682E"/>
    <w:rsid w:val="2EF42807"/>
    <w:rsid w:val="2EFC3747"/>
    <w:rsid w:val="2F0D4F06"/>
    <w:rsid w:val="2F0D670B"/>
    <w:rsid w:val="2F17377A"/>
    <w:rsid w:val="2F1F411C"/>
    <w:rsid w:val="2F261EE0"/>
    <w:rsid w:val="2F262EB4"/>
    <w:rsid w:val="2F297D10"/>
    <w:rsid w:val="2F2D28E7"/>
    <w:rsid w:val="2F302D5E"/>
    <w:rsid w:val="2F30502A"/>
    <w:rsid w:val="2F4011D4"/>
    <w:rsid w:val="2F4D43BA"/>
    <w:rsid w:val="2F4E2180"/>
    <w:rsid w:val="2F4E3E29"/>
    <w:rsid w:val="2F5006C4"/>
    <w:rsid w:val="2F5527C5"/>
    <w:rsid w:val="2F5B564B"/>
    <w:rsid w:val="2F5B602D"/>
    <w:rsid w:val="2F5C1DA5"/>
    <w:rsid w:val="2F5F5BA0"/>
    <w:rsid w:val="2F6848A6"/>
    <w:rsid w:val="2F692670"/>
    <w:rsid w:val="2F700876"/>
    <w:rsid w:val="2F92589A"/>
    <w:rsid w:val="2F9A063A"/>
    <w:rsid w:val="2F9F4816"/>
    <w:rsid w:val="2FB7522E"/>
    <w:rsid w:val="2FB81390"/>
    <w:rsid w:val="2FC20A24"/>
    <w:rsid w:val="2FC666D1"/>
    <w:rsid w:val="2FC77825"/>
    <w:rsid w:val="2FCF2685"/>
    <w:rsid w:val="2FD600FB"/>
    <w:rsid w:val="2FD84678"/>
    <w:rsid w:val="2FE53B49"/>
    <w:rsid w:val="2FEE690D"/>
    <w:rsid w:val="2FF16011"/>
    <w:rsid w:val="2FFE4C0B"/>
    <w:rsid w:val="30025943"/>
    <w:rsid w:val="30032BD0"/>
    <w:rsid w:val="300541EB"/>
    <w:rsid w:val="30160E24"/>
    <w:rsid w:val="30170BDE"/>
    <w:rsid w:val="30170D29"/>
    <w:rsid w:val="301D31FA"/>
    <w:rsid w:val="302C1778"/>
    <w:rsid w:val="303C4A16"/>
    <w:rsid w:val="303F0969"/>
    <w:rsid w:val="303F3D2B"/>
    <w:rsid w:val="3051460D"/>
    <w:rsid w:val="30537DA3"/>
    <w:rsid w:val="305807BF"/>
    <w:rsid w:val="305947FE"/>
    <w:rsid w:val="305A0290"/>
    <w:rsid w:val="305A6FA0"/>
    <w:rsid w:val="305D4027"/>
    <w:rsid w:val="30695FB7"/>
    <w:rsid w:val="30744423"/>
    <w:rsid w:val="3079407F"/>
    <w:rsid w:val="307B6EF4"/>
    <w:rsid w:val="307D0819"/>
    <w:rsid w:val="3095573E"/>
    <w:rsid w:val="309B7985"/>
    <w:rsid w:val="309D3963"/>
    <w:rsid w:val="309E71E7"/>
    <w:rsid w:val="30A43A04"/>
    <w:rsid w:val="30B005FB"/>
    <w:rsid w:val="30C70708"/>
    <w:rsid w:val="30C776F3"/>
    <w:rsid w:val="30D07CB0"/>
    <w:rsid w:val="30D40016"/>
    <w:rsid w:val="30D51E0F"/>
    <w:rsid w:val="30F1663C"/>
    <w:rsid w:val="30F65CFE"/>
    <w:rsid w:val="30FB0D5C"/>
    <w:rsid w:val="31021174"/>
    <w:rsid w:val="31092C81"/>
    <w:rsid w:val="31150874"/>
    <w:rsid w:val="31182D9A"/>
    <w:rsid w:val="312305E6"/>
    <w:rsid w:val="31264419"/>
    <w:rsid w:val="312D7903"/>
    <w:rsid w:val="313159A8"/>
    <w:rsid w:val="31392806"/>
    <w:rsid w:val="31431EBC"/>
    <w:rsid w:val="31450491"/>
    <w:rsid w:val="314E34E9"/>
    <w:rsid w:val="31592C46"/>
    <w:rsid w:val="31723C16"/>
    <w:rsid w:val="31771885"/>
    <w:rsid w:val="31850C72"/>
    <w:rsid w:val="31855283"/>
    <w:rsid w:val="319C1BED"/>
    <w:rsid w:val="319D56B0"/>
    <w:rsid w:val="31A0509F"/>
    <w:rsid w:val="31A2252C"/>
    <w:rsid w:val="31A718B9"/>
    <w:rsid w:val="31AD4F0A"/>
    <w:rsid w:val="31B81BE5"/>
    <w:rsid w:val="31C12394"/>
    <w:rsid w:val="31CA749A"/>
    <w:rsid w:val="31CC0ED5"/>
    <w:rsid w:val="31CF2934"/>
    <w:rsid w:val="31D75713"/>
    <w:rsid w:val="31D8281D"/>
    <w:rsid w:val="31D864D0"/>
    <w:rsid w:val="31DF388B"/>
    <w:rsid w:val="31EA18EB"/>
    <w:rsid w:val="31FC0D5E"/>
    <w:rsid w:val="31FC33CC"/>
    <w:rsid w:val="3206424D"/>
    <w:rsid w:val="32101599"/>
    <w:rsid w:val="32112082"/>
    <w:rsid w:val="32122B40"/>
    <w:rsid w:val="322D1460"/>
    <w:rsid w:val="3230420E"/>
    <w:rsid w:val="32333086"/>
    <w:rsid w:val="32385280"/>
    <w:rsid w:val="32403EE5"/>
    <w:rsid w:val="32490B66"/>
    <w:rsid w:val="32522AEB"/>
    <w:rsid w:val="32537099"/>
    <w:rsid w:val="32555D74"/>
    <w:rsid w:val="326A2C59"/>
    <w:rsid w:val="326B09F6"/>
    <w:rsid w:val="326E1F74"/>
    <w:rsid w:val="326F03E5"/>
    <w:rsid w:val="327A0EC0"/>
    <w:rsid w:val="327F305E"/>
    <w:rsid w:val="32843AED"/>
    <w:rsid w:val="328E6982"/>
    <w:rsid w:val="32937E61"/>
    <w:rsid w:val="32945ABD"/>
    <w:rsid w:val="329863C3"/>
    <w:rsid w:val="32AA2E28"/>
    <w:rsid w:val="32AC0031"/>
    <w:rsid w:val="32AD6025"/>
    <w:rsid w:val="32B01725"/>
    <w:rsid w:val="32B46C55"/>
    <w:rsid w:val="32BA32F6"/>
    <w:rsid w:val="32BC5C0C"/>
    <w:rsid w:val="32C03C22"/>
    <w:rsid w:val="32CE4A82"/>
    <w:rsid w:val="32D12442"/>
    <w:rsid w:val="32D20BDD"/>
    <w:rsid w:val="32D65592"/>
    <w:rsid w:val="32E4458C"/>
    <w:rsid w:val="32E4633A"/>
    <w:rsid w:val="32F221EE"/>
    <w:rsid w:val="32F613EF"/>
    <w:rsid w:val="32F742BF"/>
    <w:rsid w:val="32F80037"/>
    <w:rsid w:val="330B38C7"/>
    <w:rsid w:val="330D06A8"/>
    <w:rsid w:val="33234D73"/>
    <w:rsid w:val="3328091C"/>
    <w:rsid w:val="33312E6E"/>
    <w:rsid w:val="333C5C3C"/>
    <w:rsid w:val="33435756"/>
    <w:rsid w:val="3344502A"/>
    <w:rsid w:val="334E1ECB"/>
    <w:rsid w:val="33564BC9"/>
    <w:rsid w:val="33575750"/>
    <w:rsid w:val="335916A3"/>
    <w:rsid w:val="33595521"/>
    <w:rsid w:val="335A65FC"/>
    <w:rsid w:val="336B1552"/>
    <w:rsid w:val="336D34C0"/>
    <w:rsid w:val="3370189C"/>
    <w:rsid w:val="33730048"/>
    <w:rsid w:val="3377497A"/>
    <w:rsid w:val="33784CD4"/>
    <w:rsid w:val="337D54D8"/>
    <w:rsid w:val="339C3392"/>
    <w:rsid w:val="33AF4B9A"/>
    <w:rsid w:val="33B14908"/>
    <w:rsid w:val="33B7070C"/>
    <w:rsid w:val="33BC008C"/>
    <w:rsid w:val="33BD672E"/>
    <w:rsid w:val="33C308A7"/>
    <w:rsid w:val="33C40457"/>
    <w:rsid w:val="33C7570C"/>
    <w:rsid w:val="33C87AB6"/>
    <w:rsid w:val="33CD4C0D"/>
    <w:rsid w:val="33D66918"/>
    <w:rsid w:val="33E35A00"/>
    <w:rsid w:val="33EA1BD2"/>
    <w:rsid w:val="33EB0BFB"/>
    <w:rsid w:val="33FD604E"/>
    <w:rsid w:val="3404601A"/>
    <w:rsid w:val="34073BBC"/>
    <w:rsid w:val="34137848"/>
    <w:rsid w:val="34153486"/>
    <w:rsid w:val="341635EB"/>
    <w:rsid w:val="34265775"/>
    <w:rsid w:val="342657FB"/>
    <w:rsid w:val="34285A1D"/>
    <w:rsid w:val="342C190A"/>
    <w:rsid w:val="342D7D5D"/>
    <w:rsid w:val="342F3231"/>
    <w:rsid w:val="343508B5"/>
    <w:rsid w:val="34360C50"/>
    <w:rsid w:val="344B785E"/>
    <w:rsid w:val="3457564C"/>
    <w:rsid w:val="345C291E"/>
    <w:rsid w:val="345D02DC"/>
    <w:rsid w:val="345D4D42"/>
    <w:rsid w:val="345F6EF6"/>
    <w:rsid w:val="346040E6"/>
    <w:rsid w:val="34606E94"/>
    <w:rsid w:val="34631D2D"/>
    <w:rsid w:val="34670FD0"/>
    <w:rsid w:val="34692AFD"/>
    <w:rsid w:val="346F4A1E"/>
    <w:rsid w:val="3483643B"/>
    <w:rsid w:val="348778C5"/>
    <w:rsid w:val="348809F9"/>
    <w:rsid w:val="348A1163"/>
    <w:rsid w:val="3490688E"/>
    <w:rsid w:val="34992BFC"/>
    <w:rsid w:val="349E23B1"/>
    <w:rsid w:val="34A71D15"/>
    <w:rsid w:val="34A9687B"/>
    <w:rsid w:val="34B04A36"/>
    <w:rsid w:val="34B752DC"/>
    <w:rsid w:val="34B93957"/>
    <w:rsid w:val="34B93E43"/>
    <w:rsid w:val="34C23246"/>
    <w:rsid w:val="34C77705"/>
    <w:rsid w:val="34CD7BFA"/>
    <w:rsid w:val="34D0303E"/>
    <w:rsid w:val="34D261E5"/>
    <w:rsid w:val="34DF5AFA"/>
    <w:rsid w:val="34E1239D"/>
    <w:rsid w:val="34E611F7"/>
    <w:rsid w:val="34EC3A64"/>
    <w:rsid w:val="34F31B90"/>
    <w:rsid w:val="34F527CD"/>
    <w:rsid w:val="350033DD"/>
    <w:rsid w:val="35044426"/>
    <w:rsid w:val="350478CF"/>
    <w:rsid w:val="35063F6F"/>
    <w:rsid w:val="3517669D"/>
    <w:rsid w:val="35182394"/>
    <w:rsid w:val="351F0762"/>
    <w:rsid w:val="352D3F09"/>
    <w:rsid w:val="35322954"/>
    <w:rsid w:val="35333C86"/>
    <w:rsid w:val="35343AF5"/>
    <w:rsid w:val="353A193E"/>
    <w:rsid w:val="353D7FF5"/>
    <w:rsid w:val="35406296"/>
    <w:rsid w:val="354629EE"/>
    <w:rsid w:val="354C2005"/>
    <w:rsid w:val="35533797"/>
    <w:rsid w:val="35567B73"/>
    <w:rsid w:val="355A660C"/>
    <w:rsid w:val="356B276A"/>
    <w:rsid w:val="356B2D42"/>
    <w:rsid w:val="356E6707"/>
    <w:rsid w:val="35702107"/>
    <w:rsid w:val="3578353D"/>
    <w:rsid w:val="357E0CC8"/>
    <w:rsid w:val="3585333F"/>
    <w:rsid w:val="35894A56"/>
    <w:rsid w:val="358A7183"/>
    <w:rsid w:val="35936696"/>
    <w:rsid w:val="35951B6D"/>
    <w:rsid w:val="359762F7"/>
    <w:rsid w:val="359A0379"/>
    <w:rsid w:val="35AE6669"/>
    <w:rsid w:val="35B3225E"/>
    <w:rsid w:val="35B664CA"/>
    <w:rsid w:val="35BA5D64"/>
    <w:rsid w:val="35CB0DC6"/>
    <w:rsid w:val="35CC5BC0"/>
    <w:rsid w:val="35CE6E2D"/>
    <w:rsid w:val="35D5640E"/>
    <w:rsid w:val="35D9618D"/>
    <w:rsid w:val="35E5018B"/>
    <w:rsid w:val="35E736BF"/>
    <w:rsid w:val="35F11558"/>
    <w:rsid w:val="35F74E0B"/>
    <w:rsid w:val="35FE493C"/>
    <w:rsid w:val="3613320C"/>
    <w:rsid w:val="361616B7"/>
    <w:rsid w:val="36183502"/>
    <w:rsid w:val="361B2F32"/>
    <w:rsid w:val="361C5DEB"/>
    <w:rsid w:val="3622645F"/>
    <w:rsid w:val="362A1980"/>
    <w:rsid w:val="36300072"/>
    <w:rsid w:val="36340C65"/>
    <w:rsid w:val="36405F7D"/>
    <w:rsid w:val="36412531"/>
    <w:rsid w:val="3643781B"/>
    <w:rsid w:val="36456783"/>
    <w:rsid w:val="36461972"/>
    <w:rsid w:val="36487222"/>
    <w:rsid w:val="3656754F"/>
    <w:rsid w:val="3660140C"/>
    <w:rsid w:val="366D3621"/>
    <w:rsid w:val="3674439B"/>
    <w:rsid w:val="36806234"/>
    <w:rsid w:val="368349A8"/>
    <w:rsid w:val="36851BE2"/>
    <w:rsid w:val="368C2279"/>
    <w:rsid w:val="368F2A96"/>
    <w:rsid w:val="36920A9C"/>
    <w:rsid w:val="36B11008"/>
    <w:rsid w:val="36B373E7"/>
    <w:rsid w:val="36BC6186"/>
    <w:rsid w:val="36C14165"/>
    <w:rsid w:val="36C243B0"/>
    <w:rsid w:val="36C87EEE"/>
    <w:rsid w:val="36C94F12"/>
    <w:rsid w:val="36CE17DB"/>
    <w:rsid w:val="36CF5C2B"/>
    <w:rsid w:val="36D641EB"/>
    <w:rsid w:val="36D80A21"/>
    <w:rsid w:val="36ED3C9A"/>
    <w:rsid w:val="36F15FAB"/>
    <w:rsid w:val="36F32FEF"/>
    <w:rsid w:val="36F87DD5"/>
    <w:rsid w:val="36FD1EC6"/>
    <w:rsid w:val="3702180C"/>
    <w:rsid w:val="370944C7"/>
    <w:rsid w:val="37135440"/>
    <w:rsid w:val="3713673D"/>
    <w:rsid w:val="371C1F52"/>
    <w:rsid w:val="372E50BE"/>
    <w:rsid w:val="37366111"/>
    <w:rsid w:val="373757DE"/>
    <w:rsid w:val="37386D7A"/>
    <w:rsid w:val="373D37AE"/>
    <w:rsid w:val="373F0630"/>
    <w:rsid w:val="37465815"/>
    <w:rsid w:val="374701FA"/>
    <w:rsid w:val="374B178A"/>
    <w:rsid w:val="37553CBE"/>
    <w:rsid w:val="375717D0"/>
    <w:rsid w:val="375C0DB5"/>
    <w:rsid w:val="375D3BBB"/>
    <w:rsid w:val="376166C3"/>
    <w:rsid w:val="3765292F"/>
    <w:rsid w:val="37730744"/>
    <w:rsid w:val="37737B66"/>
    <w:rsid w:val="37773C20"/>
    <w:rsid w:val="37792715"/>
    <w:rsid w:val="377E67CF"/>
    <w:rsid w:val="3782089F"/>
    <w:rsid w:val="37832B1B"/>
    <w:rsid w:val="37957A14"/>
    <w:rsid w:val="37A833B1"/>
    <w:rsid w:val="37AE18EE"/>
    <w:rsid w:val="37B7510A"/>
    <w:rsid w:val="37B9703C"/>
    <w:rsid w:val="37BC0947"/>
    <w:rsid w:val="37BF1123"/>
    <w:rsid w:val="37C52407"/>
    <w:rsid w:val="37C702B3"/>
    <w:rsid w:val="37C76FB1"/>
    <w:rsid w:val="37CC5C21"/>
    <w:rsid w:val="37CE76BC"/>
    <w:rsid w:val="37E6014A"/>
    <w:rsid w:val="37E722A2"/>
    <w:rsid w:val="37EE6245"/>
    <w:rsid w:val="37F76B0F"/>
    <w:rsid w:val="37FB38B8"/>
    <w:rsid w:val="37FD649F"/>
    <w:rsid w:val="380B6072"/>
    <w:rsid w:val="380E4E7F"/>
    <w:rsid w:val="38135AA1"/>
    <w:rsid w:val="381364AB"/>
    <w:rsid w:val="38172D0E"/>
    <w:rsid w:val="381C6576"/>
    <w:rsid w:val="381D2D88"/>
    <w:rsid w:val="381F3A96"/>
    <w:rsid w:val="382362A4"/>
    <w:rsid w:val="38286ACC"/>
    <w:rsid w:val="38305B7D"/>
    <w:rsid w:val="3834010F"/>
    <w:rsid w:val="383C5DD6"/>
    <w:rsid w:val="38420E95"/>
    <w:rsid w:val="38435486"/>
    <w:rsid w:val="38492195"/>
    <w:rsid w:val="38507352"/>
    <w:rsid w:val="38582F31"/>
    <w:rsid w:val="3859760B"/>
    <w:rsid w:val="385B4AD4"/>
    <w:rsid w:val="385E73EF"/>
    <w:rsid w:val="385E7B8F"/>
    <w:rsid w:val="386121DB"/>
    <w:rsid w:val="38613F89"/>
    <w:rsid w:val="38696B61"/>
    <w:rsid w:val="386C06E0"/>
    <w:rsid w:val="38706325"/>
    <w:rsid w:val="387119AC"/>
    <w:rsid w:val="387D1575"/>
    <w:rsid w:val="38802F1B"/>
    <w:rsid w:val="38813912"/>
    <w:rsid w:val="388A6A0D"/>
    <w:rsid w:val="389977DA"/>
    <w:rsid w:val="38A73F9B"/>
    <w:rsid w:val="38B555EE"/>
    <w:rsid w:val="38B6273A"/>
    <w:rsid w:val="38CD161E"/>
    <w:rsid w:val="38D640A0"/>
    <w:rsid w:val="38DB7B1B"/>
    <w:rsid w:val="38DD7904"/>
    <w:rsid w:val="38DF55E5"/>
    <w:rsid w:val="38E30DF2"/>
    <w:rsid w:val="38EA0422"/>
    <w:rsid w:val="38EB5677"/>
    <w:rsid w:val="38F809E6"/>
    <w:rsid w:val="38F92413"/>
    <w:rsid w:val="38FF3D60"/>
    <w:rsid w:val="39001177"/>
    <w:rsid w:val="390E49C0"/>
    <w:rsid w:val="39196C06"/>
    <w:rsid w:val="39202456"/>
    <w:rsid w:val="392349DD"/>
    <w:rsid w:val="392B75F5"/>
    <w:rsid w:val="392D5727"/>
    <w:rsid w:val="393020E1"/>
    <w:rsid w:val="3935589A"/>
    <w:rsid w:val="393D24E5"/>
    <w:rsid w:val="39477622"/>
    <w:rsid w:val="394C06E8"/>
    <w:rsid w:val="395808A9"/>
    <w:rsid w:val="39595030"/>
    <w:rsid w:val="395B6C1C"/>
    <w:rsid w:val="396A0841"/>
    <w:rsid w:val="399061A6"/>
    <w:rsid w:val="39937FAC"/>
    <w:rsid w:val="39943A81"/>
    <w:rsid w:val="39944103"/>
    <w:rsid w:val="399505F0"/>
    <w:rsid w:val="39974106"/>
    <w:rsid w:val="3998745F"/>
    <w:rsid w:val="39AB639F"/>
    <w:rsid w:val="39C12F31"/>
    <w:rsid w:val="39C2069A"/>
    <w:rsid w:val="39CB67CC"/>
    <w:rsid w:val="39CF2650"/>
    <w:rsid w:val="39D07F92"/>
    <w:rsid w:val="39E10308"/>
    <w:rsid w:val="39E44E71"/>
    <w:rsid w:val="39E60BE9"/>
    <w:rsid w:val="39EC00E9"/>
    <w:rsid w:val="39EE5D90"/>
    <w:rsid w:val="39EE73E7"/>
    <w:rsid w:val="39F350B4"/>
    <w:rsid w:val="39F57DDD"/>
    <w:rsid w:val="39F850F3"/>
    <w:rsid w:val="3A0A0726"/>
    <w:rsid w:val="3A0B31ED"/>
    <w:rsid w:val="3A114C0C"/>
    <w:rsid w:val="3A1A60C3"/>
    <w:rsid w:val="3A1C5ED4"/>
    <w:rsid w:val="3A1C6D89"/>
    <w:rsid w:val="3A1D2D49"/>
    <w:rsid w:val="3A200C9E"/>
    <w:rsid w:val="3A21039D"/>
    <w:rsid w:val="3A230A26"/>
    <w:rsid w:val="3A241C9F"/>
    <w:rsid w:val="3A2A465B"/>
    <w:rsid w:val="3A2C0DE7"/>
    <w:rsid w:val="3A2E002F"/>
    <w:rsid w:val="3A2F6D9E"/>
    <w:rsid w:val="3A300215"/>
    <w:rsid w:val="3A4709D9"/>
    <w:rsid w:val="3A4721E7"/>
    <w:rsid w:val="3A4B10FD"/>
    <w:rsid w:val="3A4C65FA"/>
    <w:rsid w:val="3A4D6EBA"/>
    <w:rsid w:val="3A4E3759"/>
    <w:rsid w:val="3A525607"/>
    <w:rsid w:val="3A5B0CCB"/>
    <w:rsid w:val="3A5B4248"/>
    <w:rsid w:val="3A5D6DD9"/>
    <w:rsid w:val="3A5E2137"/>
    <w:rsid w:val="3A5E4C24"/>
    <w:rsid w:val="3A6932B0"/>
    <w:rsid w:val="3A6A7CE9"/>
    <w:rsid w:val="3A6B0B6B"/>
    <w:rsid w:val="3A797E6F"/>
    <w:rsid w:val="3A7A23A9"/>
    <w:rsid w:val="3A8337FD"/>
    <w:rsid w:val="3A835624"/>
    <w:rsid w:val="3A86417A"/>
    <w:rsid w:val="3A8759B7"/>
    <w:rsid w:val="3A8A77C7"/>
    <w:rsid w:val="3A9443F4"/>
    <w:rsid w:val="3A9C5CEB"/>
    <w:rsid w:val="3A9F7602"/>
    <w:rsid w:val="3AA36E5C"/>
    <w:rsid w:val="3AA43528"/>
    <w:rsid w:val="3AA57030"/>
    <w:rsid w:val="3AAF782E"/>
    <w:rsid w:val="3AB25A9A"/>
    <w:rsid w:val="3AB40CE8"/>
    <w:rsid w:val="3ABB5850"/>
    <w:rsid w:val="3ABF337A"/>
    <w:rsid w:val="3AC04154"/>
    <w:rsid w:val="3AC10794"/>
    <w:rsid w:val="3AC52EF5"/>
    <w:rsid w:val="3AC76101"/>
    <w:rsid w:val="3AC9498B"/>
    <w:rsid w:val="3AD81E25"/>
    <w:rsid w:val="3AD924FC"/>
    <w:rsid w:val="3AD969A0"/>
    <w:rsid w:val="3ADE169D"/>
    <w:rsid w:val="3ADE7B13"/>
    <w:rsid w:val="3ADF3249"/>
    <w:rsid w:val="3AE50EA1"/>
    <w:rsid w:val="3AE7281E"/>
    <w:rsid w:val="3AF35892"/>
    <w:rsid w:val="3AFB4BA2"/>
    <w:rsid w:val="3AFD387B"/>
    <w:rsid w:val="3B0752BB"/>
    <w:rsid w:val="3B0B217C"/>
    <w:rsid w:val="3B10014F"/>
    <w:rsid w:val="3B1A4F36"/>
    <w:rsid w:val="3B1A7B19"/>
    <w:rsid w:val="3B1B4B48"/>
    <w:rsid w:val="3B1E667C"/>
    <w:rsid w:val="3B3069EE"/>
    <w:rsid w:val="3B3153ED"/>
    <w:rsid w:val="3B3231D0"/>
    <w:rsid w:val="3B3C1365"/>
    <w:rsid w:val="3B3C6EBC"/>
    <w:rsid w:val="3B413814"/>
    <w:rsid w:val="3B4E14F1"/>
    <w:rsid w:val="3B544EC3"/>
    <w:rsid w:val="3B56604F"/>
    <w:rsid w:val="3B5B5528"/>
    <w:rsid w:val="3B60677A"/>
    <w:rsid w:val="3B6E533A"/>
    <w:rsid w:val="3B6F30BB"/>
    <w:rsid w:val="3B710FB3"/>
    <w:rsid w:val="3B7B35B3"/>
    <w:rsid w:val="3B980C37"/>
    <w:rsid w:val="3B9D7F3A"/>
    <w:rsid w:val="3BA639BC"/>
    <w:rsid w:val="3BAA13E4"/>
    <w:rsid w:val="3BB90045"/>
    <w:rsid w:val="3BBA6378"/>
    <w:rsid w:val="3BC27A6F"/>
    <w:rsid w:val="3BCB6850"/>
    <w:rsid w:val="3BD43489"/>
    <w:rsid w:val="3BE63039"/>
    <w:rsid w:val="3C0176B8"/>
    <w:rsid w:val="3C0550B8"/>
    <w:rsid w:val="3C065573"/>
    <w:rsid w:val="3C080EA1"/>
    <w:rsid w:val="3C145998"/>
    <w:rsid w:val="3C164165"/>
    <w:rsid w:val="3C167219"/>
    <w:rsid w:val="3C183877"/>
    <w:rsid w:val="3C1E7DFF"/>
    <w:rsid w:val="3C1F07F5"/>
    <w:rsid w:val="3C235CBD"/>
    <w:rsid w:val="3C2659AF"/>
    <w:rsid w:val="3C29300F"/>
    <w:rsid w:val="3C2A58EB"/>
    <w:rsid w:val="3C2E61B3"/>
    <w:rsid w:val="3C3560F7"/>
    <w:rsid w:val="3C391416"/>
    <w:rsid w:val="3C3C5CE9"/>
    <w:rsid w:val="3C430384"/>
    <w:rsid w:val="3C516C37"/>
    <w:rsid w:val="3C52600C"/>
    <w:rsid w:val="3C5A58BF"/>
    <w:rsid w:val="3C5D29B4"/>
    <w:rsid w:val="3C604823"/>
    <w:rsid w:val="3C683C2C"/>
    <w:rsid w:val="3C6978B0"/>
    <w:rsid w:val="3C6E2DE9"/>
    <w:rsid w:val="3C7C5C4A"/>
    <w:rsid w:val="3C7E335B"/>
    <w:rsid w:val="3C7F2519"/>
    <w:rsid w:val="3C885F88"/>
    <w:rsid w:val="3C893877"/>
    <w:rsid w:val="3C8C1F1C"/>
    <w:rsid w:val="3C8C2E72"/>
    <w:rsid w:val="3C951ED4"/>
    <w:rsid w:val="3CA1529C"/>
    <w:rsid w:val="3CAC487B"/>
    <w:rsid w:val="3CAC61B9"/>
    <w:rsid w:val="3CB20E84"/>
    <w:rsid w:val="3CB75CB1"/>
    <w:rsid w:val="3CBB45AF"/>
    <w:rsid w:val="3CBC4023"/>
    <w:rsid w:val="3CBE6B95"/>
    <w:rsid w:val="3CC26C24"/>
    <w:rsid w:val="3CCC3F95"/>
    <w:rsid w:val="3CD70A3A"/>
    <w:rsid w:val="3CDE1B26"/>
    <w:rsid w:val="3CE753A4"/>
    <w:rsid w:val="3CEF4259"/>
    <w:rsid w:val="3CF079AA"/>
    <w:rsid w:val="3CFA3924"/>
    <w:rsid w:val="3CFC721F"/>
    <w:rsid w:val="3D031F11"/>
    <w:rsid w:val="3D032CD7"/>
    <w:rsid w:val="3D0A6C5B"/>
    <w:rsid w:val="3D0B3773"/>
    <w:rsid w:val="3D0B4337"/>
    <w:rsid w:val="3D0C0359"/>
    <w:rsid w:val="3D160209"/>
    <w:rsid w:val="3D1D5885"/>
    <w:rsid w:val="3D2C61DD"/>
    <w:rsid w:val="3D2D3A17"/>
    <w:rsid w:val="3D38228B"/>
    <w:rsid w:val="3D3D6D6B"/>
    <w:rsid w:val="3D4374DA"/>
    <w:rsid w:val="3D454712"/>
    <w:rsid w:val="3D510A70"/>
    <w:rsid w:val="3D570390"/>
    <w:rsid w:val="3D5B43D3"/>
    <w:rsid w:val="3D7E210C"/>
    <w:rsid w:val="3D7E3C47"/>
    <w:rsid w:val="3D8C37DD"/>
    <w:rsid w:val="3D8C5F4C"/>
    <w:rsid w:val="3D914CA9"/>
    <w:rsid w:val="3D925F2C"/>
    <w:rsid w:val="3D9834DB"/>
    <w:rsid w:val="3DA43D96"/>
    <w:rsid w:val="3DA63845"/>
    <w:rsid w:val="3DA8357D"/>
    <w:rsid w:val="3DA9265A"/>
    <w:rsid w:val="3DAC166E"/>
    <w:rsid w:val="3DB61337"/>
    <w:rsid w:val="3DBA0E9E"/>
    <w:rsid w:val="3DC34DAF"/>
    <w:rsid w:val="3DC8034E"/>
    <w:rsid w:val="3DC820CD"/>
    <w:rsid w:val="3DD25E2D"/>
    <w:rsid w:val="3DD9574B"/>
    <w:rsid w:val="3DDA1271"/>
    <w:rsid w:val="3DDC3619"/>
    <w:rsid w:val="3DEB06F4"/>
    <w:rsid w:val="3DEE2762"/>
    <w:rsid w:val="3DF02841"/>
    <w:rsid w:val="3DF064DB"/>
    <w:rsid w:val="3DF53EC5"/>
    <w:rsid w:val="3E1108CB"/>
    <w:rsid w:val="3E112558"/>
    <w:rsid w:val="3E157CEF"/>
    <w:rsid w:val="3E197B67"/>
    <w:rsid w:val="3E1A1AD0"/>
    <w:rsid w:val="3E1A4F36"/>
    <w:rsid w:val="3E1B16F5"/>
    <w:rsid w:val="3E265A58"/>
    <w:rsid w:val="3E2723C3"/>
    <w:rsid w:val="3E2B6068"/>
    <w:rsid w:val="3E2D7F34"/>
    <w:rsid w:val="3E2F4943"/>
    <w:rsid w:val="3E303AB0"/>
    <w:rsid w:val="3E412892"/>
    <w:rsid w:val="3E48575E"/>
    <w:rsid w:val="3E4E711B"/>
    <w:rsid w:val="3E645F8A"/>
    <w:rsid w:val="3E711FF4"/>
    <w:rsid w:val="3E7303EF"/>
    <w:rsid w:val="3E751838"/>
    <w:rsid w:val="3E781BD9"/>
    <w:rsid w:val="3E825452"/>
    <w:rsid w:val="3E8409D1"/>
    <w:rsid w:val="3E900278"/>
    <w:rsid w:val="3E917F09"/>
    <w:rsid w:val="3E933797"/>
    <w:rsid w:val="3E972C09"/>
    <w:rsid w:val="3E9A2D1E"/>
    <w:rsid w:val="3E9C39D9"/>
    <w:rsid w:val="3EA0078D"/>
    <w:rsid w:val="3EA54792"/>
    <w:rsid w:val="3EAA787C"/>
    <w:rsid w:val="3EB77436"/>
    <w:rsid w:val="3EBC016B"/>
    <w:rsid w:val="3EBF7F0D"/>
    <w:rsid w:val="3EC30441"/>
    <w:rsid w:val="3EC3599D"/>
    <w:rsid w:val="3EC54A57"/>
    <w:rsid w:val="3EC83780"/>
    <w:rsid w:val="3ECC7CFE"/>
    <w:rsid w:val="3ECE3ED7"/>
    <w:rsid w:val="3ED3385E"/>
    <w:rsid w:val="3ED363E1"/>
    <w:rsid w:val="3ED405B8"/>
    <w:rsid w:val="3EDA232D"/>
    <w:rsid w:val="3EF66A27"/>
    <w:rsid w:val="3F010D8D"/>
    <w:rsid w:val="3F03223E"/>
    <w:rsid w:val="3F0428E3"/>
    <w:rsid w:val="3F0B0FBC"/>
    <w:rsid w:val="3F0C204C"/>
    <w:rsid w:val="3F1A0EC1"/>
    <w:rsid w:val="3F1E3C36"/>
    <w:rsid w:val="3F277271"/>
    <w:rsid w:val="3F2D72BA"/>
    <w:rsid w:val="3F3917BB"/>
    <w:rsid w:val="3F503C08"/>
    <w:rsid w:val="3F545FD7"/>
    <w:rsid w:val="3F56187F"/>
    <w:rsid w:val="3F5F5250"/>
    <w:rsid w:val="3F6C7DE3"/>
    <w:rsid w:val="3F734A0B"/>
    <w:rsid w:val="3F746761"/>
    <w:rsid w:val="3F7858AC"/>
    <w:rsid w:val="3F8436DE"/>
    <w:rsid w:val="3F8957A5"/>
    <w:rsid w:val="3F8E6301"/>
    <w:rsid w:val="3F9161B7"/>
    <w:rsid w:val="3F93211E"/>
    <w:rsid w:val="3F9D00D6"/>
    <w:rsid w:val="3FA22888"/>
    <w:rsid w:val="3FA27361"/>
    <w:rsid w:val="3FAA4467"/>
    <w:rsid w:val="3FAB31C5"/>
    <w:rsid w:val="3FAD5513"/>
    <w:rsid w:val="3FB83028"/>
    <w:rsid w:val="3FC77D57"/>
    <w:rsid w:val="3FCB05BB"/>
    <w:rsid w:val="3FD15967"/>
    <w:rsid w:val="3FD80FD4"/>
    <w:rsid w:val="3FDA52ED"/>
    <w:rsid w:val="3FE37CCF"/>
    <w:rsid w:val="3FEA15CB"/>
    <w:rsid w:val="3FEA5B02"/>
    <w:rsid w:val="3FED390F"/>
    <w:rsid w:val="3FED72D4"/>
    <w:rsid w:val="3FF82BD1"/>
    <w:rsid w:val="40071D08"/>
    <w:rsid w:val="400A5D0B"/>
    <w:rsid w:val="400D0780"/>
    <w:rsid w:val="40135220"/>
    <w:rsid w:val="401A55E8"/>
    <w:rsid w:val="4025237D"/>
    <w:rsid w:val="402E78E8"/>
    <w:rsid w:val="403C0DB9"/>
    <w:rsid w:val="404423CD"/>
    <w:rsid w:val="404C3381"/>
    <w:rsid w:val="404C3770"/>
    <w:rsid w:val="405135C0"/>
    <w:rsid w:val="4054471D"/>
    <w:rsid w:val="40572841"/>
    <w:rsid w:val="40741FD7"/>
    <w:rsid w:val="407750A4"/>
    <w:rsid w:val="407C1E60"/>
    <w:rsid w:val="40805ECE"/>
    <w:rsid w:val="4081166C"/>
    <w:rsid w:val="408847A8"/>
    <w:rsid w:val="40885796"/>
    <w:rsid w:val="408A0A4D"/>
    <w:rsid w:val="40977C2D"/>
    <w:rsid w:val="409C721C"/>
    <w:rsid w:val="409D23DB"/>
    <w:rsid w:val="40A45513"/>
    <w:rsid w:val="40AA0BC3"/>
    <w:rsid w:val="40B85510"/>
    <w:rsid w:val="40BA0582"/>
    <w:rsid w:val="40BA7A2C"/>
    <w:rsid w:val="40C21104"/>
    <w:rsid w:val="40CA6890"/>
    <w:rsid w:val="40CD5D8C"/>
    <w:rsid w:val="40CF4385"/>
    <w:rsid w:val="40D50767"/>
    <w:rsid w:val="40D53AF4"/>
    <w:rsid w:val="40E37207"/>
    <w:rsid w:val="40E411FC"/>
    <w:rsid w:val="40ED234A"/>
    <w:rsid w:val="40EF5DE2"/>
    <w:rsid w:val="40F005A0"/>
    <w:rsid w:val="40FA4904"/>
    <w:rsid w:val="40FC622F"/>
    <w:rsid w:val="41015675"/>
    <w:rsid w:val="41065D1D"/>
    <w:rsid w:val="410B007B"/>
    <w:rsid w:val="410B02AA"/>
    <w:rsid w:val="410F68C9"/>
    <w:rsid w:val="41145D21"/>
    <w:rsid w:val="41190441"/>
    <w:rsid w:val="411C084F"/>
    <w:rsid w:val="412510B5"/>
    <w:rsid w:val="41365805"/>
    <w:rsid w:val="413E7EF1"/>
    <w:rsid w:val="41405083"/>
    <w:rsid w:val="41476DC0"/>
    <w:rsid w:val="414B70DC"/>
    <w:rsid w:val="414F09CB"/>
    <w:rsid w:val="414F3004"/>
    <w:rsid w:val="41546636"/>
    <w:rsid w:val="41625A67"/>
    <w:rsid w:val="416451CF"/>
    <w:rsid w:val="41674374"/>
    <w:rsid w:val="416A56C1"/>
    <w:rsid w:val="416F698A"/>
    <w:rsid w:val="417424E7"/>
    <w:rsid w:val="417E5BAB"/>
    <w:rsid w:val="41846BFA"/>
    <w:rsid w:val="41847666"/>
    <w:rsid w:val="418C02C8"/>
    <w:rsid w:val="41932C12"/>
    <w:rsid w:val="41986C6D"/>
    <w:rsid w:val="419F2345"/>
    <w:rsid w:val="419F6928"/>
    <w:rsid w:val="41A01FC6"/>
    <w:rsid w:val="41A37D9D"/>
    <w:rsid w:val="41A549F7"/>
    <w:rsid w:val="41A672DF"/>
    <w:rsid w:val="41A75102"/>
    <w:rsid w:val="41AC212B"/>
    <w:rsid w:val="41B15EE3"/>
    <w:rsid w:val="41BE61D9"/>
    <w:rsid w:val="41BF14EE"/>
    <w:rsid w:val="41C2018E"/>
    <w:rsid w:val="41C8080C"/>
    <w:rsid w:val="41CB4482"/>
    <w:rsid w:val="41CE2A27"/>
    <w:rsid w:val="41DC127E"/>
    <w:rsid w:val="41EB5545"/>
    <w:rsid w:val="41ED6A8C"/>
    <w:rsid w:val="41F044DE"/>
    <w:rsid w:val="41F07D05"/>
    <w:rsid w:val="41F53C1B"/>
    <w:rsid w:val="42092064"/>
    <w:rsid w:val="420A090C"/>
    <w:rsid w:val="42104F0E"/>
    <w:rsid w:val="421C0B46"/>
    <w:rsid w:val="42263205"/>
    <w:rsid w:val="422777C5"/>
    <w:rsid w:val="422C0F87"/>
    <w:rsid w:val="422F1CA7"/>
    <w:rsid w:val="423450B1"/>
    <w:rsid w:val="423C49C2"/>
    <w:rsid w:val="4242055A"/>
    <w:rsid w:val="42453354"/>
    <w:rsid w:val="424720E4"/>
    <w:rsid w:val="424827B8"/>
    <w:rsid w:val="42596603"/>
    <w:rsid w:val="425A50A6"/>
    <w:rsid w:val="425E6E13"/>
    <w:rsid w:val="425F791F"/>
    <w:rsid w:val="4266648C"/>
    <w:rsid w:val="426D6E45"/>
    <w:rsid w:val="427626D4"/>
    <w:rsid w:val="427E3767"/>
    <w:rsid w:val="429B4824"/>
    <w:rsid w:val="42A11B51"/>
    <w:rsid w:val="42AB05FD"/>
    <w:rsid w:val="42AC6666"/>
    <w:rsid w:val="42B15B0D"/>
    <w:rsid w:val="42B5639E"/>
    <w:rsid w:val="42B94DA3"/>
    <w:rsid w:val="42C50C0C"/>
    <w:rsid w:val="42C82CA2"/>
    <w:rsid w:val="42CD06B1"/>
    <w:rsid w:val="42CE1215"/>
    <w:rsid w:val="42CE4911"/>
    <w:rsid w:val="42D33CD5"/>
    <w:rsid w:val="42D71A17"/>
    <w:rsid w:val="42E61B9F"/>
    <w:rsid w:val="42FB3F9D"/>
    <w:rsid w:val="4303280C"/>
    <w:rsid w:val="4304272C"/>
    <w:rsid w:val="43091E17"/>
    <w:rsid w:val="430B5386"/>
    <w:rsid w:val="430D7256"/>
    <w:rsid w:val="43287A5C"/>
    <w:rsid w:val="432A6881"/>
    <w:rsid w:val="432E715D"/>
    <w:rsid w:val="432F1853"/>
    <w:rsid w:val="43317379"/>
    <w:rsid w:val="43326C4D"/>
    <w:rsid w:val="4333192F"/>
    <w:rsid w:val="4341050C"/>
    <w:rsid w:val="43430E5B"/>
    <w:rsid w:val="434449CF"/>
    <w:rsid w:val="43510730"/>
    <w:rsid w:val="4351121B"/>
    <w:rsid w:val="43593703"/>
    <w:rsid w:val="436415AB"/>
    <w:rsid w:val="436D1FFE"/>
    <w:rsid w:val="43770164"/>
    <w:rsid w:val="437C1849"/>
    <w:rsid w:val="4385733C"/>
    <w:rsid w:val="43892764"/>
    <w:rsid w:val="438C4E79"/>
    <w:rsid w:val="43907A1D"/>
    <w:rsid w:val="439C6B44"/>
    <w:rsid w:val="439E6811"/>
    <w:rsid w:val="43A23DD3"/>
    <w:rsid w:val="43A72857"/>
    <w:rsid w:val="43A74BA7"/>
    <w:rsid w:val="43AE0137"/>
    <w:rsid w:val="43BA216E"/>
    <w:rsid w:val="43BB433B"/>
    <w:rsid w:val="43C3724E"/>
    <w:rsid w:val="43C93F52"/>
    <w:rsid w:val="43CB774A"/>
    <w:rsid w:val="43CE3145"/>
    <w:rsid w:val="43D30FE3"/>
    <w:rsid w:val="43D530A6"/>
    <w:rsid w:val="43E67B45"/>
    <w:rsid w:val="43F14D5A"/>
    <w:rsid w:val="43F94A00"/>
    <w:rsid w:val="43FE5CC9"/>
    <w:rsid w:val="43FF55FF"/>
    <w:rsid w:val="44004F9E"/>
    <w:rsid w:val="44191BBB"/>
    <w:rsid w:val="441F6335"/>
    <w:rsid w:val="44432E32"/>
    <w:rsid w:val="444B148D"/>
    <w:rsid w:val="4453331F"/>
    <w:rsid w:val="44583081"/>
    <w:rsid w:val="445D3425"/>
    <w:rsid w:val="44654E01"/>
    <w:rsid w:val="4474390F"/>
    <w:rsid w:val="447A6DAC"/>
    <w:rsid w:val="44801C3A"/>
    <w:rsid w:val="44802B11"/>
    <w:rsid w:val="448102BB"/>
    <w:rsid w:val="449000D0"/>
    <w:rsid w:val="449A0B61"/>
    <w:rsid w:val="449A2CFC"/>
    <w:rsid w:val="449B651F"/>
    <w:rsid w:val="449D27EC"/>
    <w:rsid w:val="44A11DEC"/>
    <w:rsid w:val="44A477DB"/>
    <w:rsid w:val="44A71A4C"/>
    <w:rsid w:val="44AF2C06"/>
    <w:rsid w:val="44B778FD"/>
    <w:rsid w:val="44C35D29"/>
    <w:rsid w:val="44C9538F"/>
    <w:rsid w:val="44CD289F"/>
    <w:rsid w:val="44DF5C76"/>
    <w:rsid w:val="44E2019D"/>
    <w:rsid w:val="44E74A67"/>
    <w:rsid w:val="44EC1992"/>
    <w:rsid w:val="44EC7E33"/>
    <w:rsid w:val="44EE5C71"/>
    <w:rsid w:val="44F767CD"/>
    <w:rsid w:val="44FA4ACF"/>
    <w:rsid w:val="45053274"/>
    <w:rsid w:val="4506163C"/>
    <w:rsid w:val="450D716E"/>
    <w:rsid w:val="45121243"/>
    <w:rsid w:val="4517434D"/>
    <w:rsid w:val="451A1BFB"/>
    <w:rsid w:val="451D4AA0"/>
    <w:rsid w:val="45211DCE"/>
    <w:rsid w:val="45250E90"/>
    <w:rsid w:val="452A786A"/>
    <w:rsid w:val="452B7DF8"/>
    <w:rsid w:val="45317296"/>
    <w:rsid w:val="453467F9"/>
    <w:rsid w:val="45395DB9"/>
    <w:rsid w:val="453B011D"/>
    <w:rsid w:val="45415B3D"/>
    <w:rsid w:val="45450D43"/>
    <w:rsid w:val="45461A6F"/>
    <w:rsid w:val="454A666F"/>
    <w:rsid w:val="4554734F"/>
    <w:rsid w:val="45582F24"/>
    <w:rsid w:val="455A06DD"/>
    <w:rsid w:val="455C188E"/>
    <w:rsid w:val="455C7EDF"/>
    <w:rsid w:val="45696DCB"/>
    <w:rsid w:val="456B4699"/>
    <w:rsid w:val="456F6627"/>
    <w:rsid w:val="4583397D"/>
    <w:rsid w:val="45931AF9"/>
    <w:rsid w:val="459B7DF3"/>
    <w:rsid w:val="45AE758E"/>
    <w:rsid w:val="45B114F0"/>
    <w:rsid w:val="45B43B1D"/>
    <w:rsid w:val="45B93656"/>
    <w:rsid w:val="45B948D5"/>
    <w:rsid w:val="45C540AB"/>
    <w:rsid w:val="45C543A0"/>
    <w:rsid w:val="45D422E9"/>
    <w:rsid w:val="45E40161"/>
    <w:rsid w:val="45EF52CA"/>
    <w:rsid w:val="46036A19"/>
    <w:rsid w:val="46092D4D"/>
    <w:rsid w:val="460D5088"/>
    <w:rsid w:val="46162856"/>
    <w:rsid w:val="461A5584"/>
    <w:rsid w:val="461D1139"/>
    <w:rsid w:val="4621345D"/>
    <w:rsid w:val="4623420D"/>
    <w:rsid w:val="463158E2"/>
    <w:rsid w:val="46354DDD"/>
    <w:rsid w:val="46496BD8"/>
    <w:rsid w:val="464C1F29"/>
    <w:rsid w:val="46541C95"/>
    <w:rsid w:val="46562FE7"/>
    <w:rsid w:val="465C4B21"/>
    <w:rsid w:val="46682F3F"/>
    <w:rsid w:val="466A4131"/>
    <w:rsid w:val="466D1083"/>
    <w:rsid w:val="467474F9"/>
    <w:rsid w:val="46753A21"/>
    <w:rsid w:val="467557CF"/>
    <w:rsid w:val="46777167"/>
    <w:rsid w:val="467A0C1D"/>
    <w:rsid w:val="46883812"/>
    <w:rsid w:val="468F5BC2"/>
    <w:rsid w:val="46956EEE"/>
    <w:rsid w:val="46962BBF"/>
    <w:rsid w:val="46964A21"/>
    <w:rsid w:val="46994394"/>
    <w:rsid w:val="469D3C87"/>
    <w:rsid w:val="46A4243E"/>
    <w:rsid w:val="46A65BB6"/>
    <w:rsid w:val="46B00F72"/>
    <w:rsid w:val="46B06A8D"/>
    <w:rsid w:val="46B6215A"/>
    <w:rsid w:val="46B84F0F"/>
    <w:rsid w:val="46BA26BE"/>
    <w:rsid w:val="46BF4C9C"/>
    <w:rsid w:val="46C95B2A"/>
    <w:rsid w:val="46CB3635"/>
    <w:rsid w:val="46CD19B9"/>
    <w:rsid w:val="46EA5523"/>
    <w:rsid w:val="46F07F16"/>
    <w:rsid w:val="46F45AAF"/>
    <w:rsid w:val="46FA19EF"/>
    <w:rsid w:val="4704380F"/>
    <w:rsid w:val="47046B53"/>
    <w:rsid w:val="470623E7"/>
    <w:rsid w:val="4707159E"/>
    <w:rsid w:val="471E6C0E"/>
    <w:rsid w:val="47262F6D"/>
    <w:rsid w:val="472E4376"/>
    <w:rsid w:val="473B1CD0"/>
    <w:rsid w:val="474A2B3D"/>
    <w:rsid w:val="474A4476"/>
    <w:rsid w:val="47505712"/>
    <w:rsid w:val="47544663"/>
    <w:rsid w:val="475E1326"/>
    <w:rsid w:val="47606466"/>
    <w:rsid w:val="476C3570"/>
    <w:rsid w:val="47732E75"/>
    <w:rsid w:val="477C0DDF"/>
    <w:rsid w:val="477C2B8D"/>
    <w:rsid w:val="477F3360"/>
    <w:rsid w:val="47843B83"/>
    <w:rsid w:val="478652BF"/>
    <w:rsid w:val="478B610A"/>
    <w:rsid w:val="478F4065"/>
    <w:rsid w:val="47A65E5C"/>
    <w:rsid w:val="47AD0A49"/>
    <w:rsid w:val="47AF5782"/>
    <w:rsid w:val="47B04BCD"/>
    <w:rsid w:val="47B47E37"/>
    <w:rsid w:val="47B93F31"/>
    <w:rsid w:val="47C027DD"/>
    <w:rsid w:val="47C94FF5"/>
    <w:rsid w:val="47D05DC5"/>
    <w:rsid w:val="47D4478B"/>
    <w:rsid w:val="47D83B03"/>
    <w:rsid w:val="47DB5B06"/>
    <w:rsid w:val="47EA0CDD"/>
    <w:rsid w:val="47EC3E4F"/>
    <w:rsid w:val="47EF42D5"/>
    <w:rsid w:val="47F72214"/>
    <w:rsid w:val="48020772"/>
    <w:rsid w:val="48065C9A"/>
    <w:rsid w:val="480972FB"/>
    <w:rsid w:val="480B6EEF"/>
    <w:rsid w:val="48116915"/>
    <w:rsid w:val="48186B7D"/>
    <w:rsid w:val="48195371"/>
    <w:rsid w:val="4824160E"/>
    <w:rsid w:val="48264C12"/>
    <w:rsid w:val="483B3434"/>
    <w:rsid w:val="4841003D"/>
    <w:rsid w:val="484228B3"/>
    <w:rsid w:val="485728E3"/>
    <w:rsid w:val="48577BE8"/>
    <w:rsid w:val="485D29BF"/>
    <w:rsid w:val="485F2D99"/>
    <w:rsid w:val="4860600B"/>
    <w:rsid w:val="486D098A"/>
    <w:rsid w:val="487A1EBF"/>
    <w:rsid w:val="488368E7"/>
    <w:rsid w:val="489A7FFE"/>
    <w:rsid w:val="489E4E8E"/>
    <w:rsid w:val="48A16BAF"/>
    <w:rsid w:val="48A50DC9"/>
    <w:rsid w:val="48A61A23"/>
    <w:rsid w:val="48AB3A6B"/>
    <w:rsid w:val="48B044FA"/>
    <w:rsid w:val="48B14294"/>
    <w:rsid w:val="48B622E9"/>
    <w:rsid w:val="48B8389A"/>
    <w:rsid w:val="48B96164"/>
    <w:rsid w:val="48CB30CA"/>
    <w:rsid w:val="48CE11C6"/>
    <w:rsid w:val="48DF33D4"/>
    <w:rsid w:val="48E32882"/>
    <w:rsid w:val="48E84997"/>
    <w:rsid w:val="48EF4DC7"/>
    <w:rsid w:val="48F055E1"/>
    <w:rsid w:val="48F37D3A"/>
    <w:rsid w:val="48F55AA3"/>
    <w:rsid w:val="48F76772"/>
    <w:rsid w:val="48FF7C20"/>
    <w:rsid w:val="4904250E"/>
    <w:rsid w:val="49057129"/>
    <w:rsid w:val="490948F4"/>
    <w:rsid w:val="4910358D"/>
    <w:rsid w:val="49107715"/>
    <w:rsid w:val="49156DF5"/>
    <w:rsid w:val="492A5C7F"/>
    <w:rsid w:val="49333D25"/>
    <w:rsid w:val="49356B5E"/>
    <w:rsid w:val="493A3CB4"/>
    <w:rsid w:val="494B3ECE"/>
    <w:rsid w:val="49565814"/>
    <w:rsid w:val="495B3391"/>
    <w:rsid w:val="495D4AFD"/>
    <w:rsid w:val="495D6B2B"/>
    <w:rsid w:val="49622077"/>
    <w:rsid w:val="49647D7D"/>
    <w:rsid w:val="49790B4E"/>
    <w:rsid w:val="497E0E3E"/>
    <w:rsid w:val="49804BB7"/>
    <w:rsid w:val="498149F8"/>
    <w:rsid w:val="498975CF"/>
    <w:rsid w:val="498D0B7E"/>
    <w:rsid w:val="49913912"/>
    <w:rsid w:val="499272DA"/>
    <w:rsid w:val="499956AE"/>
    <w:rsid w:val="499C15A2"/>
    <w:rsid w:val="49A37048"/>
    <w:rsid w:val="49AE08AC"/>
    <w:rsid w:val="49B119E6"/>
    <w:rsid w:val="49B22896"/>
    <w:rsid w:val="49B54E1B"/>
    <w:rsid w:val="49D54521"/>
    <w:rsid w:val="49DD4F64"/>
    <w:rsid w:val="49E326D5"/>
    <w:rsid w:val="49E76BE5"/>
    <w:rsid w:val="49E97694"/>
    <w:rsid w:val="49EB5DA8"/>
    <w:rsid w:val="49EC2140"/>
    <w:rsid w:val="49EF5898"/>
    <w:rsid w:val="49F51BC7"/>
    <w:rsid w:val="49F641BE"/>
    <w:rsid w:val="49FA1359"/>
    <w:rsid w:val="49FC7FB5"/>
    <w:rsid w:val="49FE7635"/>
    <w:rsid w:val="4A036C84"/>
    <w:rsid w:val="4A0A4480"/>
    <w:rsid w:val="4A10395E"/>
    <w:rsid w:val="4A165975"/>
    <w:rsid w:val="4A1E7F2C"/>
    <w:rsid w:val="4A21495D"/>
    <w:rsid w:val="4A2A68D0"/>
    <w:rsid w:val="4A323399"/>
    <w:rsid w:val="4A344924"/>
    <w:rsid w:val="4A5120AF"/>
    <w:rsid w:val="4A664CEA"/>
    <w:rsid w:val="4A6A486C"/>
    <w:rsid w:val="4A6D0C58"/>
    <w:rsid w:val="4A6D4B20"/>
    <w:rsid w:val="4A6E31BC"/>
    <w:rsid w:val="4A75688F"/>
    <w:rsid w:val="4A7B62F5"/>
    <w:rsid w:val="4A822DBD"/>
    <w:rsid w:val="4A8834B6"/>
    <w:rsid w:val="4A891431"/>
    <w:rsid w:val="4A8C39EF"/>
    <w:rsid w:val="4A8E4C23"/>
    <w:rsid w:val="4A921A2B"/>
    <w:rsid w:val="4A9322D6"/>
    <w:rsid w:val="4A9E343E"/>
    <w:rsid w:val="4AA90971"/>
    <w:rsid w:val="4AAD3EC1"/>
    <w:rsid w:val="4AAF7960"/>
    <w:rsid w:val="4AB90D12"/>
    <w:rsid w:val="4ABB2762"/>
    <w:rsid w:val="4AC1207D"/>
    <w:rsid w:val="4AC17A6F"/>
    <w:rsid w:val="4AC26F00"/>
    <w:rsid w:val="4AC565F9"/>
    <w:rsid w:val="4AC72FDB"/>
    <w:rsid w:val="4ACC208B"/>
    <w:rsid w:val="4AD239F8"/>
    <w:rsid w:val="4AD71F08"/>
    <w:rsid w:val="4AD8632C"/>
    <w:rsid w:val="4ADC656F"/>
    <w:rsid w:val="4AE0737A"/>
    <w:rsid w:val="4AF537B0"/>
    <w:rsid w:val="4AFC5FF4"/>
    <w:rsid w:val="4B054C48"/>
    <w:rsid w:val="4B101408"/>
    <w:rsid w:val="4B1C7042"/>
    <w:rsid w:val="4B287BD1"/>
    <w:rsid w:val="4B2C11F8"/>
    <w:rsid w:val="4B32301F"/>
    <w:rsid w:val="4B350C67"/>
    <w:rsid w:val="4B36455E"/>
    <w:rsid w:val="4B3A44A1"/>
    <w:rsid w:val="4B4024A9"/>
    <w:rsid w:val="4B447EA5"/>
    <w:rsid w:val="4B5271DD"/>
    <w:rsid w:val="4B5856BF"/>
    <w:rsid w:val="4B644064"/>
    <w:rsid w:val="4B657F06"/>
    <w:rsid w:val="4B69167A"/>
    <w:rsid w:val="4B6C1D7F"/>
    <w:rsid w:val="4B6E4E17"/>
    <w:rsid w:val="4B742242"/>
    <w:rsid w:val="4B7B4D09"/>
    <w:rsid w:val="4B812120"/>
    <w:rsid w:val="4B8415B8"/>
    <w:rsid w:val="4B8B4947"/>
    <w:rsid w:val="4B93319E"/>
    <w:rsid w:val="4BA33C6C"/>
    <w:rsid w:val="4BAA68A0"/>
    <w:rsid w:val="4BB172DC"/>
    <w:rsid w:val="4BBF7B63"/>
    <w:rsid w:val="4BCA1457"/>
    <w:rsid w:val="4BD50557"/>
    <w:rsid w:val="4BD72CCF"/>
    <w:rsid w:val="4BD963F0"/>
    <w:rsid w:val="4BE26FF8"/>
    <w:rsid w:val="4BE6411B"/>
    <w:rsid w:val="4BEB7455"/>
    <w:rsid w:val="4BEE392E"/>
    <w:rsid w:val="4BF35D33"/>
    <w:rsid w:val="4BF45498"/>
    <w:rsid w:val="4BFC2309"/>
    <w:rsid w:val="4BFC705E"/>
    <w:rsid w:val="4BFF4426"/>
    <w:rsid w:val="4C033C53"/>
    <w:rsid w:val="4C057AD9"/>
    <w:rsid w:val="4C0D0881"/>
    <w:rsid w:val="4C0D7D31"/>
    <w:rsid w:val="4C2757BD"/>
    <w:rsid w:val="4C2758A5"/>
    <w:rsid w:val="4C313B96"/>
    <w:rsid w:val="4C364903"/>
    <w:rsid w:val="4C365C86"/>
    <w:rsid w:val="4C485F0B"/>
    <w:rsid w:val="4C560F29"/>
    <w:rsid w:val="4C5B7182"/>
    <w:rsid w:val="4C62232E"/>
    <w:rsid w:val="4C643416"/>
    <w:rsid w:val="4C695DF2"/>
    <w:rsid w:val="4C6A1FEE"/>
    <w:rsid w:val="4C726248"/>
    <w:rsid w:val="4C786019"/>
    <w:rsid w:val="4C810800"/>
    <w:rsid w:val="4C8147A2"/>
    <w:rsid w:val="4C8F3363"/>
    <w:rsid w:val="4C910E89"/>
    <w:rsid w:val="4C972D63"/>
    <w:rsid w:val="4CA2091B"/>
    <w:rsid w:val="4CA27A2B"/>
    <w:rsid w:val="4CA9637F"/>
    <w:rsid w:val="4CAD25F2"/>
    <w:rsid w:val="4CAE1A3B"/>
    <w:rsid w:val="4CB21D68"/>
    <w:rsid w:val="4CBA65F9"/>
    <w:rsid w:val="4CBB6977"/>
    <w:rsid w:val="4CBE0499"/>
    <w:rsid w:val="4CD471E8"/>
    <w:rsid w:val="4CD8017F"/>
    <w:rsid w:val="4CE7115F"/>
    <w:rsid w:val="4CE819AB"/>
    <w:rsid w:val="4CE9373A"/>
    <w:rsid w:val="4CE95658"/>
    <w:rsid w:val="4CEC2BD8"/>
    <w:rsid w:val="4CF256D4"/>
    <w:rsid w:val="4CF55099"/>
    <w:rsid w:val="4CF71D61"/>
    <w:rsid w:val="4CF74068"/>
    <w:rsid w:val="4CFA4C80"/>
    <w:rsid w:val="4D0013CE"/>
    <w:rsid w:val="4D090A5E"/>
    <w:rsid w:val="4D0B16EE"/>
    <w:rsid w:val="4D107456"/>
    <w:rsid w:val="4D152015"/>
    <w:rsid w:val="4D163647"/>
    <w:rsid w:val="4D1939E9"/>
    <w:rsid w:val="4D1A0E7E"/>
    <w:rsid w:val="4D1C5DA0"/>
    <w:rsid w:val="4D205082"/>
    <w:rsid w:val="4D232056"/>
    <w:rsid w:val="4D2962D4"/>
    <w:rsid w:val="4D2A1E9B"/>
    <w:rsid w:val="4D330192"/>
    <w:rsid w:val="4D3570AF"/>
    <w:rsid w:val="4D363618"/>
    <w:rsid w:val="4D3A038A"/>
    <w:rsid w:val="4D3C7DFB"/>
    <w:rsid w:val="4D423909"/>
    <w:rsid w:val="4D43729A"/>
    <w:rsid w:val="4D4730B6"/>
    <w:rsid w:val="4D50664E"/>
    <w:rsid w:val="4D523D1B"/>
    <w:rsid w:val="4D5319F2"/>
    <w:rsid w:val="4D590EB2"/>
    <w:rsid w:val="4D5A1418"/>
    <w:rsid w:val="4D5A53D3"/>
    <w:rsid w:val="4D5A7769"/>
    <w:rsid w:val="4D62461F"/>
    <w:rsid w:val="4D7508DD"/>
    <w:rsid w:val="4D762F81"/>
    <w:rsid w:val="4D77655B"/>
    <w:rsid w:val="4D785BA5"/>
    <w:rsid w:val="4D7C470A"/>
    <w:rsid w:val="4D807DF3"/>
    <w:rsid w:val="4D8409ED"/>
    <w:rsid w:val="4D8B0609"/>
    <w:rsid w:val="4D9804B0"/>
    <w:rsid w:val="4DA06E73"/>
    <w:rsid w:val="4DA604EA"/>
    <w:rsid w:val="4DC457BC"/>
    <w:rsid w:val="4DC967FE"/>
    <w:rsid w:val="4DD41E20"/>
    <w:rsid w:val="4DE37145"/>
    <w:rsid w:val="4DE82D2A"/>
    <w:rsid w:val="4DEE2645"/>
    <w:rsid w:val="4DEE61F4"/>
    <w:rsid w:val="4DF07E31"/>
    <w:rsid w:val="4DF2143A"/>
    <w:rsid w:val="4DFF4287"/>
    <w:rsid w:val="4E0131DE"/>
    <w:rsid w:val="4E037233"/>
    <w:rsid w:val="4E061402"/>
    <w:rsid w:val="4E0E76BB"/>
    <w:rsid w:val="4E150AEE"/>
    <w:rsid w:val="4E21448E"/>
    <w:rsid w:val="4E2219DB"/>
    <w:rsid w:val="4E2B31FF"/>
    <w:rsid w:val="4E2F0959"/>
    <w:rsid w:val="4E2F5A48"/>
    <w:rsid w:val="4E306D25"/>
    <w:rsid w:val="4E3F14FE"/>
    <w:rsid w:val="4E4C0C55"/>
    <w:rsid w:val="4E4C163B"/>
    <w:rsid w:val="4E597B2C"/>
    <w:rsid w:val="4E664822"/>
    <w:rsid w:val="4E690BCC"/>
    <w:rsid w:val="4E6A73BD"/>
    <w:rsid w:val="4E6D5C92"/>
    <w:rsid w:val="4E6D76D3"/>
    <w:rsid w:val="4E703BAC"/>
    <w:rsid w:val="4E731B76"/>
    <w:rsid w:val="4E731F9C"/>
    <w:rsid w:val="4E757711"/>
    <w:rsid w:val="4E766B95"/>
    <w:rsid w:val="4E79650A"/>
    <w:rsid w:val="4E7B4D90"/>
    <w:rsid w:val="4E7E11FB"/>
    <w:rsid w:val="4E825E9F"/>
    <w:rsid w:val="4E946A0E"/>
    <w:rsid w:val="4E946FFB"/>
    <w:rsid w:val="4E9E67A7"/>
    <w:rsid w:val="4E9E788D"/>
    <w:rsid w:val="4EAA4484"/>
    <w:rsid w:val="4EAA4772"/>
    <w:rsid w:val="4EAB3C0F"/>
    <w:rsid w:val="4EB47E90"/>
    <w:rsid w:val="4EBD79C8"/>
    <w:rsid w:val="4EC31FDF"/>
    <w:rsid w:val="4EC52525"/>
    <w:rsid w:val="4ECA141D"/>
    <w:rsid w:val="4ED0676B"/>
    <w:rsid w:val="4ED137BE"/>
    <w:rsid w:val="4ED13CE0"/>
    <w:rsid w:val="4ED20D23"/>
    <w:rsid w:val="4ED6167E"/>
    <w:rsid w:val="4EDB6250"/>
    <w:rsid w:val="4EE56B79"/>
    <w:rsid w:val="4EE76ACF"/>
    <w:rsid w:val="4EF10BCC"/>
    <w:rsid w:val="4EFA3CFF"/>
    <w:rsid w:val="4F021BCA"/>
    <w:rsid w:val="4F037BEC"/>
    <w:rsid w:val="4F0516BA"/>
    <w:rsid w:val="4F0A3C12"/>
    <w:rsid w:val="4F0E72C8"/>
    <w:rsid w:val="4F16559F"/>
    <w:rsid w:val="4F1B6BEF"/>
    <w:rsid w:val="4F2617A8"/>
    <w:rsid w:val="4F26273B"/>
    <w:rsid w:val="4F2953A8"/>
    <w:rsid w:val="4F311DD4"/>
    <w:rsid w:val="4F3A673E"/>
    <w:rsid w:val="4F3E7FC5"/>
    <w:rsid w:val="4F4046A8"/>
    <w:rsid w:val="4F4D096B"/>
    <w:rsid w:val="4F530F24"/>
    <w:rsid w:val="4F5C6D92"/>
    <w:rsid w:val="4F672375"/>
    <w:rsid w:val="4F6961A8"/>
    <w:rsid w:val="4F696902"/>
    <w:rsid w:val="4F6C34E7"/>
    <w:rsid w:val="4F6E2CA6"/>
    <w:rsid w:val="4F6F4652"/>
    <w:rsid w:val="4F713723"/>
    <w:rsid w:val="4F7477E3"/>
    <w:rsid w:val="4F794429"/>
    <w:rsid w:val="4F7A112E"/>
    <w:rsid w:val="4F7D319B"/>
    <w:rsid w:val="4F7E5DE6"/>
    <w:rsid w:val="4F8612AD"/>
    <w:rsid w:val="4F9117E2"/>
    <w:rsid w:val="4F9200D1"/>
    <w:rsid w:val="4F965E07"/>
    <w:rsid w:val="4F9E0929"/>
    <w:rsid w:val="4FA4748E"/>
    <w:rsid w:val="4FAD7773"/>
    <w:rsid w:val="4FB924A4"/>
    <w:rsid w:val="4FBA4253"/>
    <w:rsid w:val="4FBB5937"/>
    <w:rsid w:val="4FCC771C"/>
    <w:rsid w:val="4FE25926"/>
    <w:rsid w:val="4FE27538"/>
    <w:rsid w:val="4FEB6A50"/>
    <w:rsid w:val="4FF46AFF"/>
    <w:rsid w:val="500118E5"/>
    <w:rsid w:val="50033D91"/>
    <w:rsid w:val="500424AF"/>
    <w:rsid w:val="500F7206"/>
    <w:rsid w:val="50121E31"/>
    <w:rsid w:val="50210776"/>
    <w:rsid w:val="502214F8"/>
    <w:rsid w:val="502A4A05"/>
    <w:rsid w:val="50336385"/>
    <w:rsid w:val="504601C8"/>
    <w:rsid w:val="504644C8"/>
    <w:rsid w:val="50492324"/>
    <w:rsid w:val="504A0F29"/>
    <w:rsid w:val="50524A0C"/>
    <w:rsid w:val="50594A25"/>
    <w:rsid w:val="505B4777"/>
    <w:rsid w:val="505C67BF"/>
    <w:rsid w:val="506B7598"/>
    <w:rsid w:val="50764C75"/>
    <w:rsid w:val="5077462C"/>
    <w:rsid w:val="508133A5"/>
    <w:rsid w:val="5085501D"/>
    <w:rsid w:val="50863838"/>
    <w:rsid w:val="50884351"/>
    <w:rsid w:val="508C3B02"/>
    <w:rsid w:val="50952892"/>
    <w:rsid w:val="509A5FF6"/>
    <w:rsid w:val="50A45B28"/>
    <w:rsid w:val="50A612C4"/>
    <w:rsid w:val="50BE7150"/>
    <w:rsid w:val="50C75092"/>
    <w:rsid w:val="50C75CD0"/>
    <w:rsid w:val="50C83748"/>
    <w:rsid w:val="50CA5DF8"/>
    <w:rsid w:val="50D61560"/>
    <w:rsid w:val="50DA4865"/>
    <w:rsid w:val="50DC150F"/>
    <w:rsid w:val="50E035E8"/>
    <w:rsid w:val="50E05CDE"/>
    <w:rsid w:val="50EB4717"/>
    <w:rsid w:val="50EC48E0"/>
    <w:rsid w:val="50F54CD2"/>
    <w:rsid w:val="51091485"/>
    <w:rsid w:val="510E62E6"/>
    <w:rsid w:val="511E4CB5"/>
    <w:rsid w:val="512027DB"/>
    <w:rsid w:val="51214627"/>
    <w:rsid w:val="51214BC6"/>
    <w:rsid w:val="51241BBF"/>
    <w:rsid w:val="51330760"/>
    <w:rsid w:val="51381B57"/>
    <w:rsid w:val="51394181"/>
    <w:rsid w:val="51497F84"/>
    <w:rsid w:val="514F52AB"/>
    <w:rsid w:val="515110B9"/>
    <w:rsid w:val="5154628D"/>
    <w:rsid w:val="515A0ADF"/>
    <w:rsid w:val="51676E63"/>
    <w:rsid w:val="516B29EC"/>
    <w:rsid w:val="51711289"/>
    <w:rsid w:val="5171780C"/>
    <w:rsid w:val="517A7F1F"/>
    <w:rsid w:val="518A4D49"/>
    <w:rsid w:val="518F170F"/>
    <w:rsid w:val="51961E5E"/>
    <w:rsid w:val="519752B8"/>
    <w:rsid w:val="5199689F"/>
    <w:rsid w:val="519C4AC7"/>
    <w:rsid w:val="519E7869"/>
    <w:rsid w:val="51A75713"/>
    <w:rsid w:val="51B65CE0"/>
    <w:rsid w:val="51C02AAF"/>
    <w:rsid w:val="51C143CA"/>
    <w:rsid w:val="51C9270A"/>
    <w:rsid w:val="51D00244"/>
    <w:rsid w:val="51D02585"/>
    <w:rsid w:val="51D07A5F"/>
    <w:rsid w:val="51D13AD5"/>
    <w:rsid w:val="51D61F9B"/>
    <w:rsid w:val="51DB6702"/>
    <w:rsid w:val="51E22EEC"/>
    <w:rsid w:val="51E31661"/>
    <w:rsid w:val="51E674EF"/>
    <w:rsid w:val="51FB3AE7"/>
    <w:rsid w:val="51FC0D1B"/>
    <w:rsid w:val="51FC73D8"/>
    <w:rsid w:val="51FD31F5"/>
    <w:rsid w:val="52163BF4"/>
    <w:rsid w:val="521A6E8D"/>
    <w:rsid w:val="521B742C"/>
    <w:rsid w:val="523519CA"/>
    <w:rsid w:val="52397FF8"/>
    <w:rsid w:val="524F19E2"/>
    <w:rsid w:val="52513FD5"/>
    <w:rsid w:val="52546AE6"/>
    <w:rsid w:val="525936D6"/>
    <w:rsid w:val="525B7AEE"/>
    <w:rsid w:val="525C3CE7"/>
    <w:rsid w:val="525E7A5F"/>
    <w:rsid w:val="52727C82"/>
    <w:rsid w:val="52753ADA"/>
    <w:rsid w:val="52925928"/>
    <w:rsid w:val="5296411C"/>
    <w:rsid w:val="529E50A0"/>
    <w:rsid w:val="529F2E93"/>
    <w:rsid w:val="52A03021"/>
    <w:rsid w:val="52B21B59"/>
    <w:rsid w:val="52B633F7"/>
    <w:rsid w:val="52C42DCF"/>
    <w:rsid w:val="52C84D8D"/>
    <w:rsid w:val="52C84ED8"/>
    <w:rsid w:val="52C96071"/>
    <w:rsid w:val="52CB49C9"/>
    <w:rsid w:val="52CD1E17"/>
    <w:rsid w:val="52D015BB"/>
    <w:rsid w:val="52D83277"/>
    <w:rsid w:val="52E141EC"/>
    <w:rsid w:val="52EA0F39"/>
    <w:rsid w:val="52EB0E4A"/>
    <w:rsid w:val="52EC506B"/>
    <w:rsid w:val="52EE37EC"/>
    <w:rsid w:val="52F450EC"/>
    <w:rsid w:val="52F45A37"/>
    <w:rsid w:val="52F64929"/>
    <w:rsid w:val="52F67920"/>
    <w:rsid w:val="52F757BE"/>
    <w:rsid w:val="52FC2738"/>
    <w:rsid w:val="53014F06"/>
    <w:rsid w:val="530D2AC6"/>
    <w:rsid w:val="530E67BD"/>
    <w:rsid w:val="53100DC0"/>
    <w:rsid w:val="531A2D27"/>
    <w:rsid w:val="53202F66"/>
    <w:rsid w:val="532365B3"/>
    <w:rsid w:val="53285977"/>
    <w:rsid w:val="532E3ABA"/>
    <w:rsid w:val="5343440D"/>
    <w:rsid w:val="53445FA0"/>
    <w:rsid w:val="53491815"/>
    <w:rsid w:val="53503A8E"/>
    <w:rsid w:val="53564E0C"/>
    <w:rsid w:val="535673AF"/>
    <w:rsid w:val="535B76D0"/>
    <w:rsid w:val="535C6F28"/>
    <w:rsid w:val="535F3238"/>
    <w:rsid w:val="53670B95"/>
    <w:rsid w:val="536714D0"/>
    <w:rsid w:val="536E5A80"/>
    <w:rsid w:val="536E5D6F"/>
    <w:rsid w:val="536F1BBE"/>
    <w:rsid w:val="53884E28"/>
    <w:rsid w:val="53885B9F"/>
    <w:rsid w:val="538C4158"/>
    <w:rsid w:val="539A6318"/>
    <w:rsid w:val="539B439B"/>
    <w:rsid w:val="539F18F5"/>
    <w:rsid w:val="53A91BCF"/>
    <w:rsid w:val="53AA2BAA"/>
    <w:rsid w:val="53AE3045"/>
    <w:rsid w:val="53B16840"/>
    <w:rsid w:val="53B17942"/>
    <w:rsid w:val="53B813F1"/>
    <w:rsid w:val="53B922A7"/>
    <w:rsid w:val="53BF452D"/>
    <w:rsid w:val="53C716E0"/>
    <w:rsid w:val="53CC75A1"/>
    <w:rsid w:val="53CE36A3"/>
    <w:rsid w:val="53CF73FA"/>
    <w:rsid w:val="53D0673A"/>
    <w:rsid w:val="53D32E25"/>
    <w:rsid w:val="53E144A4"/>
    <w:rsid w:val="53E21FCA"/>
    <w:rsid w:val="53FE17B4"/>
    <w:rsid w:val="54060BA8"/>
    <w:rsid w:val="54077C82"/>
    <w:rsid w:val="540A64AC"/>
    <w:rsid w:val="54114357"/>
    <w:rsid w:val="54115DCB"/>
    <w:rsid w:val="54117BA5"/>
    <w:rsid w:val="541506BD"/>
    <w:rsid w:val="542E0E8A"/>
    <w:rsid w:val="543B1CC2"/>
    <w:rsid w:val="543D2AA0"/>
    <w:rsid w:val="54540B8D"/>
    <w:rsid w:val="54635F5F"/>
    <w:rsid w:val="546E72BD"/>
    <w:rsid w:val="547320A6"/>
    <w:rsid w:val="54756393"/>
    <w:rsid w:val="5477553B"/>
    <w:rsid w:val="547D3F8F"/>
    <w:rsid w:val="547F4959"/>
    <w:rsid w:val="54800ED2"/>
    <w:rsid w:val="5480428D"/>
    <w:rsid w:val="54887C26"/>
    <w:rsid w:val="54893697"/>
    <w:rsid w:val="548A2862"/>
    <w:rsid w:val="548A419D"/>
    <w:rsid w:val="548C7C59"/>
    <w:rsid w:val="54932444"/>
    <w:rsid w:val="549650BB"/>
    <w:rsid w:val="54A25233"/>
    <w:rsid w:val="54AA3F3C"/>
    <w:rsid w:val="54AC5365"/>
    <w:rsid w:val="54BD4F23"/>
    <w:rsid w:val="54CF07B4"/>
    <w:rsid w:val="54D001EC"/>
    <w:rsid w:val="54D27CF2"/>
    <w:rsid w:val="54DE6EF3"/>
    <w:rsid w:val="54E038A3"/>
    <w:rsid w:val="54E37F8F"/>
    <w:rsid w:val="54E77F8C"/>
    <w:rsid w:val="54E8134D"/>
    <w:rsid w:val="54E87AB4"/>
    <w:rsid w:val="54EB1C1C"/>
    <w:rsid w:val="54EE1E58"/>
    <w:rsid w:val="54EF4C3C"/>
    <w:rsid w:val="54FB7A4D"/>
    <w:rsid w:val="54FC0298"/>
    <w:rsid w:val="54FC530D"/>
    <w:rsid w:val="54FF5508"/>
    <w:rsid w:val="550F145A"/>
    <w:rsid w:val="55105F8F"/>
    <w:rsid w:val="55106DDC"/>
    <w:rsid w:val="55144405"/>
    <w:rsid w:val="55151DA9"/>
    <w:rsid w:val="55165A22"/>
    <w:rsid w:val="5517037F"/>
    <w:rsid w:val="552F3100"/>
    <w:rsid w:val="55314FB7"/>
    <w:rsid w:val="5538727A"/>
    <w:rsid w:val="553A07D9"/>
    <w:rsid w:val="55436758"/>
    <w:rsid w:val="55440C27"/>
    <w:rsid w:val="555052BF"/>
    <w:rsid w:val="555702A0"/>
    <w:rsid w:val="555E2B70"/>
    <w:rsid w:val="555E38D2"/>
    <w:rsid w:val="55653867"/>
    <w:rsid w:val="556D1D67"/>
    <w:rsid w:val="557100CF"/>
    <w:rsid w:val="55767EF4"/>
    <w:rsid w:val="557D6E58"/>
    <w:rsid w:val="55824BBF"/>
    <w:rsid w:val="55885090"/>
    <w:rsid w:val="558A7C74"/>
    <w:rsid w:val="55A74F16"/>
    <w:rsid w:val="55AB6D97"/>
    <w:rsid w:val="55AD69EF"/>
    <w:rsid w:val="55B55D4B"/>
    <w:rsid w:val="55BC5D61"/>
    <w:rsid w:val="55C8265F"/>
    <w:rsid w:val="55CE5FAF"/>
    <w:rsid w:val="55CE64B3"/>
    <w:rsid w:val="55D726DF"/>
    <w:rsid w:val="55E02FCD"/>
    <w:rsid w:val="55E42029"/>
    <w:rsid w:val="55E922DF"/>
    <w:rsid w:val="55F17AE8"/>
    <w:rsid w:val="55F20171"/>
    <w:rsid w:val="55F74457"/>
    <w:rsid w:val="55FD3462"/>
    <w:rsid w:val="56056DC2"/>
    <w:rsid w:val="560D08D7"/>
    <w:rsid w:val="56105181"/>
    <w:rsid w:val="5611108F"/>
    <w:rsid w:val="56132D5D"/>
    <w:rsid w:val="561F7CE6"/>
    <w:rsid w:val="56223A26"/>
    <w:rsid w:val="56252250"/>
    <w:rsid w:val="5626090A"/>
    <w:rsid w:val="563E5430"/>
    <w:rsid w:val="56447969"/>
    <w:rsid w:val="564628B0"/>
    <w:rsid w:val="564B5C34"/>
    <w:rsid w:val="564C65FC"/>
    <w:rsid w:val="564D18F7"/>
    <w:rsid w:val="5651167C"/>
    <w:rsid w:val="56521689"/>
    <w:rsid w:val="5657274B"/>
    <w:rsid w:val="56585ADB"/>
    <w:rsid w:val="56590428"/>
    <w:rsid w:val="56644948"/>
    <w:rsid w:val="566B44F9"/>
    <w:rsid w:val="56717635"/>
    <w:rsid w:val="567C4300"/>
    <w:rsid w:val="567C4958"/>
    <w:rsid w:val="56806270"/>
    <w:rsid w:val="56811F6E"/>
    <w:rsid w:val="56832E46"/>
    <w:rsid w:val="56991D34"/>
    <w:rsid w:val="56AD075A"/>
    <w:rsid w:val="56B62D7D"/>
    <w:rsid w:val="56B93C5A"/>
    <w:rsid w:val="56BC6CDA"/>
    <w:rsid w:val="56CA08FE"/>
    <w:rsid w:val="56CA0C2E"/>
    <w:rsid w:val="56CA4DD5"/>
    <w:rsid w:val="56D26326"/>
    <w:rsid w:val="56D6198C"/>
    <w:rsid w:val="56DF1950"/>
    <w:rsid w:val="56E36785"/>
    <w:rsid w:val="56F3629C"/>
    <w:rsid w:val="56F56008"/>
    <w:rsid w:val="56F929DE"/>
    <w:rsid w:val="56FB41EF"/>
    <w:rsid w:val="56FD31C5"/>
    <w:rsid w:val="570760A7"/>
    <w:rsid w:val="570B74C8"/>
    <w:rsid w:val="5719372E"/>
    <w:rsid w:val="571F7091"/>
    <w:rsid w:val="57282108"/>
    <w:rsid w:val="572A7373"/>
    <w:rsid w:val="572C012C"/>
    <w:rsid w:val="572C7C4E"/>
    <w:rsid w:val="5735569F"/>
    <w:rsid w:val="57467440"/>
    <w:rsid w:val="574B4AD6"/>
    <w:rsid w:val="57580860"/>
    <w:rsid w:val="57745CE4"/>
    <w:rsid w:val="577531D3"/>
    <w:rsid w:val="57786727"/>
    <w:rsid w:val="5784790D"/>
    <w:rsid w:val="57877A33"/>
    <w:rsid w:val="578810DA"/>
    <w:rsid w:val="57882E88"/>
    <w:rsid w:val="57966A1B"/>
    <w:rsid w:val="57995095"/>
    <w:rsid w:val="579A0A8A"/>
    <w:rsid w:val="579D07EF"/>
    <w:rsid w:val="57A00FCD"/>
    <w:rsid w:val="57AF30A6"/>
    <w:rsid w:val="57B323AE"/>
    <w:rsid w:val="57B42714"/>
    <w:rsid w:val="57BD782D"/>
    <w:rsid w:val="57C54A33"/>
    <w:rsid w:val="57CC0FC7"/>
    <w:rsid w:val="57CC7219"/>
    <w:rsid w:val="57D47AAD"/>
    <w:rsid w:val="57DD2CB5"/>
    <w:rsid w:val="57DD4AA7"/>
    <w:rsid w:val="57DE195D"/>
    <w:rsid w:val="57E43AC3"/>
    <w:rsid w:val="57E8219B"/>
    <w:rsid w:val="57F44ADD"/>
    <w:rsid w:val="581B0677"/>
    <w:rsid w:val="581D67F2"/>
    <w:rsid w:val="58223CA7"/>
    <w:rsid w:val="5825174F"/>
    <w:rsid w:val="58260902"/>
    <w:rsid w:val="582D6EF5"/>
    <w:rsid w:val="58330CB6"/>
    <w:rsid w:val="583640C9"/>
    <w:rsid w:val="58380C00"/>
    <w:rsid w:val="58515ECE"/>
    <w:rsid w:val="58610430"/>
    <w:rsid w:val="58626885"/>
    <w:rsid w:val="58752463"/>
    <w:rsid w:val="587B479B"/>
    <w:rsid w:val="588B70D4"/>
    <w:rsid w:val="588C0840"/>
    <w:rsid w:val="589917F1"/>
    <w:rsid w:val="58A03C3F"/>
    <w:rsid w:val="58A8710A"/>
    <w:rsid w:val="58C10401"/>
    <w:rsid w:val="58C8481A"/>
    <w:rsid w:val="58D36385"/>
    <w:rsid w:val="58D52977"/>
    <w:rsid w:val="58E91B85"/>
    <w:rsid w:val="58EF066F"/>
    <w:rsid w:val="58EF241C"/>
    <w:rsid w:val="58F86141"/>
    <w:rsid w:val="58F8734A"/>
    <w:rsid w:val="58FB3FB6"/>
    <w:rsid w:val="5917195A"/>
    <w:rsid w:val="59197031"/>
    <w:rsid w:val="5927664D"/>
    <w:rsid w:val="592A6E84"/>
    <w:rsid w:val="592C4A26"/>
    <w:rsid w:val="592D32C0"/>
    <w:rsid w:val="59325884"/>
    <w:rsid w:val="593C7004"/>
    <w:rsid w:val="593D5C63"/>
    <w:rsid w:val="594F1EAF"/>
    <w:rsid w:val="595266AA"/>
    <w:rsid w:val="5957036F"/>
    <w:rsid w:val="59577C07"/>
    <w:rsid w:val="595A78BA"/>
    <w:rsid w:val="59620869"/>
    <w:rsid w:val="596C5104"/>
    <w:rsid w:val="59756037"/>
    <w:rsid w:val="597B39BC"/>
    <w:rsid w:val="59815A1B"/>
    <w:rsid w:val="598B651F"/>
    <w:rsid w:val="59926946"/>
    <w:rsid w:val="59975605"/>
    <w:rsid w:val="59993A8B"/>
    <w:rsid w:val="599969E3"/>
    <w:rsid w:val="599C0305"/>
    <w:rsid w:val="59A25B18"/>
    <w:rsid w:val="59A47791"/>
    <w:rsid w:val="59A54B1A"/>
    <w:rsid w:val="59A966D8"/>
    <w:rsid w:val="59AB529B"/>
    <w:rsid w:val="59DD74BB"/>
    <w:rsid w:val="59E661DE"/>
    <w:rsid w:val="59ED742A"/>
    <w:rsid w:val="59EE6571"/>
    <w:rsid w:val="59F14D15"/>
    <w:rsid w:val="59F22B2A"/>
    <w:rsid w:val="59F47B46"/>
    <w:rsid w:val="59F94B26"/>
    <w:rsid w:val="5A056A16"/>
    <w:rsid w:val="5A096502"/>
    <w:rsid w:val="5A124DC3"/>
    <w:rsid w:val="5A142793"/>
    <w:rsid w:val="5A1A1AF5"/>
    <w:rsid w:val="5A1D3D5C"/>
    <w:rsid w:val="5A1F1897"/>
    <w:rsid w:val="5A2250BB"/>
    <w:rsid w:val="5A2968D2"/>
    <w:rsid w:val="5A2B02AE"/>
    <w:rsid w:val="5A2C4B72"/>
    <w:rsid w:val="5A2C6F6B"/>
    <w:rsid w:val="5A2F66CA"/>
    <w:rsid w:val="5A3A5DE0"/>
    <w:rsid w:val="5A413669"/>
    <w:rsid w:val="5A4B5B16"/>
    <w:rsid w:val="5A5B11BC"/>
    <w:rsid w:val="5A5F5124"/>
    <w:rsid w:val="5A625C12"/>
    <w:rsid w:val="5A662DC6"/>
    <w:rsid w:val="5A6B2D19"/>
    <w:rsid w:val="5A6C4CE3"/>
    <w:rsid w:val="5A772091"/>
    <w:rsid w:val="5A7B4B64"/>
    <w:rsid w:val="5A7C4F26"/>
    <w:rsid w:val="5A8B67FA"/>
    <w:rsid w:val="5A8F02AB"/>
    <w:rsid w:val="5A904EEC"/>
    <w:rsid w:val="5A9D3B79"/>
    <w:rsid w:val="5AA533E1"/>
    <w:rsid w:val="5AA61FA3"/>
    <w:rsid w:val="5AB175A8"/>
    <w:rsid w:val="5AB87F28"/>
    <w:rsid w:val="5ABC3D4C"/>
    <w:rsid w:val="5AC40944"/>
    <w:rsid w:val="5AC61952"/>
    <w:rsid w:val="5AC76BD1"/>
    <w:rsid w:val="5AD438C9"/>
    <w:rsid w:val="5AD47A88"/>
    <w:rsid w:val="5ADC3C17"/>
    <w:rsid w:val="5ADF4D93"/>
    <w:rsid w:val="5AF71C2F"/>
    <w:rsid w:val="5AFF47E0"/>
    <w:rsid w:val="5B022F52"/>
    <w:rsid w:val="5B04529F"/>
    <w:rsid w:val="5B0464F6"/>
    <w:rsid w:val="5B111B24"/>
    <w:rsid w:val="5B1643BD"/>
    <w:rsid w:val="5B1664FF"/>
    <w:rsid w:val="5B18590C"/>
    <w:rsid w:val="5B1F1D55"/>
    <w:rsid w:val="5B1F6E28"/>
    <w:rsid w:val="5B2306A1"/>
    <w:rsid w:val="5B3426E3"/>
    <w:rsid w:val="5B39110F"/>
    <w:rsid w:val="5B3E03D0"/>
    <w:rsid w:val="5B4314C1"/>
    <w:rsid w:val="5B440DEB"/>
    <w:rsid w:val="5B4B5296"/>
    <w:rsid w:val="5B4D68C3"/>
    <w:rsid w:val="5B566C6B"/>
    <w:rsid w:val="5B5852B1"/>
    <w:rsid w:val="5B5B59D2"/>
    <w:rsid w:val="5B644304"/>
    <w:rsid w:val="5B656DB9"/>
    <w:rsid w:val="5B6634E0"/>
    <w:rsid w:val="5B727079"/>
    <w:rsid w:val="5B77749C"/>
    <w:rsid w:val="5B7C151D"/>
    <w:rsid w:val="5B814E97"/>
    <w:rsid w:val="5B8179DF"/>
    <w:rsid w:val="5B8C6574"/>
    <w:rsid w:val="5B9444F1"/>
    <w:rsid w:val="5B99375F"/>
    <w:rsid w:val="5BA02888"/>
    <w:rsid w:val="5BA30291"/>
    <w:rsid w:val="5BA539A4"/>
    <w:rsid w:val="5BA97484"/>
    <w:rsid w:val="5BAC05DB"/>
    <w:rsid w:val="5BB260CD"/>
    <w:rsid w:val="5BB60396"/>
    <w:rsid w:val="5BB924D1"/>
    <w:rsid w:val="5BB93137"/>
    <w:rsid w:val="5BBB795E"/>
    <w:rsid w:val="5BC02211"/>
    <w:rsid w:val="5BC867DA"/>
    <w:rsid w:val="5BD306B2"/>
    <w:rsid w:val="5BD6641E"/>
    <w:rsid w:val="5BD92555"/>
    <w:rsid w:val="5BDC0BF9"/>
    <w:rsid w:val="5BE7022C"/>
    <w:rsid w:val="5BEB67A2"/>
    <w:rsid w:val="5BED79A1"/>
    <w:rsid w:val="5BF154A0"/>
    <w:rsid w:val="5BF83752"/>
    <w:rsid w:val="5BFD3690"/>
    <w:rsid w:val="5C043425"/>
    <w:rsid w:val="5C0455EB"/>
    <w:rsid w:val="5C0D0A0B"/>
    <w:rsid w:val="5C116F90"/>
    <w:rsid w:val="5C187395"/>
    <w:rsid w:val="5C1F457F"/>
    <w:rsid w:val="5C1F71C3"/>
    <w:rsid w:val="5C21669E"/>
    <w:rsid w:val="5C221009"/>
    <w:rsid w:val="5C273E95"/>
    <w:rsid w:val="5C2C3D16"/>
    <w:rsid w:val="5C3564CD"/>
    <w:rsid w:val="5C390880"/>
    <w:rsid w:val="5C3A2000"/>
    <w:rsid w:val="5C3B2B5A"/>
    <w:rsid w:val="5C4326A8"/>
    <w:rsid w:val="5C486824"/>
    <w:rsid w:val="5C4A4696"/>
    <w:rsid w:val="5C527136"/>
    <w:rsid w:val="5C55290E"/>
    <w:rsid w:val="5C6066E7"/>
    <w:rsid w:val="5C607496"/>
    <w:rsid w:val="5C695132"/>
    <w:rsid w:val="5C702869"/>
    <w:rsid w:val="5C705439"/>
    <w:rsid w:val="5C725605"/>
    <w:rsid w:val="5C7D4F86"/>
    <w:rsid w:val="5C7E6B90"/>
    <w:rsid w:val="5C837234"/>
    <w:rsid w:val="5C8A7106"/>
    <w:rsid w:val="5C8C6A67"/>
    <w:rsid w:val="5C98591B"/>
    <w:rsid w:val="5C9C2FE0"/>
    <w:rsid w:val="5C9D6C77"/>
    <w:rsid w:val="5CA07FEC"/>
    <w:rsid w:val="5CA72002"/>
    <w:rsid w:val="5CA8725E"/>
    <w:rsid w:val="5CA87D85"/>
    <w:rsid w:val="5CB55498"/>
    <w:rsid w:val="5CB75ACF"/>
    <w:rsid w:val="5CB859C3"/>
    <w:rsid w:val="5CBC1ACB"/>
    <w:rsid w:val="5CBF662B"/>
    <w:rsid w:val="5CC75C2E"/>
    <w:rsid w:val="5CD97770"/>
    <w:rsid w:val="5CE062F6"/>
    <w:rsid w:val="5CE456C7"/>
    <w:rsid w:val="5CF57B7A"/>
    <w:rsid w:val="5CF76365"/>
    <w:rsid w:val="5CFC0C70"/>
    <w:rsid w:val="5CFF2DEB"/>
    <w:rsid w:val="5D0106E1"/>
    <w:rsid w:val="5D085A3B"/>
    <w:rsid w:val="5D0C03C6"/>
    <w:rsid w:val="5D172CE4"/>
    <w:rsid w:val="5D181626"/>
    <w:rsid w:val="5D2578B2"/>
    <w:rsid w:val="5D3227A9"/>
    <w:rsid w:val="5D363391"/>
    <w:rsid w:val="5D3A16A0"/>
    <w:rsid w:val="5D4437CE"/>
    <w:rsid w:val="5D461F3B"/>
    <w:rsid w:val="5D47358D"/>
    <w:rsid w:val="5D4B5084"/>
    <w:rsid w:val="5D4C631D"/>
    <w:rsid w:val="5D4E4FD8"/>
    <w:rsid w:val="5D571C86"/>
    <w:rsid w:val="5D6155D0"/>
    <w:rsid w:val="5D657592"/>
    <w:rsid w:val="5D6B400E"/>
    <w:rsid w:val="5D6C28C0"/>
    <w:rsid w:val="5D6F2B20"/>
    <w:rsid w:val="5D732404"/>
    <w:rsid w:val="5D765225"/>
    <w:rsid w:val="5D7A2D24"/>
    <w:rsid w:val="5D7B45D6"/>
    <w:rsid w:val="5D7C6494"/>
    <w:rsid w:val="5D7C705D"/>
    <w:rsid w:val="5D822331"/>
    <w:rsid w:val="5D8A795A"/>
    <w:rsid w:val="5D8C641B"/>
    <w:rsid w:val="5D930873"/>
    <w:rsid w:val="5D9E3405"/>
    <w:rsid w:val="5DA06132"/>
    <w:rsid w:val="5DA12D14"/>
    <w:rsid w:val="5DAA3F05"/>
    <w:rsid w:val="5DAF73C1"/>
    <w:rsid w:val="5DB07422"/>
    <w:rsid w:val="5DB86E3B"/>
    <w:rsid w:val="5DB90848"/>
    <w:rsid w:val="5DB92E24"/>
    <w:rsid w:val="5DBF41B0"/>
    <w:rsid w:val="5DC31A8F"/>
    <w:rsid w:val="5DC501D0"/>
    <w:rsid w:val="5DC6635B"/>
    <w:rsid w:val="5DD5494D"/>
    <w:rsid w:val="5DE80B25"/>
    <w:rsid w:val="5DEA21A7"/>
    <w:rsid w:val="5DF474C9"/>
    <w:rsid w:val="5E000678"/>
    <w:rsid w:val="5E091E32"/>
    <w:rsid w:val="5E0B5141"/>
    <w:rsid w:val="5E214DA5"/>
    <w:rsid w:val="5E2B4A9C"/>
    <w:rsid w:val="5E323A88"/>
    <w:rsid w:val="5E3878F5"/>
    <w:rsid w:val="5E3A4F04"/>
    <w:rsid w:val="5E4341FC"/>
    <w:rsid w:val="5E434B99"/>
    <w:rsid w:val="5E5C33FB"/>
    <w:rsid w:val="5E6324D6"/>
    <w:rsid w:val="5E6F2EE1"/>
    <w:rsid w:val="5E722187"/>
    <w:rsid w:val="5E7B1996"/>
    <w:rsid w:val="5E7F5DAD"/>
    <w:rsid w:val="5E803AC1"/>
    <w:rsid w:val="5E8376BA"/>
    <w:rsid w:val="5E84204E"/>
    <w:rsid w:val="5E8C68FD"/>
    <w:rsid w:val="5E8F0FA0"/>
    <w:rsid w:val="5E9071F2"/>
    <w:rsid w:val="5E9B5290"/>
    <w:rsid w:val="5EA341B0"/>
    <w:rsid w:val="5EA42C9D"/>
    <w:rsid w:val="5EAB0203"/>
    <w:rsid w:val="5EAF016E"/>
    <w:rsid w:val="5EB05B4F"/>
    <w:rsid w:val="5EC02497"/>
    <w:rsid w:val="5EC7310C"/>
    <w:rsid w:val="5ECB5D85"/>
    <w:rsid w:val="5ED115B9"/>
    <w:rsid w:val="5EDB13A8"/>
    <w:rsid w:val="5EDF4C27"/>
    <w:rsid w:val="5EE17D40"/>
    <w:rsid w:val="5EE94B54"/>
    <w:rsid w:val="5EEC4B47"/>
    <w:rsid w:val="5EEF6BCD"/>
    <w:rsid w:val="5EF53D84"/>
    <w:rsid w:val="5EFA466C"/>
    <w:rsid w:val="5F0011E4"/>
    <w:rsid w:val="5F02667A"/>
    <w:rsid w:val="5F0C2407"/>
    <w:rsid w:val="5F2E3428"/>
    <w:rsid w:val="5F34515E"/>
    <w:rsid w:val="5F371105"/>
    <w:rsid w:val="5F3B61B3"/>
    <w:rsid w:val="5F3E3095"/>
    <w:rsid w:val="5F4E160D"/>
    <w:rsid w:val="5F4F75AD"/>
    <w:rsid w:val="5F57386C"/>
    <w:rsid w:val="5F630463"/>
    <w:rsid w:val="5F6E0BB6"/>
    <w:rsid w:val="5F6E4D38"/>
    <w:rsid w:val="5F764577"/>
    <w:rsid w:val="5F7B5BD5"/>
    <w:rsid w:val="5F7E19D7"/>
    <w:rsid w:val="5F8858FF"/>
    <w:rsid w:val="5F8E5468"/>
    <w:rsid w:val="5F910F42"/>
    <w:rsid w:val="5F9745B0"/>
    <w:rsid w:val="5F97635E"/>
    <w:rsid w:val="5F987CD6"/>
    <w:rsid w:val="5FAB3D4C"/>
    <w:rsid w:val="5FB01374"/>
    <w:rsid w:val="5FB031CA"/>
    <w:rsid w:val="5FB5554A"/>
    <w:rsid w:val="5FB93C59"/>
    <w:rsid w:val="5FBF0B35"/>
    <w:rsid w:val="5FC538D3"/>
    <w:rsid w:val="5FD373B6"/>
    <w:rsid w:val="5FD41360"/>
    <w:rsid w:val="5FD475F4"/>
    <w:rsid w:val="5FD736CA"/>
    <w:rsid w:val="5FE37C42"/>
    <w:rsid w:val="5FEA239C"/>
    <w:rsid w:val="5FEE14B0"/>
    <w:rsid w:val="5FF26ACB"/>
    <w:rsid w:val="5FF80CE5"/>
    <w:rsid w:val="5FF85060"/>
    <w:rsid w:val="5FF90DC7"/>
    <w:rsid w:val="600B28A8"/>
    <w:rsid w:val="600C7F5E"/>
    <w:rsid w:val="60112F86"/>
    <w:rsid w:val="60142BFD"/>
    <w:rsid w:val="601B6F8F"/>
    <w:rsid w:val="601D4F0A"/>
    <w:rsid w:val="602045A6"/>
    <w:rsid w:val="60234709"/>
    <w:rsid w:val="6025396A"/>
    <w:rsid w:val="60276B0C"/>
    <w:rsid w:val="602C672C"/>
    <w:rsid w:val="60363DC9"/>
    <w:rsid w:val="60365DE8"/>
    <w:rsid w:val="60514FB3"/>
    <w:rsid w:val="6054424F"/>
    <w:rsid w:val="60561D75"/>
    <w:rsid w:val="60623AEF"/>
    <w:rsid w:val="60625645"/>
    <w:rsid w:val="60695F4D"/>
    <w:rsid w:val="606A75CF"/>
    <w:rsid w:val="606B6B7C"/>
    <w:rsid w:val="607665C4"/>
    <w:rsid w:val="607F100E"/>
    <w:rsid w:val="608323B3"/>
    <w:rsid w:val="608B047E"/>
    <w:rsid w:val="60A90E89"/>
    <w:rsid w:val="60C34F06"/>
    <w:rsid w:val="60C412A2"/>
    <w:rsid w:val="60C97CC9"/>
    <w:rsid w:val="60D04949"/>
    <w:rsid w:val="60D47522"/>
    <w:rsid w:val="60D47AF1"/>
    <w:rsid w:val="60D61108"/>
    <w:rsid w:val="60D81515"/>
    <w:rsid w:val="60E530F9"/>
    <w:rsid w:val="60E70FF9"/>
    <w:rsid w:val="60E95CA4"/>
    <w:rsid w:val="60F5720E"/>
    <w:rsid w:val="60F57AD9"/>
    <w:rsid w:val="60FF7F32"/>
    <w:rsid w:val="61073201"/>
    <w:rsid w:val="610D1C69"/>
    <w:rsid w:val="611317B0"/>
    <w:rsid w:val="611539DF"/>
    <w:rsid w:val="6118702B"/>
    <w:rsid w:val="6119492A"/>
    <w:rsid w:val="611F485D"/>
    <w:rsid w:val="61215AAC"/>
    <w:rsid w:val="61246280"/>
    <w:rsid w:val="612C6F7A"/>
    <w:rsid w:val="612C7B37"/>
    <w:rsid w:val="613A1697"/>
    <w:rsid w:val="613D40CA"/>
    <w:rsid w:val="613D41D4"/>
    <w:rsid w:val="61420268"/>
    <w:rsid w:val="6148108C"/>
    <w:rsid w:val="614C4D30"/>
    <w:rsid w:val="614D0334"/>
    <w:rsid w:val="61554209"/>
    <w:rsid w:val="615C067A"/>
    <w:rsid w:val="616D69D4"/>
    <w:rsid w:val="616F0363"/>
    <w:rsid w:val="61736957"/>
    <w:rsid w:val="61747C2C"/>
    <w:rsid w:val="6175447D"/>
    <w:rsid w:val="6177296B"/>
    <w:rsid w:val="617A5F38"/>
    <w:rsid w:val="61827D47"/>
    <w:rsid w:val="6189617B"/>
    <w:rsid w:val="618D6714"/>
    <w:rsid w:val="618F19E3"/>
    <w:rsid w:val="61913893"/>
    <w:rsid w:val="6197311E"/>
    <w:rsid w:val="619D122A"/>
    <w:rsid w:val="619E4563"/>
    <w:rsid w:val="61A70640"/>
    <w:rsid w:val="61A80B8A"/>
    <w:rsid w:val="61AB2322"/>
    <w:rsid w:val="61AB7E9F"/>
    <w:rsid w:val="61BC3E5A"/>
    <w:rsid w:val="61CA0082"/>
    <w:rsid w:val="61CB0541"/>
    <w:rsid w:val="61CB08C8"/>
    <w:rsid w:val="61CD37AD"/>
    <w:rsid w:val="61D139CD"/>
    <w:rsid w:val="61DA2E84"/>
    <w:rsid w:val="61E06CF9"/>
    <w:rsid w:val="61E34544"/>
    <w:rsid w:val="61F869AA"/>
    <w:rsid w:val="6202384C"/>
    <w:rsid w:val="62026BCA"/>
    <w:rsid w:val="62032181"/>
    <w:rsid w:val="6213601C"/>
    <w:rsid w:val="62166D1B"/>
    <w:rsid w:val="6219421A"/>
    <w:rsid w:val="62276E48"/>
    <w:rsid w:val="622F7825"/>
    <w:rsid w:val="6230405A"/>
    <w:rsid w:val="623D012A"/>
    <w:rsid w:val="62402CDD"/>
    <w:rsid w:val="624222AA"/>
    <w:rsid w:val="6243457B"/>
    <w:rsid w:val="624A3B5C"/>
    <w:rsid w:val="626036A5"/>
    <w:rsid w:val="62604146"/>
    <w:rsid w:val="62611847"/>
    <w:rsid w:val="626535E5"/>
    <w:rsid w:val="6269416D"/>
    <w:rsid w:val="62764C03"/>
    <w:rsid w:val="62791502"/>
    <w:rsid w:val="62792AF3"/>
    <w:rsid w:val="62830E1C"/>
    <w:rsid w:val="62936D67"/>
    <w:rsid w:val="629E10AC"/>
    <w:rsid w:val="62A53474"/>
    <w:rsid w:val="62A56FE4"/>
    <w:rsid w:val="62A91753"/>
    <w:rsid w:val="62B351E0"/>
    <w:rsid w:val="62C30522"/>
    <w:rsid w:val="62C51434"/>
    <w:rsid w:val="62C84A81"/>
    <w:rsid w:val="62D4425D"/>
    <w:rsid w:val="62D77CB4"/>
    <w:rsid w:val="62DC700A"/>
    <w:rsid w:val="62DD31DD"/>
    <w:rsid w:val="62DD6A26"/>
    <w:rsid w:val="62E327B0"/>
    <w:rsid w:val="62F13FD0"/>
    <w:rsid w:val="62FB15A6"/>
    <w:rsid w:val="62FD3D99"/>
    <w:rsid w:val="63011F41"/>
    <w:rsid w:val="63051831"/>
    <w:rsid w:val="63056FDC"/>
    <w:rsid w:val="630A03EB"/>
    <w:rsid w:val="630A21A8"/>
    <w:rsid w:val="630D7FBC"/>
    <w:rsid w:val="630F140E"/>
    <w:rsid w:val="6318663E"/>
    <w:rsid w:val="63283D33"/>
    <w:rsid w:val="633C676E"/>
    <w:rsid w:val="633D721D"/>
    <w:rsid w:val="633F0BBC"/>
    <w:rsid w:val="63472E3E"/>
    <w:rsid w:val="6348573C"/>
    <w:rsid w:val="634A7916"/>
    <w:rsid w:val="634B2AD8"/>
    <w:rsid w:val="634B3ED0"/>
    <w:rsid w:val="634E142A"/>
    <w:rsid w:val="6352191C"/>
    <w:rsid w:val="635A35A9"/>
    <w:rsid w:val="635D5E0A"/>
    <w:rsid w:val="6365169D"/>
    <w:rsid w:val="636945F6"/>
    <w:rsid w:val="637046A9"/>
    <w:rsid w:val="63706C44"/>
    <w:rsid w:val="6378437C"/>
    <w:rsid w:val="637864A7"/>
    <w:rsid w:val="63861088"/>
    <w:rsid w:val="638C1D80"/>
    <w:rsid w:val="638D344F"/>
    <w:rsid w:val="63923BCF"/>
    <w:rsid w:val="63946A01"/>
    <w:rsid w:val="63974B7F"/>
    <w:rsid w:val="639F5836"/>
    <w:rsid w:val="63AB6633"/>
    <w:rsid w:val="63AD2EB0"/>
    <w:rsid w:val="63AE3DB7"/>
    <w:rsid w:val="63B4269B"/>
    <w:rsid w:val="63B924DD"/>
    <w:rsid w:val="63BB18E5"/>
    <w:rsid w:val="63BC6A81"/>
    <w:rsid w:val="63BE6056"/>
    <w:rsid w:val="63C34310"/>
    <w:rsid w:val="63C872E4"/>
    <w:rsid w:val="63D0141F"/>
    <w:rsid w:val="63DF6526"/>
    <w:rsid w:val="63E052CA"/>
    <w:rsid w:val="63F039E0"/>
    <w:rsid w:val="63F109D0"/>
    <w:rsid w:val="63F773CC"/>
    <w:rsid w:val="6405261B"/>
    <w:rsid w:val="64053981"/>
    <w:rsid w:val="64125BE1"/>
    <w:rsid w:val="641F0F14"/>
    <w:rsid w:val="642A44F3"/>
    <w:rsid w:val="642D5D7B"/>
    <w:rsid w:val="642F5528"/>
    <w:rsid w:val="64326656"/>
    <w:rsid w:val="643337EA"/>
    <w:rsid w:val="643C4FE6"/>
    <w:rsid w:val="6441588D"/>
    <w:rsid w:val="64436AB5"/>
    <w:rsid w:val="64516FF8"/>
    <w:rsid w:val="64556D66"/>
    <w:rsid w:val="646A031B"/>
    <w:rsid w:val="646D6444"/>
    <w:rsid w:val="647C1FC7"/>
    <w:rsid w:val="647D0875"/>
    <w:rsid w:val="64831BEE"/>
    <w:rsid w:val="648D7C4D"/>
    <w:rsid w:val="64914181"/>
    <w:rsid w:val="64A13B2C"/>
    <w:rsid w:val="64A6596F"/>
    <w:rsid w:val="64AA019C"/>
    <w:rsid w:val="64B17EC2"/>
    <w:rsid w:val="64D12873"/>
    <w:rsid w:val="64D37A2E"/>
    <w:rsid w:val="64DE0297"/>
    <w:rsid w:val="64E77C62"/>
    <w:rsid w:val="64EE4271"/>
    <w:rsid w:val="64F44BFC"/>
    <w:rsid w:val="64F55A2C"/>
    <w:rsid w:val="64FD0006"/>
    <w:rsid w:val="64FE6488"/>
    <w:rsid w:val="650C23D7"/>
    <w:rsid w:val="650E70C3"/>
    <w:rsid w:val="65177D95"/>
    <w:rsid w:val="6518152E"/>
    <w:rsid w:val="651B533C"/>
    <w:rsid w:val="6520532D"/>
    <w:rsid w:val="65217819"/>
    <w:rsid w:val="652246DA"/>
    <w:rsid w:val="652C03B8"/>
    <w:rsid w:val="6531690D"/>
    <w:rsid w:val="6536177E"/>
    <w:rsid w:val="65421E67"/>
    <w:rsid w:val="654455A4"/>
    <w:rsid w:val="65463693"/>
    <w:rsid w:val="654A5363"/>
    <w:rsid w:val="654B64F1"/>
    <w:rsid w:val="655A40B6"/>
    <w:rsid w:val="655A6B63"/>
    <w:rsid w:val="655B5652"/>
    <w:rsid w:val="655F5A7D"/>
    <w:rsid w:val="65665D3B"/>
    <w:rsid w:val="656D2F25"/>
    <w:rsid w:val="656E2699"/>
    <w:rsid w:val="65765F82"/>
    <w:rsid w:val="6580176C"/>
    <w:rsid w:val="65804D69"/>
    <w:rsid w:val="65882DCF"/>
    <w:rsid w:val="658D44EA"/>
    <w:rsid w:val="65A52BF0"/>
    <w:rsid w:val="65A95735"/>
    <w:rsid w:val="65AB588A"/>
    <w:rsid w:val="65B07DE0"/>
    <w:rsid w:val="65B412A5"/>
    <w:rsid w:val="65C425A9"/>
    <w:rsid w:val="65CA0C3C"/>
    <w:rsid w:val="65D23387"/>
    <w:rsid w:val="65D36C44"/>
    <w:rsid w:val="65D425B6"/>
    <w:rsid w:val="65DF280D"/>
    <w:rsid w:val="65E330C1"/>
    <w:rsid w:val="65E661BD"/>
    <w:rsid w:val="65E82F8D"/>
    <w:rsid w:val="65F31C98"/>
    <w:rsid w:val="65F610F9"/>
    <w:rsid w:val="65FA6920"/>
    <w:rsid w:val="65FC33BF"/>
    <w:rsid w:val="66072FB3"/>
    <w:rsid w:val="660814DC"/>
    <w:rsid w:val="66095BF9"/>
    <w:rsid w:val="66161A8C"/>
    <w:rsid w:val="66193965"/>
    <w:rsid w:val="661C4F7C"/>
    <w:rsid w:val="6628358D"/>
    <w:rsid w:val="6629289A"/>
    <w:rsid w:val="66303069"/>
    <w:rsid w:val="6632293D"/>
    <w:rsid w:val="664C3970"/>
    <w:rsid w:val="66501015"/>
    <w:rsid w:val="66570893"/>
    <w:rsid w:val="665A29E1"/>
    <w:rsid w:val="665A31A6"/>
    <w:rsid w:val="665A6FB9"/>
    <w:rsid w:val="665B2639"/>
    <w:rsid w:val="665B7ED6"/>
    <w:rsid w:val="66650F64"/>
    <w:rsid w:val="666920D7"/>
    <w:rsid w:val="66723681"/>
    <w:rsid w:val="667273CA"/>
    <w:rsid w:val="66775A25"/>
    <w:rsid w:val="6679331F"/>
    <w:rsid w:val="66874DC6"/>
    <w:rsid w:val="668B2CFD"/>
    <w:rsid w:val="66913F85"/>
    <w:rsid w:val="66932B0E"/>
    <w:rsid w:val="669B6734"/>
    <w:rsid w:val="669D36BA"/>
    <w:rsid w:val="66AB4489"/>
    <w:rsid w:val="66AE5FAF"/>
    <w:rsid w:val="66AF3F8D"/>
    <w:rsid w:val="66B67A35"/>
    <w:rsid w:val="66D405D3"/>
    <w:rsid w:val="66E539F1"/>
    <w:rsid w:val="66E619C9"/>
    <w:rsid w:val="66E671FE"/>
    <w:rsid w:val="66E91DF3"/>
    <w:rsid w:val="66EF082E"/>
    <w:rsid w:val="66F2537B"/>
    <w:rsid w:val="66F44F8B"/>
    <w:rsid w:val="66F555C7"/>
    <w:rsid w:val="66F84CD7"/>
    <w:rsid w:val="66FE2ABC"/>
    <w:rsid w:val="67002A3B"/>
    <w:rsid w:val="67047891"/>
    <w:rsid w:val="67102CCE"/>
    <w:rsid w:val="67143AE6"/>
    <w:rsid w:val="671953E6"/>
    <w:rsid w:val="671958AB"/>
    <w:rsid w:val="671C5188"/>
    <w:rsid w:val="672023BD"/>
    <w:rsid w:val="67275CA2"/>
    <w:rsid w:val="672C3B07"/>
    <w:rsid w:val="672E19E3"/>
    <w:rsid w:val="6735583B"/>
    <w:rsid w:val="673944D3"/>
    <w:rsid w:val="673E29E9"/>
    <w:rsid w:val="674030B2"/>
    <w:rsid w:val="67472418"/>
    <w:rsid w:val="674A63AC"/>
    <w:rsid w:val="6751684B"/>
    <w:rsid w:val="67550FD9"/>
    <w:rsid w:val="675D7E8D"/>
    <w:rsid w:val="67737337"/>
    <w:rsid w:val="677B5C77"/>
    <w:rsid w:val="677C0831"/>
    <w:rsid w:val="679A5ED0"/>
    <w:rsid w:val="679D5DAC"/>
    <w:rsid w:val="67A06CEC"/>
    <w:rsid w:val="67A505EC"/>
    <w:rsid w:val="67A96C2F"/>
    <w:rsid w:val="67AA29A7"/>
    <w:rsid w:val="67AB6E4B"/>
    <w:rsid w:val="67AC77AD"/>
    <w:rsid w:val="67B104B5"/>
    <w:rsid w:val="67B22471"/>
    <w:rsid w:val="67B57CC9"/>
    <w:rsid w:val="67BA0E3C"/>
    <w:rsid w:val="67BB075A"/>
    <w:rsid w:val="67BF17F1"/>
    <w:rsid w:val="67C23D66"/>
    <w:rsid w:val="67C454CF"/>
    <w:rsid w:val="67C816DE"/>
    <w:rsid w:val="67D97E17"/>
    <w:rsid w:val="67E34F4D"/>
    <w:rsid w:val="67E81295"/>
    <w:rsid w:val="67F31C48"/>
    <w:rsid w:val="67F73288"/>
    <w:rsid w:val="67F86568"/>
    <w:rsid w:val="67FC77D7"/>
    <w:rsid w:val="68013271"/>
    <w:rsid w:val="680E1F93"/>
    <w:rsid w:val="68153AD4"/>
    <w:rsid w:val="68197283"/>
    <w:rsid w:val="681A7578"/>
    <w:rsid w:val="681D181F"/>
    <w:rsid w:val="68226B97"/>
    <w:rsid w:val="682601A6"/>
    <w:rsid w:val="682664D1"/>
    <w:rsid w:val="682A29D3"/>
    <w:rsid w:val="682E37F5"/>
    <w:rsid w:val="68316C81"/>
    <w:rsid w:val="683E5CF3"/>
    <w:rsid w:val="68465A98"/>
    <w:rsid w:val="68540658"/>
    <w:rsid w:val="68563069"/>
    <w:rsid w:val="68583173"/>
    <w:rsid w:val="68585BF1"/>
    <w:rsid w:val="685A43CD"/>
    <w:rsid w:val="68610BE9"/>
    <w:rsid w:val="686762BA"/>
    <w:rsid w:val="686A5386"/>
    <w:rsid w:val="686F60CA"/>
    <w:rsid w:val="68714A57"/>
    <w:rsid w:val="68771932"/>
    <w:rsid w:val="687D30E0"/>
    <w:rsid w:val="687E62EC"/>
    <w:rsid w:val="68803E14"/>
    <w:rsid w:val="68821CC5"/>
    <w:rsid w:val="688F0FD6"/>
    <w:rsid w:val="68AF297D"/>
    <w:rsid w:val="68B51201"/>
    <w:rsid w:val="68B95597"/>
    <w:rsid w:val="68BD4CCA"/>
    <w:rsid w:val="68C07B47"/>
    <w:rsid w:val="68CA1EFA"/>
    <w:rsid w:val="68D73C6F"/>
    <w:rsid w:val="68DF3A88"/>
    <w:rsid w:val="68E00F7D"/>
    <w:rsid w:val="68E525E0"/>
    <w:rsid w:val="68EC14C9"/>
    <w:rsid w:val="68FE66C0"/>
    <w:rsid w:val="691E53FA"/>
    <w:rsid w:val="691F1ACC"/>
    <w:rsid w:val="692549DB"/>
    <w:rsid w:val="692D73DA"/>
    <w:rsid w:val="69330BCE"/>
    <w:rsid w:val="693B7D5A"/>
    <w:rsid w:val="693F7273"/>
    <w:rsid w:val="69400B6E"/>
    <w:rsid w:val="694040D9"/>
    <w:rsid w:val="69446F6F"/>
    <w:rsid w:val="695667CF"/>
    <w:rsid w:val="69573A2C"/>
    <w:rsid w:val="695A313E"/>
    <w:rsid w:val="695D7F9A"/>
    <w:rsid w:val="69690D6B"/>
    <w:rsid w:val="697531CB"/>
    <w:rsid w:val="697D162C"/>
    <w:rsid w:val="69886565"/>
    <w:rsid w:val="698E07D2"/>
    <w:rsid w:val="69904335"/>
    <w:rsid w:val="699306A1"/>
    <w:rsid w:val="699E751C"/>
    <w:rsid w:val="69A17ABB"/>
    <w:rsid w:val="69B4483D"/>
    <w:rsid w:val="69B63885"/>
    <w:rsid w:val="69B67D29"/>
    <w:rsid w:val="69B81F77"/>
    <w:rsid w:val="69B875FD"/>
    <w:rsid w:val="69BB533F"/>
    <w:rsid w:val="69C000FA"/>
    <w:rsid w:val="69C15D0F"/>
    <w:rsid w:val="69C22C9D"/>
    <w:rsid w:val="69C6022E"/>
    <w:rsid w:val="69C6217D"/>
    <w:rsid w:val="69C80796"/>
    <w:rsid w:val="69CB580E"/>
    <w:rsid w:val="69CF46CD"/>
    <w:rsid w:val="69D01E21"/>
    <w:rsid w:val="69D229F6"/>
    <w:rsid w:val="69D717CE"/>
    <w:rsid w:val="69E73B15"/>
    <w:rsid w:val="69E841AB"/>
    <w:rsid w:val="69EF22C0"/>
    <w:rsid w:val="69F234FA"/>
    <w:rsid w:val="69F436F0"/>
    <w:rsid w:val="69F84409"/>
    <w:rsid w:val="69F92903"/>
    <w:rsid w:val="69FA6EFA"/>
    <w:rsid w:val="6A046EFD"/>
    <w:rsid w:val="6A0A4468"/>
    <w:rsid w:val="6A0C5CF9"/>
    <w:rsid w:val="6A0D3CC2"/>
    <w:rsid w:val="6A0E526F"/>
    <w:rsid w:val="6A10568B"/>
    <w:rsid w:val="6A186EC0"/>
    <w:rsid w:val="6A1F58CE"/>
    <w:rsid w:val="6A30063B"/>
    <w:rsid w:val="6A3273AF"/>
    <w:rsid w:val="6A327846"/>
    <w:rsid w:val="6A376DCB"/>
    <w:rsid w:val="6A496A7E"/>
    <w:rsid w:val="6A4B3B60"/>
    <w:rsid w:val="6A672C5E"/>
    <w:rsid w:val="6A7A5206"/>
    <w:rsid w:val="6A7C0937"/>
    <w:rsid w:val="6A82564B"/>
    <w:rsid w:val="6A841275"/>
    <w:rsid w:val="6A905F18"/>
    <w:rsid w:val="6A9636BF"/>
    <w:rsid w:val="6AB02D20"/>
    <w:rsid w:val="6ABB0DC2"/>
    <w:rsid w:val="6ABE329D"/>
    <w:rsid w:val="6AC00E5F"/>
    <w:rsid w:val="6AC124E1"/>
    <w:rsid w:val="6AC33F72"/>
    <w:rsid w:val="6ACB190A"/>
    <w:rsid w:val="6AD13E18"/>
    <w:rsid w:val="6ADC244B"/>
    <w:rsid w:val="6ADE0F55"/>
    <w:rsid w:val="6ADF3AA1"/>
    <w:rsid w:val="6AF13F41"/>
    <w:rsid w:val="6B0961AF"/>
    <w:rsid w:val="6B115FC0"/>
    <w:rsid w:val="6B182A49"/>
    <w:rsid w:val="6B19225D"/>
    <w:rsid w:val="6B2157E8"/>
    <w:rsid w:val="6B2A598E"/>
    <w:rsid w:val="6B2D1110"/>
    <w:rsid w:val="6B301415"/>
    <w:rsid w:val="6B3A4B7B"/>
    <w:rsid w:val="6B3C78E6"/>
    <w:rsid w:val="6B4074D2"/>
    <w:rsid w:val="6B49181B"/>
    <w:rsid w:val="6B4C6129"/>
    <w:rsid w:val="6B525227"/>
    <w:rsid w:val="6B5346C8"/>
    <w:rsid w:val="6B553790"/>
    <w:rsid w:val="6B5729FA"/>
    <w:rsid w:val="6B590C8D"/>
    <w:rsid w:val="6B5944DA"/>
    <w:rsid w:val="6B685E7E"/>
    <w:rsid w:val="6B6A273F"/>
    <w:rsid w:val="6B715313"/>
    <w:rsid w:val="6B793326"/>
    <w:rsid w:val="6B7D354E"/>
    <w:rsid w:val="6B820737"/>
    <w:rsid w:val="6B833C3B"/>
    <w:rsid w:val="6B927F81"/>
    <w:rsid w:val="6B9B0F84"/>
    <w:rsid w:val="6BAC7A2A"/>
    <w:rsid w:val="6BAE0FC8"/>
    <w:rsid w:val="6BB35738"/>
    <w:rsid w:val="6BB553C2"/>
    <w:rsid w:val="6BBC4607"/>
    <w:rsid w:val="6BC93D43"/>
    <w:rsid w:val="6BCF788E"/>
    <w:rsid w:val="6BD11458"/>
    <w:rsid w:val="6BD8498A"/>
    <w:rsid w:val="6BD91AAD"/>
    <w:rsid w:val="6BDC2971"/>
    <w:rsid w:val="6BDE0B8B"/>
    <w:rsid w:val="6BE00B36"/>
    <w:rsid w:val="6BE513EB"/>
    <w:rsid w:val="6BE84688"/>
    <w:rsid w:val="6BEA0F2F"/>
    <w:rsid w:val="6BEC6AD9"/>
    <w:rsid w:val="6BF2523D"/>
    <w:rsid w:val="6BF72723"/>
    <w:rsid w:val="6BFC0ED2"/>
    <w:rsid w:val="6BFD790C"/>
    <w:rsid w:val="6C006BC9"/>
    <w:rsid w:val="6C092392"/>
    <w:rsid w:val="6C0F48FC"/>
    <w:rsid w:val="6C117ACE"/>
    <w:rsid w:val="6C156F89"/>
    <w:rsid w:val="6C1F5711"/>
    <w:rsid w:val="6C2619B6"/>
    <w:rsid w:val="6C27303B"/>
    <w:rsid w:val="6C2814C5"/>
    <w:rsid w:val="6C2B12AD"/>
    <w:rsid w:val="6C2B2308"/>
    <w:rsid w:val="6C2C42D2"/>
    <w:rsid w:val="6C2E004A"/>
    <w:rsid w:val="6C382A33"/>
    <w:rsid w:val="6C440EDF"/>
    <w:rsid w:val="6C446F00"/>
    <w:rsid w:val="6C481017"/>
    <w:rsid w:val="6C4D680F"/>
    <w:rsid w:val="6C533CAD"/>
    <w:rsid w:val="6C6461D0"/>
    <w:rsid w:val="6C6929DB"/>
    <w:rsid w:val="6C7242B0"/>
    <w:rsid w:val="6C753AA2"/>
    <w:rsid w:val="6C760CE4"/>
    <w:rsid w:val="6CA41523"/>
    <w:rsid w:val="6CA52552"/>
    <w:rsid w:val="6CB2055F"/>
    <w:rsid w:val="6CB542C8"/>
    <w:rsid w:val="6CB95B66"/>
    <w:rsid w:val="6CBE317C"/>
    <w:rsid w:val="6CC16C10"/>
    <w:rsid w:val="6CCC0679"/>
    <w:rsid w:val="6CCF5389"/>
    <w:rsid w:val="6CDB2129"/>
    <w:rsid w:val="6CDE6903"/>
    <w:rsid w:val="6CDF30F3"/>
    <w:rsid w:val="6CDF4198"/>
    <w:rsid w:val="6CE07597"/>
    <w:rsid w:val="6CE15E5E"/>
    <w:rsid w:val="6CE34991"/>
    <w:rsid w:val="6CE5016C"/>
    <w:rsid w:val="6CE55009"/>
    <w:rsid w:val="6CE60925"/>
    <w:rsid w:val="6CEB5FF6"/>
    <w:rsid w:val="6CF10C27"/>
    <w:rsid w:val="6CF21078"/>
    <w:rsid w:val="6CFD5FAF"/>
    <w:rsid w:val="6CFF5543"/>
    <w:rsid w:val="6D055BFC"/>
    <w:rsid w:val="6D1149D0"/>
    <w:rsid w:val="6D114BA4"/>
    <w:rsid w:val="6D187950"/>
    <w:rsid w:val="6D270E92"/>
    <w:rsid w:val="6D3439AC"/>
    <w:rsid w:val="6D3D68F4"/>
    <w:rsid w:val="6D4427CA"/>
    <w:rsid w:val="6D473FEC"/>
    <w:rsid w:val="6D490854"/>
    <w:rsid w:val="6D4B30F6"/>
    <w:rsid w:val="6D4F1BF8"/>
    <w:rsid w:val="6D5857F4"/>
    <w:rsid w:val="6D6547D9"/>
    <w:rsid w:val="6D6830E8"/>
    <w:rsid w:val="6D742C9B"/>
    <w:rsid w:val="6D7F429F"/>
    <w:rsid w:val="6D800432"/>
    <w:rsid w:val="6D8154E0"/>
    <w:rsid w:val="6D8E0B99"/>
    <w:rsid w:val="6D8E63A6"/>
    <w:rsid w:val="6D957659"/>
    <w:rsid w:val="6DA0304A"/>
    <w:rsid w:val="6DA4750A"/>
    <w:rsid w:val="6DAC2801"/>
    <w:rsid w:val="6DAE1443"/>
    <w:rsid w:val="6DB12CE1"/>
    <w:rsid w:val="6DB620A5"/>
    <w:rsid w:val="6DB73F24"/>
    <w:rsid w:val="6DBA484E"/>
    <w:rsid w:val="6DC30160"/>
    <w:rsid w:val="6DC84FE4"/>
    <w:rsid w:val="6DCF4B47"/>
    <w:rsid w:val="6DD23A6E"/>
    <w:rsid w:val="6DE43EE6"/>
    <w:rsid w:val="6DE44D5C"/>
    <w:rsid w:val="6DEA2D4D"/>
    <w:rsid w:val="6DED2ACA"/>
    <w:rsid w:val="6DF37070"/>
    <w:rsid w:val="6E096093"/>
    <w:rsid w:val="6E245261"/>
    <w:rsid w:val="6E303F2A"/>
    <w:rsid w:val="6E3711EF"/>
    <w:rsid w:val="6E3E3552"/>
    <w:rsid w:val="6E4C39C1"/>
    <w:rsid w:val="6E5A01BC"/>
    <w:rsid w:val="6E5C256C"/>
    <w:rsid w:val="6E663B0E"/>
    <w:rsid w:val="6E6C2E0D"/>
    <w:rsid w:val="6E71480D"/>
    <w:rsid w:val="6E780120"/>
    <w:rsid w:val="6E7E2C6D"/>
    <w:rsid w:val="6E7F7A2A"/>
    <w:rsid w:val="6E800B85"/>
    <w:rsid w:val="6E8827BD"/>
    <w:rsid w:val="6E8B45AD"/>
    <w:rsid w:val="6E91041D"/>
    <w:rsid w:val="6E920594"/>
    <w:rsid w:val="6E932506"/>
    <w:rsid w:val="6E9B274D"/>
    <w:rsid w:val="6E9C2443"/>
    <w:rsid w:val="6EA03C43"/>
    <w:rsid w:val="6EA20A12"/>
    <w:rsid w:val="6EA57363"/>
    <w:rsid w:val="6EA81F5F"/>
    <w:rsid w:val="6EA91C0A"/>
    <w:rsid w:val="6EAB612E"/>
    <w:rsid w:val="6EAE5472"/>
    <w:rsid w:val="6EB16213"/>
    <w:rsid w:val="6EC73360"/>
    <w:rsid w:val="6EC971E2"/>
    <w:rsid w:val="6ED24CBD"/>
    <w:rsid w:val="6EE13020"/>
    <w:rsid w:val="6EE82732"/>
    <w:rsid w:val="6EF235B1"/>
    <w:rsid w:val="6EF6566B"/>
    <w:rsid w:val="6F046010"/>
    <w:rsid w:val="6F0515C4"/>
    <w:rsid w:val="6F0B6421"/>
    <w:rsid w:val="6F0C33FE"/>
    <w:rsid w:val="6F114D0F"/>
    <w:rsid w:val="6F1410EF"/>
    <w:rsid w:val="6F1457F9"/>
    <w:rsid w:val="6F150C1D"/>
    <w:rsid w:val="6F185A8D"/>
    <w:rsid w:val="6F2174C0"/>
    <w:rsid w:val="6F2613D1"/>
    <w:rsid w:val="6F28284C"/>
    <w:rsid w:val="6F2968A7"/>
    <w:rsid w:val="6F3330BF"/>
    <w:rsid w:val="6F415F51"/>
    <w:rsid w:val="6F4920FA"/>
    <w:rsid w:val="6F4F5936"/>
    <w:rsid w:val="6F540943"/>
    <w:rsid w:val="6F541B76"/>
    <w:rsid w:val="6F5436D6"/>
    <w:rsid w:val="6F5B39C3"/>
    <w:rsid w:val="6F6C1B42"/>
    <w:rsid w:val="6F760E03"/>
    <w:rsid w:val="6F783AA5"/>
    <w:rsid w:val="6F7879FB"/>
    <w:rsid w:val="6F867A27"/>
    <w:rsid w:val="6F867A96"/>
    <w:rsid w:val="6F8F0E00"/>
    <w:rsid w:val="6F8F4A9E"/>
    <w:rsid w:val="6F940669"/>
    <w:rsid w:val="6F953C90"/>
    <w:rsid w:val="6FA652D6"/>
    <w:rsid w:val="6FAE323D"/>
    <w:rsid w:val="6FBB605C"/>
    <w:rsid w:val="6FC14D32"/>
    <w:rsid w:val="6FC540B8"/>
    <w:rsid w:val="6FD44F58"/>
    <w:rsid w:val="6FD565E2"/>
    <w:rsid w:val="6FE87326"/>
    <w:rsid w:val="6FF2760E"/>
    <w:rsid w:val="6FF50D00"/>
    <w:rsid w:val="6FF643B1"/>
    <w:rsid w:val="6FF86B7D"/>
    <w:rsid w:val="6FFB6495"/>
    <w:rsid w:val="6FFC02F5"/>
    <w:rsid w:val="700C06A3"/>
    <w:rsid w:val="700F42B3"/>
    <w:rsid w:val="70143875"/>
    <w:rsid w:val="70147557"/>
    <w:rsid w:val="70165BBE"/>
    <w:rsid w:val="701B1763"/>
    <w:rsid w:val="702830A8"/>
    <w:rsid w:val="7028399E"/>
    <w:rsid w:val="70336689"/>
    <w:rsid w:val="703378B0"/>
    <w:rsid w:val="70386E63"/>
    <w:rsid w:val="7040659E"/>
    <w:rsid w:val="70462B35"/>
    <w:rsid w:val="70480230"/>
    <w:rsid w:val="704E2F56"/>
    <w:rsid w:val="70555386"/>
    <w:rsid w:val="7064403B"/>
    <w:rsid w:val="70672073"/>
    <w:rsid w:val="707104E7"/>
    <w:rsid w:val="707B0D59"/>
    <w:rsid w:val="707D1E5D"/>
    <w:rsid w:val="707D38B6"/>
    <w:rsid w:val="70873059"/>
    <w:rsid w:val="708C17E3"/>
    <w:rsid w:val="709A7629"/>
    <w:rsid w:val="709D0B0C"/>
    <w:rsid w:val="70A027A0"/>
    <w:rsid w:val="70AF5BC7"/>
    <w:rsid w:val="70B765A9"/>
    <w:rsid w:val="70C051B2"/>
    <w:rsid w:val="70C24BAF"/>
    <w:rsid w:val="70DE3255"/>
    <w:rsid w:val="70E463A9"/>
    <w:rsid w:val="70E50CD5"/>
    <w:rsid w:val="70F030C1"/>
    <w:rsid w:val="70F353BF"/>
    <w:rsid w:val="70F60E61"/>
    <w:rsid w:val="70F960E9"/>
    <w:rsid w:val="71060E06"/>
    <w:rsid w:val="710D7DD2"/>
    <w:rsid w:val="71145A61"/>
    <w:rsid w:val="711F23A8"/>
    <w:rsid w:val="711F4406"/>
    <w:rsid w:val="71284041"/>
    <w:rsid w:val="712B16AC"/>
    <w:rsid w:val="712E78E8"/>
    <w:rsid w:val="713E2ADE"/>
    <w:rsid w:val="71520337"/>
    <w:rsid w:val="71582647"/>
    <w:rsid w:val="71593474"/>
    <w:rsid w:val="71600CC3"/>
    <w:rsid w:val="71646CCF"/>
    <w:rsid w:val="71734AC9"/>
    <w:rsid w:val="717A6BC0"/>
    <w:rsid w:val="717C5638"/>
    <w:rsid w:val="717D5132"/>
    <w:rsid w:val="71815876"/>
    <w:rsid w:val="71864D58"/>
    <w:rsid w:val="718900CE"/>
    <w:rsid w:val="71890614"/>
    <w:rsid w:val="71926692"/>
    <w:rsid w:val="71944507"/>
    <w:rsid w:val="71A26622"/>
    <w:rsid w:val="71A37E47"/>
    <w:rsid w:val="71A52EE1"/>
    <w:rsid w:val="71A566B9"/>
    <w:rsid w:val="71A665C8"/>
    <w:rsid w:val="71A97F67"/>
    <w:rsid w:val="71BD0EA6"/>
    <w:rsid w:val="71BE6B02"/>
    <w:rsid w:val="71C8610D"/>
    <w:rsid w:val="71D21F84"/>
    <w:rsid w:val="71D46F9E"/>
    <w:rsid w:val="71D945B4"/>
    <w:rsid w:val="71EA67C2"/>
    <w:rsid w:val="71EC12E5"/>
    <w:rsid w:val="71ED3D66"/>
    <w:rsid w:val="71EE7219"/>
    <w:rsid w:val="71F95EBA"/>
    <w:rsid w:val="71FC3E82"/>
    <w:rsid w:val="72022025"/>
    <w:rsid w:val="720E238F"/>
    <w:rsid w:val="72181CF0"/>
    <w:rsid w:val="721A6126"/>
    <w:rsid w:val="72207C7A"/>
    <w:rsid w:val="722154A9"/>
    <w:rsid w:val="72230425"/>
    <w:rsid w:val="722D18F1"/>
    <w:rsid w:val="72323CC5"/>
    <w:rsid w:val="72336CE6"/>
    <w:rsid w:val="723906A9"/>
    <w:rsid w:val="723C01CD"/>
    <w:rsid w:val="724A6091"/>
    <w:rsid w:val="72522CC7"/>
    <w:rsid w:val="72526722"/>
    <w:rsid w:val="72587BCF"/>
    <w:rsid w:val="7259784A"/>
    <w:rsid w:val="72621A85"/>
    <w:rsid w:val="726241D7"/>
    <w:rsid w:val="726522EC"/>
    <w:rsid w:val="726A394F"/>
    <w:rsid w:val="726B4986"/>
    <w:rsid w:val="72721D14"/>
    <w:rsid w:val="7274158E"/>
    <w:rsid w:val="727F6DD8"/>
    <w:rsid w:val="728542A8"/>
    <w:rsid w:val="7285473C"/>
    <w:rsid w:val="728974C3"/>
    <w:rsid w:val="728A3BBB"/>
    <w:rsid w:val="728D2CCD"/>
    <w:rsid w:val="72917606"/>
    <w:rsid w:val="72985F82"/>
    <w:rsid w:val="729862DE"/>
    <w:rsid w:val="72A775C6"/>
    <w:rsid w:val="72AB5F51"/>
    <w:rsid w:val="72B20B8A"/>
    <w:rsid w:val="72B56DCF"/>
    <w:rsid w:val="72B74EF2"/>
    <w:rsid w:val="72B80D13"/>
    <w:rsid w:val="72C17F79"/>
    <w:rsid w:val="72C35E11"/>
    <w:rsid w:val="72D45624"/>
    <w:rsid w:val="72D512F3"/>
    <w:rsid w:val="72DB610A"/>
    <w:rsid w:val="72DB7F63"/>
    <w:rsid w:val="72E51264"/>
    <w:rsid w:val="72E6336D"/>
    <w:rsid w:val="72EA33C1"/>
    <w:rsid w:val="72ED13E1"/>
    <w:rsid w:val="72F47BB2"/>
    <w:rsid w:val="72FC298E"/>
    <w:rsid w:val="730257DC"/>
    <w:rsid w:val="73025D8D"/>
    <w:rsid w:val="7303179C"/>
    <w:rsid w:val="73033B79"/>
    <w:rsid w:val="730545B7"/>
    <w:rsid w:val="73081E54"/>
    <w:rsid w:val="731274E9"/>
    <w:rsid w:val="731A1328"/>
    <w:rsid w:val="731D1278"/>
    <w:rsid w:val="731D183A"/>
    <w:rsid w:val="73315CFD"/>
    <w:rsid w:val="73334198"/>
    <w:rsid w:val="73337CF4"/>
    <w:rsid w:val="733C64AE"/>
    <w:rsid w:val="733E463E"/>
    <w:rsid w:val="735036F8"/>
    <w:rsid w:val="73556EA0"/>
    <w:rsid w:val="735A7977"/>
    <w:rsid w:val="73614861"/>
    <w:rsid w:val="73634395"/>
    <w:rsid w:val="736B6A65"/>
    <w:rsid w:val="736C399E"/>
    <w:rsid w:val="736D49C9"/>
    <w:rsid w:val="736F0ED0"/>
    <w:rsid w:val="737B0FF6"/>
    <w:rsid w:val="737E5413"/>
    <w:rsid w:val="73830B94"/>
    <w:rsid w:val="73832A2A"/>
    <w:rsid w:val="738911A2"/>
    <w:rsid w:val="738A1B1F"/>
    <w:rsid w:val="73917744"/>
    <w:rsid w:val="73935AFE"/>
    <w:rsid w:val="7394451D"/>
    <w:rsid w:val="739C665A"/>
    <w:rsid w:val="73AD5CF9"/>
    <w:rsid w:val="73B03271"/>
    <w:rsid w:val="73B3289D"/>
    <w:rsid w:val="73BC7A35"/>
    <w:rsid w:val="73BE1E39"/>
    <w:rsid w:val="73C073DE"/>
    <w:rsid w:val="73C170D7"/>
    <w:rsid w:val="73D200E4"/>
    <w:rsid w:val="73E744DB"/>
    <w:rsid w:val="73E7745D"/>
    <w:rsid w:val="73F43927"/>
    <w:rsid w:val="73FE06A1"/>
    <w:rsid w:val="7407328E"/>
    <w:rsid w:val="740D45D3"/>
    <w:rsid w:val="74186C15"/>
    <w:rsid w:val="741D0F54"/>
    <w:rsid w:val="74220495"/>
    <w:rsid w:val="74246F03"/>
    <w:rsid w:val="742F3313"/>
    <w:rsid w:val="74324450"/>
    <w:rsid w:val="743D6C54"/>
    <w:rsid w:val="743E4BA3"/>
    <w:rsid w:val="744079BB"/>
    <w:rsid w:val="74530BB1"/>
    <w:rsid w:val="745A1120"/>
    <w:rsid w:val="745C1D1A"/>
    <w:rsid w:val="745F3497"/>
    <w:rsid w:val="746130B8"/>
    <w:rsid w:val="746224DF"/>
    <w:rsid w:val="74647AAB"/>
    <w:rsid w:val="746773D1"/>
    <w:rsid w:val="746C7962"/>
    <w:rsid w:val="74793E2D"/>
    <w:rsid w:val="747C1C85"/>
    <w:rsid w:val="747E4778"/>
    <w:rsid w:val="748B1F2B"/>
    <w:rsid w:val="748B3F42"/>
    <w:rsid w:val="748E002A"/>
    <w:rsid w:val="74915788"/>
    <w:rsid w:val="74915DF4"/>
    <w:rsid w:val="74A256BF"/>
    <w:rsid w:val="74A61AD3"/>
    <w:rsid w:val="74A97BAA"/>
    <w:rsid w:val="74B117A5"/>
    <w:rsid w:val="74B62A49"/>
    <w:rsid w:val="74B63EAA"/>
    <w:rsid w:val="74B87DFA"/>
    <w:rsid w:val="74CC568F"/>
    <w:rsid w:val="74D05757"/>
    <w:rsid w:val="74D627B0"/>
    <w:rsid w:val="74E24C0E"/>
    <w:rsid w:val="74E514C2"/>
    <w:rsid w:val="74EC45F0"/>
    <w:rsid w:val="750961C0"/>
    <w:rsid w:val="7510653F"/>
    <w:rsid w:val="751122B7"/>
    <w:rsid w:val="751F3560"/>
    <w:rsid w:val="7524023C"/>
    <w:rsid w:val="75263903"/>
    <w:rsid w:val="75276E01"/>
    <w:rsid w:val="752A64AA"/>
    <w:rsid w:val="752B6C79"/>
    <w:rsid w:val="753231B9"/>
    <w:rsid w:val="75351E1E"/>
    <w:rsid w:val="753B2D4D"/>
    <w:rsid w:val="75482501"/>
    <w:rsid w:val="754C28F1"/>
    <w:rsid w:val="754E7DE2"/>
    <w:rsid w:val="755317A2"/>
    <w:rsid w:val="75537000"/>
    <w:rsid w:val="7559369A"/>
    <w:rsid w:val="755C3532"/>
    <w:rsid w:val="75651B17"/>
    <w:rsid w:val="756920F3"/>
    <w:rsid w:val="756C5C63"/>
    <w:rsid w:val="75735E02"/>
    <w:rsid w:val="75736D1E"/>
    <w:rsid w:val="757C7B83"/>
    <w:rsid w:val="758B26A1"/>
    <w:rsid w:val="758E5275"/>
    <w:rsid w:val="758F757B"/>
    <w:rsid w:val="75A6403D"/>
    <w:rsid w:val="75A83AFD"/>
    <w:rsid w:val="75AC17C7"/>
    <w:rsid w:val="75AE31CE"/>
    <w:rsid w:val="75AF3A0A"/>
    <w:rsid w:val="75AF3FAA"/>
    <w:rsid w:val="75B838E8"/>
    <w:rsid w:val="75B84566"/>
    <w:rsid w:val="75BC0A98"/>
    <w:rsid w:val="75BD2A13"/>
    <w:rsid w:val="75BE25BF"/>
    <w:rsid w:val="75C50B8B"/>
    <w:rsid w:val="75CB2A52"/>
    <w:rsid w:val="75CD2682"/>
    <w:rsid w:val="75D14F52"/>
    <w:rsid w:val="75E41E06"/>
    <w:rsid w:val="75E94CF3"/>
    <w:rsid w:val="75F11C76"/>
    <w:rsid w:val="75F604BB"/>
    <w:rsid w:val="75F61EC8"/>
    <w:rsid w:val="75FE45EA"/>
    <w:rsid w:val="75FF1B0A"/>
    <w:rsid w:val="76153982"/>
    <w:rsid w:val="761A43BF"/>
    <w:rsid w:val="761A519B"/>
    <w:rsid w:val="761B7C6A"/>
    <w:rsid w:val="76205029"/>
    <w:rsid w:val="7634367F"/>
    <w:rsid w:val="763444AF"/>
    <w:rsid w:val="76346F09"/>
    <w:rsid w:val="763C0B5D"/>
    <w:rsid w:val="76433142"/>
    <w:rsid w:val="764B5AD4"/>
    <w:rsid w:val="765536B6"/>
    <w:rsid w:val="76566370"/>
    <w:rsid w:val="76577B6F"/>
    <w:rsid w:val="765B1A3C"/>
    <w:rsid w:val="76653E9C"/>
    <w:rsid w:val="766F54E7"/>
    <w:rsid w:val="767572B3"/>
    <w:rsid w:val="76760624"/>
    <w:rsid w:val="767A15E7"/>
    <w:rsid w:val="767F36DF"/>
    <w:rsid w:val="76867FAF"/>
    <w:rsid w:val="768E466E"/>
    <w:rsid w:val="76906E66"/>
    <w:rsid w:val="7692104F"/>
    <w:rsid w:val="769424B7"/>
    <w:rsid w:val="769E4BE6"/>
    <w:rsid w:val="76AB515A"/>
    <w:rsid w:val="76B34C0F"/>
    <w:rsid w:val="76B856AE"/>
    <w:rsid w:val="76BA0016"/>
    <w:rsid w:val="76BA690C"/>
    <w:rsid w:val="76BB2783"/>
    <w:rsid w:val="76BB2F16"/>
    <w:rsid w:val="76BF6130"/>
    <w:rsid w:val="76C71459"/>
    <w:rsid w:val="76CB4554"/>
    <w:rsid w:val="76D06541"/>
    <w:rsid w:val="76D31209"/>
    <w:rsid w:val="76E24EEB"/>
    <w:rsid w:val="76E31283"/>
    <w:rsid w:val="76E43D2A"/>
    <w:rsid w:val="76E557A9"/>
    <w:rsid w:val="76EB5B19"/>
    <w:rsid w:val="76ED3029"/>
    <w:rsid w:val="76EE2B7D"/>
    <w:rsid w:val="76F26B8C"/>
    <w:rsid w:val="76FD2AF3"/>
    <w:rsid w:val="77043DF3"/>
    <w:rsid w:val="77123A0D"/>
    <w:rsid w:val="77171753"/>
    <w:rsid w:val="772C282C"/>
    <w:rsid w:val="773B4DFD"/>
    <w:rsid w:val="774F434C"/>
    <w:rsid w:val="77502AF2"/>
    <w:rsid w:val="77515983"/>
    <w:rsid w:val="77610281"/>
    <w:rsid w:val="77655493"/>
    <w:rsid w:val="77667144"/>
    <w:rsid w:val="77720F60"/>
    <w:rsid w:val="7780778F"/>
    <w:rsid w:val="77844FC2"/>
    <w:rsid w:val="7788026B"/>
    <w:rsid w:val="778D033F"/>
    <w:rsid w:val="778D65D6"/>
    <w:rsid w:val="77921148"/>
    <w:rsid w:val="7799075D"/>
    <w:rsid w:val="77997037"/>
    <w:rsid w:val="779F5E89"/>
    <w:rsid w:val="77A21E33"/>
    <w:rsid w:val="77A83924"/>
    <w:rsid w:val="77B238DE"/>
    <w:rsid w:val="77BB4BE8"/>
    <w:rsid w:val="77C27A08"/>
    <w:rsid w:val="77C74452"/>
    <w:rsid w:val="77D428BE"/>
    <w:rsid w:val="77EA4239"/>
    <w:rsid w:val="77F07E62"/>
    <w:rsid w:val="77F17FE7"/>
    <w:rsid w:val="77FE2FC7"/>
    <w:rsid w:val="78000461"/>
    <w:rsid w:val="78013436"/>
    <w:rsid w:val="78027228"/>
    <w:rsid w:val="780879A1"/>
    <w:rsid w:val="780A196C"/>
    <w:rsid w:val="78257E65"/>
    <w:rsid w:val="782C2388"/>
    <w:rsid w:val="78434E7D"/>
    <w:rsid w:val="784E65F9"/>
    <w:rsid w:val="784F00A7"/>
    <w:rsid w:val="784F0420"/>
    <w:rsid w:val="78507E9F"/>
    <w:rsid w:val="785655A7"/>
    <w:rsid w:val="78592EDA"/>
    <w:rsid w:val="78623556"/>
    <w:rsid w:val="78686A92"/>
    <w:rsid w:val="7869159D"/>
    <w:rsid w:val="78697DBA"/>
    <w:rsid w:val="786B4497"/>
    <w:rsid w:val="78707967"/>
    <w:rsid w:val="787943FB"/>
    <w:rsid w:val="78857333"/>
    <w:rsid w:val="78872732"/>
    <w:rsid w:val="788904CA"/>
    <w:rsid w:val="78930094"/>
    <w:rsid w:val="789C0936"/>
    <w:rsid w:val="789D0945"/>
    <w:rsid w:val="78A9524D"/>
    <w:rsid w:val="78AA2807"/>
    <w:rsid w:val="78AA6CAB"/>
    <w:rsid w:val="78AC47ED"/>
    <w:rsid w:val="78AC5874"/>
    <w:rsid w:val="78B33DB1"/>
    <w:rsid w:val="78B50544"/>
    <w:rsid w:val="78B8684F"/>
    <w:rsid w:val="78BF56FC"/>
    <w:rsid w:val="78C135A7"/>
    <w:rsid w:val="78C55892"/>
    <w:rsid w:val="78CA5C37"/>
    <w:rsid w:val="78CC6C21"/>
    <w:rsid w:val="78CD4747"/>
    <w:rsid w:val="78D301CD"/>
    <w:rsid w:val="78D34F15"/>
    <w:rsid w:val="78D81A5A"/>
    <w:rsid w:val="78DA69F4"/>
    <w:rsid w:val="78EC6490"/>
    <w:rsid w:val="78ED1EAB"/>
    <w:rsid w:val="78EF0D4B"/>
    <w:rsid w:val="78F32D44"/>
    <w:rsid w:val="78F81A2A"/>
    <w:rsid w:val="78F96082"/>
    <w:rsid w:val="7908376D"/>
    <w:rsid w:val="79107DA2"/>
    <w:rsid w:val="79186672"/>
    <w:rsid w:val="791E4FA3"/>
    <w:rsid w:val="791F31F5"/>
    <w:rsid w:val="792B43B8"/>
    <w:rsid w:val="79305A9E"/>
    <w:rsid w:val="79393CCE"/>
    <w:rsid w:val="793F6038"/>
    <w:rsid w:val="794D2A9C"/>
    <w:rsid w:val="795175C9"/>
    <w:rsid w:val="79546E21"/>
    <w:rsid w:val="79596197"/>
    <w:rsid w:val="795B61AA"/>
    <w:rsid w:val="795E7BAD"/>
    <w:rsid w:val="7962698E"/>
    <w:rsid w:val="79703CA0"/>
    <w:rsid w:val="797A1D13"/>
    <w:rsid w:val="797F6E89"/>
    <w:rsid w:val="79860C21"/>
    <w:rsid w:val="798E71A6"/>
    <w:rsid w:val="79902EF9"/>
    <w:rsid w:val="799202F7"/>
    <w:rsid w:val="79927CA1"/>
    <w:rsid w:val="79993A28"/>
    <w:rsid w:val="799E1F6C"/>
    <w:rsid w:val="79A63C5D"/>
    <w:rsid w:val="79A82877"/>
    <w:rsid w:val="79AB4269"/>
    <w:rsid w:val="79B67782"/>
    <w:rsid w:val="79B811DD"/>
    <w:rsid w:val="79C45B4A"/>
    <w:rsid w:val="79CC0722"/>
    <w:rsid w:val="79CD2C51"/>
    <w:rsid w:val="79CF66BE"/>
    <w:rsid w:val="79D15139"/>
    <w:rsid w:val="79D20267"/>
    <w:rsid w:val="79D31D54"/>
    <w:rsid w:val="79DA59AF"/>
    <w:rsid w:val="79E15B86"/>
    <w:rsid w:val="79EF4932"/>
    <w:rsid w:val="79F44211"/>
    <w:rsid w:val="79F532FD"/>
    <w:rsid w:val="79FA4D9C"/>
    <w:rsid w:val="79FA5227"/>
    <w:rsid w:val="79FF5CF8"/>
    <w:rsid w:val="7A0942E6"/>
    <w:rsid w:val="7A0B4662"/>
    <w:rsid w:val="7A19011C"/>
    <w:rsid w:val="7A1A39BC"/>
    <w:rsid w:val="7A1A65CC"/>
    <w:rsid w:val="7A265AFF"/>
    <w:rsid w:val="7A291671"/>
    <w:rsid w:val="7A293706"/>
    <w:rsid w:val="7A317727"/>
    <w:rsid w:val="7A401675"/>
    <w:rsid w:val="7A403A3C"/>
    <w:rsid w:val="7A490A1F"/>
    <w:rsid w:val="7A5A2903"/>
    <w:rsid w:val="7A6362F7"/>
    <w:rsid w:val="7A6B74C7"/>
    <w:rsid w:val="7A715AC6"/>
    <w:rsid w:val="7A77168F"/>
    <w:rsid w:val="7A785CFA"/>
    <w:rsid w:val="7A824623"/>
    <w:rsid w:val="7A8D4131"/>
    <w:rsid w:val="7A8F27BB"/>
    <w:rsid w:val="7A912ECD"/>
    <w:rsid w:val="7A9C1776"/>
    <w:rsid w:val="7AA32C31"/>
    <w:rsid w:val="7AAC20A4"/>
    <w:rsid w:val="7AAC47A8"/>
    <w:rsid w:val="7AAC7EE0"/>
    <w:rsid w:val="7AB03845"/>
    <w:rsid w:val="7AB12572"/>
    <w:rsid w:val="7AB5627D"/>
    <w:rsid w:val="7ABB3D1B"/>
    <w:rsid w:val="7ABD0F17"/>
    <w:rsid w:val="7AC91A21"/>
    <w:rsid w:val="7ACF29F8"/>
    <w:rsid w:val="7AD63C16"/>
    <w:rsid w:val="7AD71DCF"/>
    <w:rsid w:val="7AD86CEC"/>
    <w:rsid w:val="7ADB75EF"/>
    <w:rsid w:val="7ADC7DA0"/>
    <w:rsid w:val="7AE01FB4"/>
    <w:rsid w:val="7AE03F4F"/>
    <w:rsid w:val="7AE746B7"/>
    <w:rsid w:val="7AF072A8"/>
    <w:rsid w:val="7AF3056E"/>
    <w:rsid w:val="7AF3458D"/>
    <w:rsid w:val="7AFB559C"/>
    <w:rsid w:val="7B015903"/>
    <w:rsid w:val="7B07552E"/>
    <w:rsid w:val="7B095F0A"/>
    <w:rsid w:val="7B113011"/>
    <w:rsid w:val="7B116F63"/>
    <w:rsid w:val="7B1C7CE1"/>
    <w:rsid w:val="7B1D1501"/>
    <w:rsid w:val="7B296890"/>
    <w:rsid w:val="7B2C0486"/>
    <w:rsid w:val="7B3615D3"/>
    <w:rsid w:val="7B366847"/>
    <w:rsid w:val="7B3C053F"/>
    <w:rsid w:val="7B461D9A"/>
    <w:rsid w:val="7B462A30"/>
    <w:rsid w:val="7B5B3B34"/>
    <w:rsid w:val="7B635E67"/>
    <w:rsid w:val="7B67294E"/>
    <w:rsid w:val="7B68207B"/>
    <w:rsid w:val="7B6929EE"/>
    <w:rsid w:val="7B693F60"/>
    <w:rsid w:val="7B697466"/>
    <w:rsid w:val="7B802233"/>
    <w:rsid w:val="7B901976"/>
    <w:rsid w:val="7B921005"/>
    <w:rsid w:val="7B9379B7"/>
    <w:rsid w:val="7B954CFC"/>
    <w:rsid w:val="7B962C5E"/>
    <w:rsid w:val="7BA059D2"/>
    <w:rsid w:val="7BA721B6"/>
    <w:rsid w:val="7BAB1326"/>
    <w:rsid w:val="7BAD2244"/>
    <w:rsid w:val="7BAD6154"/>
    <w:rsid w:val="7BB30DB7"/>
    <w:rsid w:val="7BB32D8F"/>
    <w:rsid w:val="7BB90C74"/>
    <w:rsid w:val="7BBA2B9C"/>
    <w:rsid w:val="7BBD6CF5"/>
    <w:rsid w:val="7BCC68E1"/>
    <w:rsid w:val="7BD04C7A"/>
    <w:rsid w:val="7BD52290"/>
    <w:rsid w:val="7BDE642B"/>
    <w:rsid w:val="7BF30AEA"/>
    <w:rsid w:val="7C015181"/>
    <w:rsid w:val="7C077F47"/>
    <w:rsid w:val="7C136A18"/>
    <w:rsid w:val="7C211118"/>
    <w:rsid w:val="7C34705D"/>
    <w:rsid w:val="7C3D62CC"/>
    <w:rsid w:val="7C507133"/>
    <w:rsid w:val="7C547659"/>
    <w:rsid w:val="7C5926CD"/>
    <w:rsid w:val="7C605FFE"/>
    <w:rsid w:val="7C617D8A"/>
    <w:rsid w:val="7C636706"/>
    <w:rsid w:val="7C742386"/>
    <w:rsid w:val="7C865339"/>
    <w:rsid w:val="7C876213"/>
    <w:rsid w:val="7C8A2309"/>
    <w:rsid w:val="7C8B2302"/>
    <w:rsid w:val="7C8B294F"/>
    <w:rsid w:val="7C8F5086"/>
    <w:rsid w:val="7C943710"/>
    <w:rsid w:val="7CA04F3E"/>
    <w:rsid w:val="7CA2660E"/>
    <w:rsid w:val="7CA3413D"/>
    <w:rsid w:val="7CA852AF"/>
    <w:rsid w:val="7CA91E61"/>
    <w:rsid w:val="7CAA7D73"/>
    <w:rsid w:val="7CC01702"/>
    <w:rsid w:val="7CC818F3"/>
    <w:rsid w:val="7CD62683"/>
    <w:rsid w:val="7CD662C0"/>
    <w:rsid w:val="7CDC693C"/>
    <w:rsid w:val="7CE11A37"/>
    <w:rsid w:val="7CE44ECC"/>
    <w:rsid w:val="7CE57099"/>
    <w:rsid w:val="7CE60EF2"/>
    <w:rsid w:val="7CE64489"/>
    <w:rsid w:val="7CE767B9"/>
    <w:rsid w:val="7CEA1FD8"/>
    <w:rsid w:val="7CEF7382"/>
    <w:rsid w:val="7CF14806"/>
    <w:rsid w:val="7CF33DAD"/>
    <w:rsid w:val="7D083FA0"/>
    <w:rsid w:val="7D0E4DC8"/>
    <w:rsid w:val="7D103BB7"/>
    <w:rsid w:val="7D183E73"/>
    <w:rsid w:val="7D1C2F4F"/>
    <w:rsid w:val="7D1E6301"/>
    <w:rsid w:val="7D1F7F50"/>
    <w:rsid w:val="7D274E3A"/>
    <w:rsid w:val="7D293C44"/>
    <w:rsid w:val="7D2F59D0"/>
    <w:rsid w:val="7D302B61"/>
    <w:rsid w:val="7D3C2ED9"/>
    <w:rsid w:val="7D480BBF"/>
    <w:rsid w:val="7D4E22FA"/>
    <w:rsid w:val="7D5265B5"/>
    <w:rsid w:val="7D585220"/>
    <w:rsid w:val="7D5B2BB7"/>
    <w:rsid w:val="7D5E2BA7"/>
    <w:rsid w:val="7D613875"/>
    <w:rsid w:val="7D64006E"/>
    <w:rsid w:val="7D653675"/>
    <w:rsid w:val="7D695DF4"/>
    <w:rsid w:val="7D717C61"/>
    <w:rsid w:val="7D7A5263"/>
    <w:rsid w:val="7D7C5CA5"/>
    <w:rsid w:val="7D86434E"/>
    <w:rsid w:val="7D8865C3"/>
    <w:rsid w:val="7D9615AC"/>
    <w:rsid w:val="7D98438D"/>
    <w:rsid w:val="7D9D4E16"/>
    <w:rsid w:val="7DA16B29"/>
    <w:rsid w:val="7DAF1BFE"/>
    <w:rsid w:val="7DB167FE"/>
    <w:rsid w:val="7DB22BDF"/>
    <w:rsid w:val="7DB24D10"/>
    <w:rsid w:val="7DB303AF"/>
    <w:rsid w:val="7DB36C9D"/>
    <w:rsid w:val="7DB61C4E"/>
    <w:rsid w:val="7DBB19CC"/>
    <w:rsid w:val="7DC03EB2"/>
    <w:rsid w:val="7DC21435"/>
    <w:rsid w:val="7DCD6D23"/>
    <w:rsid w:val="7DD1547A"/>
    <w:rsid w:val="7DD21539"/>
    <w:rsid w:val="7DE04C0A"/>
    <w:rsid w:val="7DFB58B2"/>
    <w:rsid w:val="7DFD0B16"/>
    <w:rsid w:val="7DFD4804"/>
    <w:rsid w:val="7DFF1524"/>
    <w:rsid w:val="7E056B43"/>
    <w:rsid w:val="7E123328"/>
    <w:rsid w:val="7E1A6A3A"/>
    <w:rsid w:val="7E1D1BAF"/>
    <w:rsid w:val="7E337128"/>
    <w:rsid w:val="7E370FE0"/>
    <w:rsid w:val="7E3836A2"/>
    <w:rsid w:val="7E402C2A"/>
    <w:rsid w:val="7E4D25B2"/>
    <w:rsid w:val="7E5B19E1"/>
    <w:rsid w:val="7E5B7093"/>
    <w:rsid w:val="7E5E1ED3"/>
    <w:rsid w:val="7E631DD5"/>
    <w:rsid w:val="7E643E29"/>
    <w:rsid w:val="7E6E7F29"/>
    <w:rsid w:val="7E6F034B"/>
    <w:rsid w:val="7E722019"/>
    <w:rsid w:val="7E725300"/>
    <w:rsid w:val="7E792BFF"/>
    <w:rsid w:val="7E794DEB"/>
    <w:rsid w:val="7E7A4641"/>
    <w:rsid w:val="7E8A186F"/>
    <w:rsid w:val="7E8B30DA"/>
    <w:rsid w:val="7E8B6C36"/>
    <w:rsid w:val="7E8D1437"/>
    <w:rsid w:val="7E900275"/>
    <w:rsid w:val="7E9119AE"/>
    <w:rsid w:val="7E917FD7"/>
    <w:rsid w:val="7E955B89"/>
    <w:rsid w:val="7E957C90"/>
    <w:rsid w:val="7E98086D"/>
    <w:rsid w:val="7E9D0D32"/>
    <w:rsid w:val="7E9E3E85"/>
    <w:rsid w:val="7EAA3ED2"/>
    <w:rsid w:val="7EAF501B"/>
    <w:rsid w:val="7EB16246"/>
    <w:rsid w:val="7EBC1D77"/>
    <w:rsid w:val="7EBC3294"/>
    <w:rsid w:val="7EBC6535"/>
    <w:rsid w:val="7EBD1059"/>
    <w:rsid w:val="7EBD1364"/>
    <w:rsid w:val="7EBE562E"/>
    <w:rsid w:val="7EC024D1"/>
    <w:rsid w:val="7EC17763"/>
    <w:rsid w:val="7EC860DC"/>
    <w:rsid w:val="7ECD341B"/>
    <w:rsid w:val="7ED81DED"/>
    <w:rsid w:val="7EDF693E"/>
    <w:rsid w:val="7EE43B13"/>
    <w:rsid w:val="7EEA0734"/>
    <w:rsid w:val="7EF31F0A"/>
    <w:rsid w:val="7F01092A"/>
    <w:rsid w:val="7F020223"/>
    <w:rsid w:val="7F023F21"/>
    <w:rsid w:val="7F051A7F"/>
    <w:rsid w:val="7F095643"/>
    <w:rsid w:val="7F0B0F6D"/>
    <w:rsid w:val="7F0F1615"/>
    <w:rsid w:val="7F105B91"/>
    <w:rsid w:val="7F1139DD"/>
    <w:rsid w:val="7F162714"/>
    <w:rsid w:val="7F166E48"/>
    <w:rsid w:val="7F1738A6"/>
    <w:rsid w:val="7F1E397F"/>
    <w:rsid w:val="7F2257ED"/>
    <w:rsid w:val="7F2749A4"/>
    <w:rsid w:val="7F2B1BC1"/>
    <w:rsid w:val="7F315CD7"/>
    <w:rsid w:val="7F364C2D"/>
    <w:rsid w:val="7F38756D"/>
    <w:rsid w:val="7F3B065C"/>
    <w:rsid w:val="7F53104E"/>
    <w:rsid w:val="7F5E3D19"/>
    <w:rsid w:val="7F602705"/>
    <w:rsid w:val="7F651B34"/>
    <w:rsid w:val="7F6629EE"/>
    <w:rsid w:val="7F6913C6"/>
    <w:rsid w:val="7F6F7621"/>
    <w:rsid w:val="7F7122D0"/>
    <w:rsid w:val="7F7247E0"/>
    <w:rsid w:val="7F770FE5"/>
    <w:rsid w:val="7F7B33CE"/>
    <w:rsid w:val="7F8B1F57"/>
    <w:rsid w:val="7F8C2EDE"/>
    <w:rsid w:val="7F9756B6"/>
    <w:rsid w:val="7FA97FCE"/>
    <w:rsid w:val="7FC12E04"/>
    <w:rsid w:val="7FC1780A"/>
    <w:rsid w:val="7FD01FE6"/>
    <w:rsid w:val="7FD40715"/>
    <w:rsid w:val="7FD46F32"/>
    <w:rsid w:val="7FD90892"/>
    <w:rsid w:val="7FF14AA5"/>
    <w:rsid w:val="7FF53F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0"/>
    <w:pPr>
      <w:keepNext/>
      <w:keepLines/>
      <w:pageBreakBefore/>
      <w:spacing w:line="360" w:lineRule="auto"/>
      <w:outlineLvl w:val="0"/>
    </w:pPr>
    <w:rPr>
      <w:rFonts w:eastAsia="黑体"/>
      <w:b/>
      <w:bCs/>
      <w:kern w:val="44"/>
      <w:sz w:val="28"/>
      <w:szCs w:val="44"/>
    </w:rPr>
  </w:style>
  <w:style w:type="paragraph" w:styleId="5">
    <w:name w:val="heading 2"/>
    <w:basedOn w:val="1"/>
    <w:next w:val="1"/>
    <w:autoRedefine/>
    <w:qFormat/>
    <w:uiPriority w:val="0"/>
    <w:pPr>
      <w:keepNext/>
      <w:keepLines/>
      <w:adjustRightInd w:val="0"/>
      <w:spacing w:line="348" w:lineRule="auto"/>
      <w:textAlignment w:val="baseline"/>
      <w:outlineLvl w:val="1"/>
    </w:pPr>
    <w:rPr>
      <w:b/>
      <w:kern w:val="0"/>
      <w:sz w:val="28"/>
    </w:rPr>
  </w:style>
  <w:style w:type="paragraph" w:styleId="6">
    <w:name w:val="heading 3"/>
    <w:basedOn w:val="1"/>
    <w:next w:val="1"/>
    <w:autoRedefine/>
    <w:qFormat/>
    <w:uiPriority w:val="0"/>
    <w:pPr>
      <w:keepNext/>
      <w:keepLines/>
      <w:adjustRightInd w:val="0"/>
      <w:spacing w:line="348" w:lineRule="auto"/>
      <w:textAlignment w:val="baseline"/>
      <w:outlineLvl w:val="2"/>
    </w:pPr>
    <w:rPr>
      <w:kern w:val="0"/>
      <w:sz w:val="28"/>
    </w:rPr>
  </w:style>
  <w:style w:type="paragraph" w:styleId="7">
    <w:name w:val="heading 4"/>
    <w:basedOn w:val="1"/>
    <w:next w:val="1"/>
    <w:autoRedefine/>
    <w:qFormat/>
    <w:uiPriority w:val="0"/>
    <w:pPr>
      <w:keepNext/>
      <w:keepLines/>
      <w:adjustRightInd w:val="0"/>
      <w:spacing w:line="348" w:lineRule="auto"/>
      <w:textAlignment w:val="baseline"/>
      <w:outlineLvl w:val="3"/>
    </w:pPr>
    <w:rPr>
      <w:kern w:val="0"/>
      <w:sz w:val="28"/>
    </w:rPr>
  </w:style>
  <w:style w:type="paragraph" w:styleId="8">
    <w:name w:val="heading 5"/>
    <w:basedOn w:val="1"/>
    <w:next w:val="1"/>
    <w:link w:val="68"/>
    <w:autoRedefine/>
    <w:qFormat/>
    <w:uiPriority w:val="0"/>
    <w:pPr>
      <w:keepNext/>
      <w:keepLines/>
      <w:adjustRightInd w:val="0"/>
      <w:spacing w:line="348" w:lineRule="auto"/>
      <w:textAlignment w:val="baseline"/>
      <w:outlineLvl w:val="4"/>
    </w:pPr>
    <w:rPr>
      <w:kern w:val="0"/>
      <w:sz w:val="28"/>
    </w:rPr>
  </w:style>
  <w:style w:type="paragraph" w:styleId="9">
    <w:name w:val="heading 6"/>
    <w:basedOn w:val="1"/>
    <w:next w:val="1"/>
    <w:autoRedefine/>
    <w:qFormat/>
    <w:uiPriority w:val="0"/>
    <w:pPr>
      <w:keepNext/>
      <w:keepLines/>
      <w:adjustRightInd w:val="0"/>
      <w:spacing w:line="348" w:lineRule="auto"/>
      <w:textAlignment w:val="baseline"/>
      <w:outlineLvl w:val="5"/>
    </w:pPr>
    <w:rPr>
      <w:kern w:val="0"/>
      <w:sz w:val="28"/>
    </w:rPr>
  </w:style>
  <w:style w:type="paragraph" w:styleId="10">
    <w:name w:val="heading 7"/>
    <w:basedOn w:val="1"/>
    <w:next w:val="1"/>
    <w:autoRedefine/>
    <w:qFormat/>
    <w:uiPriority w:val="0"/>
    <w:pPr>
      <w:keepNext/>
      <w:keepLines/>
      <w:adjustRightInd w:val="0"/>
      <w:spacing w:line="348" w:lineRule="auto"/>
      <w:textAlignment w:val="baseline"/>
      <w:outlineLvl w:val="6"/>
    </w:pPr>
    <w:rPr>
      <w:kern w:val="0"/>
      <w:sz w:val="28"/>
    </w:rPr>
  </w:style>
  <w:style w:type="paragraph" w:styleId="11">
    <w:name w:val="heading 8"/>
    <w:basedOn w:val="1"/>
    <w:next w:val="1"/>
    <w:autoRedefine/>
    <w:qFormat/>
    <w:uiPriority w:val="0"/>
    <w:pPr>
      <w:keepNext/>
      <w:keepLines/>
      <w:adjustRightInd w:val="0"/>
      <w:spacing w:line="348" w:lineRule="auto"/>
      <w:textAlignment w:val="baseline"/>
      <w:outlineLvl w:val="7"/>
    </w:pPr>
    <w:rPr>
      <w:kern w:val="0"/>
      <w:sz w:val="28"/>
    </w:rPr>
  </w:style>
  <w:style w:type="paragraph" w:styleId="12">
    <w:name w:val="heading 9"/>
    <w:basedOn w:val="1"/>
    <w:next w:val="1"/>
    <w:autoRedefine/>
    <w:qFormat/>
    <w:uiPriority w:val="0"/>
    <w:pPr>
      <w:keepNext/>
      <w:keepLines/>
      <w:adjustRightInd w:val="0"/>
      <w:spacing w:line="348" w:lineRule="auto"/>
      <w:textAlignment w:val="baseline"/>
      <w:outlineLvl w:val="8"/>
    </w:pPr>
    <w:rPr>
      <w:kern w:val="0"/>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74"/>
    <w:autoRedefine/>
    <w:qFormat/>
    <w:uiPriority w:val="0"/>
    <w:pPr>
      <w:spacing w:after="120" w:line="240" w:lineRule="auto"/>
      <w:ind w:right="0" w:firstLine="420" w:firstLineChars="100"/>
    </w:pPr>
    <w:rPr>
      <w:rFonts w:ascii="Times New Roman"/>
      <w:sz w:val="21"/>
    </w:rPr>
  </w:style>
  <w:style w:type="paragraph" w:styleId="3">
    <w:name w:val="Body Text"/>
    <w:basedOn w:val="1"/>
    <w:next w:val="1"/>
    <w:autoRedefine/>
    <w:qFormat/>
    <w:uiPriority w:val="0"/>
    <w:pPr>
      <w:spacing w:line="240" w:lineRule="atLeast"/>
      <w:ind w:right="-154"/>
    </w:pPr>
    <w:rPr>
      <w:rFonts w:ascii="宋体"/>
      <w:sz w:val="24"/>
    </w:rPr>
  </w:style>
  <w:style w:type="paragraph" w:styleId="13">
    <w:name w:val="Normal Indent"/>
    <w:basedOn w:val="1"/>
    <w:next w:val="1"/>
    <w:link w:val="46"/>
    <w:autoRedefine/>
    <w:qFormat/>
    <w:uiPriority w:val="0"/>
    <w:pPr>
      <w:ind w:firstLine="200" w:firstLineChars="200"/>
    </w:pPr>
    <w:rPr>
      <w:sz w:val="28"/>
      <w:szCs w:val="24"/>
    </w:rPr>
  </w:style>
  <w:style w:type="paragraph" w:styleId="14">
    <w:name w:val="List Bullet"/>
    <w:basedOn w:val="1"/>
    <w:autoRedefine/>
    <w:qFormat/>
    <w:uiPriority w:val="0"/>
    <w:pPr>
      <w:tabs>
        <w:tab w:val="left" w:pos="360"/>
        <w:tab w:val="left" w:pos="883"/>
      </w:tabs>
      <w:ind w:left="883" w:hanging="360"/>
    </w:pPr>
  </w:style>
  <w:style w:type="paragraph" w:styleId="15">
    <w:name w:val="Document Map"/>
    <w:basedOn w:val="1"/>
    <w:link w:val="69"/>
    <w:autoRedefine/>
    <w:qFormat/>
    <w:uiPriority w:val="0"/>
    <w:pPr>
      <w:shd w:val="clear" w:color="auto" w:fill="000080"/>
    </w:pPr>
  </w:style>
  <w:style w:type="paragraph" w:styleId="16">
    <w:name w:val="annotation text"/>
    <w:basedOn w:val="1"/>
    <w:link w:val="85"/>
    <w:autoRedefine/>
    <w:qFormat/>
    <w:uiPriority w:val="0"/>
    <w:pPr>
      <w:jc w:val="left"/>
    </w:pPr>
  </w:style>
  <w:style w:type="paragraph" w:styleId="17">
    <w:name w:val="Body Text 3"/>
    <w:basedOn w:val="1"/>
    <w:autoRedefine/>
    <w:qFormat/>
    <w:uiPriority w:val="0"/>
    <w:rPr>
      <w:rFonts w:ascii="宋体"/>
    </w:rPr>
  </w:style>
  <w:style w:type="paragraph" w:styleId="18">
    <w:name w:val="Body Text Indent"/>
    <w:basedOn w:val="1"/>
    <w:next w:val="19"/>
    <w:link w:val="65"/>
    <w:autoRedefine/>
    <w:qFormat/>
    <w:uiPriority w:val="0"/>
    <w:pPr>
      <w:spacing w:line="360" w:lineRule="auto"/>
      <w:ind w:firstLine="480"/>
    </w:pPr>
    <w:rPr>
      <w:sz w:val="24"/>
    </w:rPr>
  </w:style>
  <w:style w:type="paragraph" w:styleId="19">
    <w:name w:val="Body Text Indent 2"/>
    <w:basedOn w:val="1"/>
    <w:next w:val="20"/>
    <w:autoRedefine/>
    <w:qFormat/>
    <w:uiPriority w:val="0"/>
    <w:pPr>
      <w:spacing w:line="360" w:lineRule="auto"/>
      <w:ind w:firstLine="480" w:firstLineChars="200"/>
    </w:pPr>
    <w:rPr>
      <w:color w:val="000000"/>
      <w:sz w:val="24"/>
    </w:rPr>
  </w:style>
  <w:style w:type="paragraph" w:styleId="20">
    <w:name w:val="Body Text First Indent 2"/>
    <w:basedOn w:val="18"/>
    <w:next w:val="2"/>
    <w:qFormat/>
    <w:uiPriority w:val="0"/>
    <w:pPr>
      <w:spacing w:after="120"/>
      <w:ind w:left="420" w:leftChars="200" w:firstLine="420" w:firstLineChars="200"/>
    </w:pPr>
    <w:rPr>
      <w:rFonts w:ascii="Times New Roman" w:eastAsia="宋体"/>
      <w:sz w:val="21"/>
    </w:rPr>
  </w:style>
  <w:style w:type="paragraph" w:styleId="21">
    <w:name w:val="Plain Text"/>
    <w:basedOn w:val="1"/>
    <w:next w:val="1"/>
    <w:link w:val="67"/>
    <w:autoRedefine/>
    <w:qFormat/>
    <w:uiPriority w:val="0"/>
    <w:rPr>
      <w:rFonts w:ascii="宋体" w:hAnsi="Courier New"/>
    </w:rPr>
  </w:style>
  <w:style w:type="paragraph" w:styleId="22">
    <w:name w:val="List Bullet 5"/>
    <w:basedOn w:val="1"/>
    <w:semiHidden/>
    <w:unhideWhenUsed/>
    <w:qFormat/>
    <w:uiPriority w:val="0"/>
    <w:pPr>
      <w:numPr>
        <w:ilvl w:val="0"/>
        <w:numId w:val="1"/>
      </w:numPr>
    </w:pPr>
  </w:style>
  <w:style w:type="paragraph" w:styleId="23">
    <w:name w:val="toc 8"/>
    <w:basedOn w:val="1"/>
    <w:next w:val="1"/>
    <w:autoRedefine/>
    <w:qFormat/>
    <w:uiPriority w:val="0"/>
    <w:pPr>
      <w:adjustRightInd w:val="0"/>
      <w:snapToGrid w:val="0"/>
      <w:spacing w:line="312" w:lineRule="auto"/>
      <w:ind w:left="1960"/>
      <w:jc w:val="left"/>
    </w:pPr>
    <w:rPr>
      <w:rFonts w:eastAsia="仿宋_GB2312"/>
      <w:sz w:val="28"/>
      <w:szCs w:val="21"/>
    </w:rPr>
  </w:style>
  <w:style w:type="paragraph" w:styleId="24">
    <w:name w:val="Balloon Text"/>
    <w:basedOn w:val="1"/>
    <w:autoRedefine/>
    <w:qFormat/>
    <w:uiPriority w:val="0"/>
    <w:rPr>
      <w:sz w:val="18"/>
      <w:szCs w:val="18"/>
    </w:rPr>
  </w:style>
  <w:style w:type="paragraph" w:styleId="25">
    <w:name w:val="footer"/>
    <w:basedOn w:val="1"/>
    <w:link w:val="80"/>
    <w:autoRedefine/>
    <w:qFormat/>
    <w:uiPriority w:val="99"/>
    <w:pPr>
      <w:tabs>
        <w:tab w:val="center" w:pos="4153"/>
        <w:tab w:val="right" w:pos="8306"/>
      </w:tabs>
      <w:snapToGrid w:val="0"/>
      <w:jc w:val="left"/>
    </w:pPr>
    <w:rPr>
      <w:sz w:val="18"/>
      <w:szCs w:val="18"/>
    </w:rPr>
  </w:style>
  <w:style w:type="paragraph" w:styleId="26">
    <w:name w:val="header"/>
    <w:basedOn w:val="1"/>
    <w:link w:val="73"/>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pPr>
      <w:tabs>
        <w:tab w:val="left" w:pos="420"/>
        <w:tab w:val="right" w:leader="dot" w:pos="8303"/>
      </w:tabs>
    </w:pPr>
    <w:rPr>
      <w:rFonts w:ascii="仿宋_GB2312" w:hAnsi="Arial Black" w:eastAsia="仿宋_GB2312"/>
      <w:sz w:val="28"/>
    </w:rPr>
  </w:style>
  <w:style w:type="paragraph" w:styleId="28">
    <w:name w:val="List"/>
    <w:basedOn w:val="1"/>
    <w:autoRedefine/>
    <w:qFormat/>
    <w:uiPriority w:val="0"/>
    <w:pPr>
      <w:spacing w:line="360" w:lineRule="auto"/>
    </w:pPr>
    <w:rPr>
      <w:sz w:val="24"/>
    </w:rPr>
  </w:style>
  <w:style w:type="paragraph" w:styleId="29">
    <w:name w:val="Body Text Indent 3"/>
    <w:basedOn w:val="1"/>
    <w:autoRedefine/>
    <w:qFormat/>
    <w:uiPriority w:val="0"/>
    <w:pPr>
      <w:tabs>
        <w:tab w:val="left" w:pos="604"/>
      </w:tabs>
      <w:spacing w:line="360" w:lineRule="auto"/>
      <w:ind w:firstLine="600"/>
    </w:pPr>
    <w:rPr>
      <w:sz w:val="24"/>
      <w:szCs w:val="24"/>
    </w:rPr>
  </w:style>
  <w:style w:type="paragraph" w:styleId="30">
    <w:name w:val="Body Text 2"/>
    <w:basedOn w:val="1"/>
    <w:link w:val="75"/>
    <w:autoRedefine/>
    <w:qFormat/>
    <w:uiPriority w:val="0"/>
    <w:rPr>
      <w:b/>
      <w:bCs/>
      <w:sz w:val="24"/>
    </w:rPr>
  </w:style>
  <w:style w:type="paragraph" w:styleId="3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32">
    <w:name w:val="Normal (Web)"/>
    <w:basedOn w:val="1"/>
    <w:next w:val="1"/>
    <w:autoRedefine/>
    <w:qFormat/>
    <w:uiPriority w:val="99"/>
    <w:pPr>
      <w:widowControl/>
      <w:spacing w:before="100" w:beforeAutospacing="1" w:after="100" w:afterAutospacing="1"/>
      <w:jc w:val="left"/>
    </w:pPr>
    <w:rPr>
      <w:rFonts w:ascii="宋体" w:hAnsi="宋体" w:cs="宋体"/>
      <w:color w:val="333333"/>
      <w:kern w:val="0"/>
      <w:sz w:val="18"/>
      <w:szCs w:val="18"/>
    </w:rPr>
  </w:style>
  <w:style w:type="paragraph" w:styleId="33">
    <w:name w:val="Title"/>
    <w:basedOn w:val="1"/>
    <w:next w:val="1"/>
    <w:link w:val="77"/>
    <w:autoRedefine/>
    <w:qFormat/>
    <w:uiPriority w:val="0"/>
    <w:pPr>
      <w:spacing w:before="240" w:after="60"/>
      <w:jc w:val="center"/>
      <w:outlineLvl w:val="0"/>
    </w:pPr>
    <w:rPr>
      <w:rFonts w:ascii="Cambria" w:hAnsi="Cambria"/>
      <w:b/>
      <w:bCs/>
      <w:sz w:val="32"/>
      <w:szCs w:val="32"/>
    </w:rPr>
  </w:style>
  <w:style w:type="paragraph" w:styleId="34">
    <w:name w:val="annotation subject"/>
    <w:basedOn w:val="16"/>
    <w:next w:val="16"/>
    <w:autoRedefine/>
    <w:qFormat/>
    <w:uiPriority w:val="0"/>
    <w:rPr>
      <w:b/>
      <w:bCs/>
    </w:r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rPr>
  </w:style>
  <w:style w:type="character" w:styleId="39">
    <w:name w:val="page number"/>
    <w:basedOn w:val="37"/>
    <w:autoRedefine/>
    <w:qFormat/>
    <w:uiPriority w:val="0"/>
  </w:style>
  <w:style w:type="character" w:styleId="40">
    <w:name w:val="Emphasis"/>
    <w:basedOn w:val="37"/>
    <w:autoRedefine/>
    <w:qFormat/>
    <w:uiPriority w:val="0"/>
    <w:rPr>
      <w:i/>
    </w:rPr>
  </w:style>
  <w:style w:type="character" w:styleId="41">
    <w:name w:val="Hyperlink"/>
    <w:autoRedefine/>
    <w:qFormat/>
    <w:uiPriority w:val="0"/>
    <w:rPr>
      <w:color w:val="0000FF"/>
      <w:u w:val="single"/>
    </w:rPr>
  </w:style>
  <w:style w:type="character" w:styleId="42">
    <w:name w:val="annotation reference"/>
    <w:autoRedefine/>
    <w:qFormat/>
    <w:uiPriority w:val="0"/>
    <w:rPr>
      <w:sz w:val="21"/>
      <w:szCs w:val="21"/>
    </w:rPr>
  </w:style>
  <w:style w:type="paragraph" w:customStyle="1" w:styleId="43">
    <w:name w:val="Default"/>
    <w:basedOn w:val="44"/>
    <w:next w:val="1"/>
    <w:autoRedefine/>
    <w:qFormat/>
    <w:uiPriority w:val="0"/>
    <w:pPr>
      <w:widowControl w:val="0"/>
      <w:autoSpaceDE w:val="0"/>
      <w:autoSpaceDN w:val="0"/>
      <w:adjustRightInd w:val="0"/>
      <w:spacing w:line="360" w:lineRule="auto"/>
    </w:pPr>
    <w:rPr>
      <w:rFonts w:ascii="宋体" w:hAnsi="宋体" w:eastAsia="宋体" w:cs="宋体"/>
      <w:color w:val="000000"/>
      <w:sz w:val="24"/>
      <w:szCs w:val="24"/>
      <w:lang w:val="en-US" w:eastAsia="zh-CN" w:bidi="ar-SA"/>
    </w:rPr>
  </w:style>
  <w:style w:type="paragraph" w:customStyle="1" w:styleId="44">
    <w:name w:val="纯文本1"/>
    <w:basedOn w:val="1"/>
    <w:qFormat/>
    <w:uiPriority w:val="0"/>
    <w:pPr>
      <w:adjustRightInd w:val="0"/>
    </w:pPr>
    <w:rPr>
      <w:rFonts w:ascii="宋体" w:hAnsi="Courier New"/>
      <w:szCs w:val="20"/>
    </w:rPr>
  </w:style>
  <w:style w:type="paragraph" w:customStyle="1" w:styleId="45">
    <w:name w:val="本文正文"/>
    <w:basedOn w:val="1"/>
    <w:autoRedefine/>
    <w:qFormat/>
    <w:uiPriority w:val="99"/>
    <w:pPr>
      <w:ind w:firstLine="480" w:firstLineChars="200"/>
    </w:pPr>
  </w:style>
  <w:style w:type="character" w:customStyle="1" w:styleId="46">
    <w:name w:val="正文缩进 Char"/>
    <w:link w:val="13"/>
    <w:autoRedefine/>
    <w:qFormat/>
    <w:uiPriority w:val="0"/>
    <w:rPr>
      <w:rFonts w:eastAsia="宋体"/>
      <w:kern w:val="2"/>
      <w:sz w:val="28"/>
      <w:szCs w:val="24"/>
      <w:lang w:val="en-US" w:eastAsia="zh-CN" w:bidi="ar-SA"/>
    </w:rPr>
  </w:style>
  <w:style w:type="character" w:customStyle="1" w:styleId="47">
    <w:name w:val="postbody"/>
    <w:basedOn w:val="37"/>
    <w:autoRedefine/>
    <w:qFormat/>
    <w:uiPriority w:val="0"/>
  </w:style>
  <w:style w:type="character" w:customStyle="1" w:styleId="48">
    <w:name w:val="subject31"/>
    <w:autoRedefine/>
    <w:qFormat/>
    <w:uiPriority w:val="0"/>
    <w:rPr>
      <w:sz w:val="21"/>
      <w:szCs w:val="21"/>
    </w:rPr>
  </w:style>
  <w:style w:type="paragraph" w:customStyle="1" w:styleId="49">
    <w:name w:val="Char Char Char Char Char Char Char Char Char Char Char Char Char Char Char Char Char Char"/>
    <w:basedOn w:val="1"/>
    <w:autoRedefine/>
    <w:qFormat/>
    <w:uiPriority w:val="0"/>
    <w:rPr>
      <w:sz w:val="24"/>
      <w:szCs w:val="24"/>
    </w:rPr>
  </w:style>
  <w:style w:type="paragraph" w:customStyle="1" w:styleId="50">
    <w:name w:val="2"/>
    <w:basedOn w:val="1"/>
    <w:next w:val="13"/>
    <w:autoRedefine/>
    <w:qFormat/>
    <w:uiPriority w:val="0"/>
    <w:pPr>
      <w:adjustRightInd w:val="0"/>
      <w:snapToGrid w:val="0"/>
      <w:spacing w:line="300" w:lineRule="auto"/>
      <w:ind w:firstLine="200" w:firstLineChars="200"/>
    </w:pPr>
    <w:rPr>
      <w:rFonts w:ascii="仿宋_GB2312" w:eastAsia="仿宋_GB2312"/>
      <w:color w:val="000000"/>
      <w:sz w:val="28"/>
      <w:szCs w:val="24"/>
    </w:rPr>
  </w:style>
  <w:style w:type="paragraph" w:customStyle="1" w:styleId="51">
    <w:name w:val="Char Char Char"/>
    <w:basedOn w:val="1"/>
    <w:autoRedefine/>
    <w:qFormat/>
    <w:uiPriority w:val="0"/>
    <w:rPr>
      <w:sz w:val="24"/>
      <w:szCs w:val="24"/>
    </w:rPr>
  </w:style>
  <w:style w:type="paragraph" w:customStyle="1" w:styleId="52">
    <w:name w:val="1 Char Char Char Char Char Char Char Char"/>
    <w:basedOn w:val="1"/>
    <w:autoRedefine/>
    <w:qFormat/>
    <w:uiPriority w:val="0"/>
    <w:rPr>
      <w:sz w:val="24"/>
      <w:szCs w:val="24"/>
    </w:rPr>
  </w:style>
  <w:style w:type="paragraph" w:customStyle="1" w:styleId="53">
    <w:name w:val="表格"/>
    <w:basedOn w:val="1"/>
    <w:next w:val="1"/>
    <w:link w:val="66"/>
    <w:autoRedefine/>
    <w:qFormat/>
    <w:uiPriority w:val="0"/>
    <w:pPr>
      <w:jc w:val="center"/>
    </w:pPr>
    <w:rPr>
      <w:sz w:val="24"/>
      <w:szCs w:val="24"/>
    </w:rPr>
  </w:style>
  <w:style w:type="paragraph" w:customStyle="1" w:styleId="54">
    <w:name w:val="默认段落字体 Para Char Char Char Char Char Char Char Char Char Char Char Char Char Char Char Char Char Char Char Char Char Char Char Char Char"/>
    <w:basedOn w:val="1"/>
    <w:autoRedefine/>
    <w:qFormat/>
    <w:uiPriority w:val="0"/>
    <w:rPr>
      <w:sz w:val="24"/>
      <w:szCs w:val="24"/>
    </w:rPr>
  </w:style>
  <w:style w:type="paragraph" w:customStyle="1" w:styleId="55">
    <w:name w:val="默认段落字体 Para Char Char Char Char"/>
    <w:basedOn w:val="1"/>
    <w:autoRedefine/>
    <w:qFormat/>
    <w:uiPriority w:val="0"/>
    <w:rPr>
      <w:sz w:val="24"/>
      <w:szCs w:val="24"/>
    </w:rPr>
  </w:style>
  <w:style w:type="paragraph" w:customStyle="1" w:styleId="56">
    <w:name w:val="小四表文左齐"/>
    <w:basedOn w:val="1"/>
    <w:next w:val="1"/>
    <w:autoRedefine/>
    <w:qFormat/>
    <w:uiPriority w:val="0"/>
    <w:pPr>
      <w:adjustRightInd w:val="0"/>
      <w:snapToGrid w:val="0"/>
      <w:jc w:val="center"/>
    </w:pPr>
    <w:rPr>
      <w:rFonts w:ascii="宋体" w:hAnsi="宋体"/>
      <w:color w:val="000000"/>
      <w:kern w:val="0"/>
      <w:szCs w:val="21"/>
    </w:rPr>
  </w:style>
  <w:style w:type="paragraph" w:customStyle="1" w:styleId="57">
    <w:name w:val="1"/>
    <w:basedOn w:val="1"/>
    <w:next w:val="29"/>
    <w:autoRedefine/>
    <w:qFormat/>
    <w:uiPriority w:val="0"/>
    <w:pPr>
      <w:tabs>
        <w:tab w:val="left" w:pos="604"/>
      </w:tabs>
      <w:spacing w:line="360" w:lineRule="auto"/>
      <w:ind w:firstLine="600"/>
    </w:pPr>
    <w:rPr>
      <w:sz w:val="24"/>
      <w:szCs w:val="24"/>
    </w:rPr>
  </w:style>
  <w:style w:type="paragraph" w:customStyle="1" w:styleId="58">
    <w:name w:val="表格文字"/>
    <w:basedOn w:val="1"/>
    <w:link w:val="88"/>
    <w:autoRedefine/>
    <w:qFormat/>
    <w:uiPriority w:val="0"/>
    <w:pPr>
      <w:jc w:val="center"/>
    </w:pPr>
    <w:rPr>
      <w:rFonts w:ascii="仿宋_GB2312" w:hAnsi="Arial Black" w:eastAsia="仿宋_GB2312"/>
      <w:kern w:val="44"/>
      <w:sz w:val="24"/>
    </w:rPr>
  </w:style>
  <w:style w:type="paragraph" w:customStyle="1" w:styleId="59">
    <w:name w:val="Char Char Char Char"/>
    <w:basedOn w:val="1"/>
    <w:autoRedefine/>
    <w:qFormat/>
    <w:uiPriority w:val="0"/>
    <w:rPr>
      <w:sz w:val="24"/>
      <w:szCs w:val="24"/>
    </w:rPr>
  </w:style>
  <w:style w:type="paragraph" w:customStyle="1" w:styleId="60">
    <w:name w:val="Char Char Char Char Char Char Char Char Char Char Char Char Char Char Char Char Char Char Char Char Char Char Char Char"/>
    <w:basedOn w:val="1"/>
    <w:autoRedefine/>
    <w:qFormat/>
    <w:uiPriority w:val="0"/>
  </w:style>
  <w:style w:type="paragraph" w:customStyle="1" w:styleId="61">
    <w:name w:val="xl2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62">
    <w:name w:val="默认段落字体 Para Char"/>
    <w:basedOn w:val="1"/>
    <w:autoRedefine/>
    <w:qFormat/>
    <w:uiPriority w:val="0"/>
    <w:rPr>
      <w:sz w:val="24"/>
      <w:szCs w:val="24"/>
    </w:rPr>
  </w:style>
  <w:style w:type="paragraph" w:customStyle="1" w:styleId="63">
    <w:name w:val="Char"/>
    <w:basedOn w:val="1"/>
    <w:autoRedefine/>
    <w:qFormat/>
    <w:uiPriority w:val="0"/>
    <w:rPr>
      <w:sz w:val="24"/>
      <w:szCs w:val="24"/>
    </w:rPr>
  </w:style>
  <w:style w:type="paragraph" w:customStyle="1" w:styleId="64">
    <w:name w:val="默认段落字体 Para Char Char Char Char Char Char"/>
    <w:basedOn w:val="1"/>
    <w:autoRedefine/>
    <w:qFormat/>
    <w:uiPriority w:val="0"/>
    <w:rPr>
      <w:szCs w:val="24"/>
    </w:rPr>
  </w:style>
  <w:style w:type="character" w:customStyle="1" w:styleId="65">
    <w:name w:val="正文文本缩进 Char"/>
    <w:link w:val="18"/>
    <w:autoRedefine/>
    <w:qFormat/>
    <w:uiPriority w:val="0"/>
    <w:rPr>
      <w:kern w:val="2"/>
      <w:sz w:val="24"/>
    </w:rPr>
  </w:style>
  <w:style w:type="character" w:customStyle="1" w:styleId="66">
    <w:name w:val="表格 Char Char"/>
    <w:link w:val="53"/>
    <w:autoRedefine/>
    <w:qFormat/>
    <w:uiPriority w:val="0"/>
    <w:rPr>
      <w:kern w:val="2"/>
      <w:sz w:val="24"/>
      <w:szCs w:val="24"/>
    </w:rPr>
  </w:style>
  <w:style w:type="character" w:customStyle="1" w:styleId="67">
    <w:name w:val="纯文本 Char"/>
    <w:link w:val="21"/>
    <w:autoRedefine/>
    <w:qFormat/>
    <w:uiPriority w:val="0"/>
    <w:rPr>
      <w:rFonts w:ascii="宋体" w:hAnsi="Courier New"/>
      <w:kern w:val="2"/>
      <w:sz w:val="21"/>
    </w:rPr>
  </w:style>
  <w:style w:type="character" w:customStyle="1" w:styleId="68">
    <w:name w:val="标题 5 Char"/>
    <w:link w:val="8"/>
    <w:autoRedefine/>
    <w:qFormat/>
    <w:uiPriority w:val="0"/>
    <w:rPr>
      <w:sz w:val="28"/>
    </w:rPr>
  </w:style>
  <w:style w:type="character" w:customStyle="1" w:styleId="69">
    <w:name w:val="文档结构图 Char"/>
    <w:link w:val="15"/>
    <w:autoRedefine/>
    <w:qFormat/>
    <w:uiPriority w:val="0"/>
    <w:rPr>
      <w:kern w:val="2"/>
      <w:sz w:val="21"/>
      <w:shd w:val="clear" w:color="auto" w:fill="000080"/>
    </w:rPr>
  </w:style>
  <w:style w:type="paragraph" w:customStyle="1" w:styleId="70">
    <w:name w:val="1 Char Char Char Char Char"/>
    <w:basedOn w:val="1"/>
    <w:autoRedefine/>
    <w:qFormat/>
    <w:uiPriority w:val="0"/>
    <w:rPr>
      <w:sz w:val="24"/>
      <w:szCs w:val="24"/>
    </w:rPr>
  </w:style>
  <w:style w:type="character" w:customStyle="1" w:styleId="71">
    <w:name w:val="表格 Char"/>
    <w:autoRedefine/>
    <w:qFormat/>
    <w:locked/>
    <w:uiPriority w:val="0"/>
    <w:rPr>
      <w:rFonts w:ascii="宋体" w:hAnsi="宋体" w:eastAsia="宋体"/>
      <w:sz w:val="21"/>
      <w:lang w:val="en-US" w:eastAsia="zh-CN" w:bidi="ar-SA"/>
    </w:rPr>
  </w:style>
  <w:style w:type="paragraph" w:customStyle="1" w:styleId="72">
    <w:name w:val="表格式"/>
    <w:basedOn w:val="28"/>
    <w:autoRedefine/>
    <w:qFormat/>
    <w:uiPriority w:val="0"/>
    <w:pPr>
      <w:spacing w:line="400" w:lineRule="exact"/>
      <w:jc w:val="center"/>
    </w:pPr>
    <w:rPr>
      <w:rFonts w:ascii="宋体"/>
      <w:sz w:val="21"/>
    </w:rPr>
  </w:style>
  <w:style w:type="character" w:customStyle="1" w:styleId="73">
    <w:name w:val="页眉 Char"/>
    <w:link w:val="26"/>
    <w:autoRedefine/>
    <w:qFormat/>
    <w:uiPriority w:val="0"/>
    <w:rPr>
      <w:kern w:val="2"/>
      <w:sz w:val="18"/>
      <w:szCs w:val="18"/>
    </w:rPr>
  </w:style>
  <w:style w:type="character" w:customStyle="1" w:styleId="74">
    <w:name w:val="正文首行缩进 Char"/>
    <w:link w:val="2"/>
    <w:autoRedefine/>
    <w:qFormat/>
    <w:uiPriority w:val="0"/>
    <w:rPr>
      <w:kern w:val="2"/>
      <w:sz w:val="21"/>
    </w:rPr>
  </w:style>
  <w:style w:type="character" w:customStyle="1" w:styleId="75">
    <w:name w:val="正文文本 2 Char"/>
    <w:link w:val="30"/>
    <w:autoRedefine/>
    <w:qFormat/>
    <w:uiPriority w:val="0"/>
    <w:rPr>
      <w:b/>
      <w:bCs/>
      <w:kern w:val="2"/>
      <w:sz w:val="24"/>
    </w:rPr>
  </w:style>
  <w:style w:type="paragraph" w:customStyle="1" w:styleId="76">
    <w:name w:val="表格中"/>
    <w:basedOn w:val="1"/>
    <w:autoRedefine/>
    <w:semiHidden/>
    <w:qFormat/>
    <w:uiPriority w:val="0"/>
    <w:pPr>
      <w:spacing w:line="240" w:lineRule="exact"/>
      <w:jc w:val="center"/>
    </w:pPr>
    <w:rPr>
      <w:rFonts w:ascii="宋体" w:hAnsi="宋体"/>
      <w:color w:val="FF0000"/>
      <w:szCs w:val="21"/>
    </w:rPr>
  </w:style>
  <w:style w:type="character" w:customStyle="1" w:styleId="77">
    <w:name w:val="标题 Char"/>
    <w:link w:val="33"/>
    <w:autoRedefine/>
    <w:qFormat/>
    <w:uiPriority w:val="0"/>
    <w:rPr>
      <w:rFonts w:ascii="Cambria" w:hAnsi="Cambria" w:cs="Times New Roman"/>
      <w:b/>
      <w:bCs/>
      <w:kern w:val="2"/>
      <w:sz w:val="32"/>
      <w:szCs w:val="32"/>
    </w:rPr>
  </w:style>
  <w:style w:type="paragraph" w:customStyle="1" w:styleId="78">
    <w:name w:val="4"/>
    <w:basedOn w:val="1"/>
    <w:autoRedefine/>
    <w:qFormat/>
    <w:uiPriority w:val="0"/>
    <w:rPr>
      <w:sz w:val="24"/>
      <w:szCs w:val="24"/>
    </w:rPr>
  </w:style>
  <w:style w:type="paragraph" w:customStyle="1" w:styleId="79">
    <w:name w:val="报告书表格"/>
    <w:basedOn w:val="1"/>
    <w:autoRedefine/>
    <w:qFormat/>
    <w:uiPriority w:val="0"/>
    <w:pPr>
      <w:adjustRightInd w:val="0"/>
      <w:spacing w:before="60" w:after="60" w:line="240" w:lineRule="atLeast"/>
      <w:jc w:val="center"/>
      <w:textAlignment w:val="baseline"/>
    </w:pPr>
    <w:rPr>
      <w:kern w:val="0"/>
    </w:rPr>
  </w:style>
  <w:style w:type="character" w:customStyle="1" w:styleId="80">
    <w:name w:val="页脚 Char"/>
    <w:link w:val="25"/>
    <w:autoRedefine/>
    <w:qFormat/>
    <w:uiPriority w:val="99"/>
    <w:rPr>
      <w:kern w:val="2"/>
      <w:sz w:val="18"/>
      <w:szCs w:val="18"/>
    </w:rPr>
  </w:style>
  <w:style w:type="paragraph" w:customStyle="1" w:styleId="81">
    <w:name w:val="图表文字"/>
    <w:basedOn w:val="1"/>
    <w:link w:val="82"/>
    <w:autoRedefine/>
    <w:qFormat/>
    <w:uiPriority w:val="0"/>
    <w:pPr>
      <w:jc w:val="center"/>
    </w:pPr>
    <w:rPr>
      <w:rFonts w:ascii="仿宋_GB2312" w:eastAsia="仿宋_GB2312"/>
      <w:szCs w:val="24"/>
    </w:rPr>
  </w:style>
  <w:style w:type="character" w:customStyle="1" w:styleId="82">
    <w:name w:val="图表文字 Char"/>
    <w:link w:val="81"/>
    <w:autoRedefine/>
    <w:qFormat/>
    <w:uiPriority w:val="0"/>
    <w:rPr>
      <w:rFonts w:ascii="仿宋_GB2312" w:eastAsia="仿宋_GB2312"/>
      <w:kern w:val="2"/>
      <w:sz w:val="21"/>
      <w:szCs w:val="24"/>
    </w:rPr>
  </w:style>
  <w:style w:type="paragraph" w:customStyle="1" w:styleId="83">
    <w:name w:val="表头文字"/>
    <w:basedOn w:val="1"/>
    <w:autoRedefine/>
    <w:qFormat/>
    <w:uiPriority w:val="0"/>
    <w:pPr>
      <w:tabs>
        <w:tab w:val="center" w:pos="4252"/>
        <w:tab w:val="center" w:pos="4422"/>
        <w:tab w:val="right" w:pos="8844"/>
        <w:tab w:val="left" w:pos="13892"/>
      </w:tabs>
      <w:adjustRightInd w:val="0"/>
      <w:snapToGrid w:val="0"/>
      <w:spacing w:line="324" w:lineRule="auto"/>
      <w:jc w:val="center"/>
    </w:pPr>
    <w:rPr>
      <w:rFonts w:ascii="宋体" w:hAnsi="宋体"/>
      <w:b/>
      <w:color w:val="000000"/>
      <w:sz w:val="24"/>
      <w:szCs w:val="24"/>
    </w:rPr>
  </w:style>
  <w:style w:type="paragraph" w:customStyle="1" w:styleId="84">
    <w:name w:val="Table Paragraph"/>
    <w:basedOn w:val="1"/>
    <w:next w:val="1"/>
    <w:autoRedefine/>
    <w:qFormat/>
    <w:uiPriority w:val="0"/>
    <w:pPr>
      <w:autoSpaceDE w:val="0"/>
      <w:autoSpaceDN w:val="0"/>
      <w:adjustRightInd w:val="0"/>
      <w:jc w:val="left"/>
    </w:pPr>
    <w:rPr>
      <w:kern w:val="0"/>
      <w:sz w:val="24"/>
      <w:szCs w:val="24"/>
    </w:rPr>
  </w:style>
  <w:style w:type="character" w:customStyle="1" w:styleId="85">
    <w:name w:val="批注文字 Char"/>
    <w:link w:val="16"/>
    <w:autoRedefine/>
    <w:qFormat/>
    <w:uiPriority w:val="0"/>
    <w:rPr>
      <w:kern w:val="2"/>
      <w:sz w:val="21"/>
    </w:rPr>
  </w:style>
  <w:style w:type="character" w:customStyle="1" w:styleId="86">
    <w:name w:val="正文文本缩进 Char1"/>
    <w:autoRedefine/>
    <w:qFormat/>
    <w:uiPriority w:val="0"/>
    <w:rPr>
      <w:rFonts w:eastAsia="宋体"/>
      <w:kern w:val="2"/>
      <w:sz w:val="24"/>
      <w:lang w:val="en-US" w:eastAsia="zh-CN" w:bidi="ar-SA"/>
    </w:rPr>
  </w:style>
  <w:style w:type="paragraph" w:styleId="87">
    <w:name w:val="List Paragraph"/>
    <w:basedOn w:val="1"/>
    <w:next w:val="1"/>
    <w:autoRedefine/>
    <w:qFormat/>
    <w:uiPriority w:val="0"/>
    <w:pPr>
      <w:ind w:firstLine="420" w:firstLineChars="200"/>
    </w:pPr>
  </w:style>
  <w:style w:type="character" w:customStyle="1" w:styleId="88">
    <w:name w:val="表格文字 Char"/>
    <w:basedOn w:val="37"/>
    <w:link w:val="58"/>
    <w:autoRedefine/>
    <w:qFormat/>
    <w:locked/>
    <w:uiPriority w:val="0"/>
    <w:rPr>
      <w:rFonts w:ascii="仿宋_GB2312" w:hAnsi="Arial Black" w:eastAsia="仿宋_GB2312" w:cs="Times New Roman"/>
      <w:kern w:val="44"/>
      <w:sz w:val="24"/>
    </w:rPr>
  </w:style>
  <w:style w:type="paragraph" w:customStyle="1" w:styleId="89">
    <w:name w:val="正文01"/>
    <w:basedOn w:val="1"/>
    <w:autoRedefine/>
    <w:qFormat/>
    <w:uiPriority w:val="0"/>
    <w:pPr>
      <w:spacing w:before="60" w:line="460" w:lineRule="exact"/>
      <w:ind w:firstLine="200" w:firstLineChars="200"/>
    </w:pPr>
    <w:rPr>
      <w:rFonts w:ascii="Arial" w:hAnsi="Arial"/>
      <w:kern w:val="0"/>
      <w:sz w:val="24"/>
      <w:szCs w:val="24"/>
    </w:rPr>
  </w:style>
  <w:style w:type="table" w:customStyle="1" w:styleId="90">
    <w:name w:val="标准表格"/>
    <w:basedOn w:val="35"/>
    <w:autoRedefine/>
    <w:qFormat/>
    <w:uiPriority w:val="99"/>
    <w:pPr>
      <w:spacing w:before="74"/>
      <w:jc w:val="center"/>
    </w:pPr>
    <w:rPr>
      <w:sz w:val="18"/>
    </w:rPr>
    <w:tblPr>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
    <w:trPr>
      <w:jc w:val="center"/>
    </w:trPr>
    <w:tcPr>
      <w:shd w:val="clear" w:color="auto" w:fill="FFFFFF" w:themeFill="background1"/>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宋体"/>
        <w:sz w:val="18"/>
      </w:rPr>
      <w:tblPr/>
      <w:trPr>
        <w:tblHeader/>
      </w:trPr>
    </w:tblStylePr>
    <w:tblStylePr w:type="firstCol">
      <w:pPr>
        <w:jc w:val="center"/>
      </w:pPr>
    </w:tblStylePr>
  </w:style>
  <w:style w:type="paragraph" w:customStyle="1" w:styleId="91">
    <w:name w:val="_Style 77"/>
    <w:basedOn w:val="1"/>
    <w:autoRedefine/>
    <w:qFormat/>
    <w:uiPriority w:val="0"/>
    <w:rPr>
      <w:sz w:val="24"/>
      <w:szCs w:val="24"/>
    </w:rPr>
  </w:style>
  <w:style w:type="paragraph" w:customStyle="1" w:styleId="92">
    <w:name w:val="列出段落1"/>
    <w:basedOn w:val="1"/>
    <w:next w:val="1"/>
    <w:autoRedefine/>
    <w:qFormat/>
    <w:uiPriority w:val="0"/>
    <w:pPr>
      <w:ind w:firstLine="420" w:firstLineChars="200"/>
    </w:pPr>
  </w:style>
  <w:style w:type="paragraph" w:customStyle="1" w:styleId="93">
    <w:name w:val="样式1"/>
    <w:basedOn w:val="43"/>
    <w:autoRedefine/>
    <w:qFormat/>
    <w:uiPriority w:val="0"/>
  </w:style>
  <w:style w:type="character" w:customStyle="1" w:styleId="94">
    <w:name w:val="正文缩进 Char1"/>
    <w:autoRedefine/>
    <w:qFormat/>
    <w:uiPriority w:val="0"/>
    <w:rPr>
      <w:rFonts w:eastAsia="宋体"/>
      <w:kern w:val="2"/>
      <w:sz w:val="28"/>
      <w:szCs w:val="24"/>
      <w:lang w:val="en-US" w:eastAsia="zh-CN" w:bidi="ar-SA"/>
    </w:rPr>
  </w:style>
  <w:style w:type="paragraph" w:customStyle="1" w:styleId="95">
    <w:name w:val="Char Char6"/>
    <w:basedOn w:val="1"/>
    <w:autoRedefine/>
    <w:qFormat/>
    <w:uiPriority w:val="0"/>
    <w:rPr>
      <w:rFonts w:eastAsia="Times New Roman"/>
      <w:kern w:val="0"/>
      <w:sz w:val="24"/>
      <w:szCs w:val="24"/>
    </w:rPr>
  </w:style>
  <w:style w:type="paragraph" w:customStyle="1" w:styleId="96">
    <w:name w:val="WPSOffice手动目录 1"/>
    <w:autoRedefine/>
    <w:qFormat/>
    <w:uiPriority w:val="0"/>
    <w:rPr>
      <w:rFonts w:ascii="Times New Roman" w:hAnsi="Times New Roman" w:eastAsia="宋体" w:cs="Times New Roman"/>
      <w:lang w:val="en-US" w:eastAsia="zh-CN" w:bidi="ar-SA"/>
    </w:rPr>
  </w:style>
  <w:style w:type="paragraph" w:customStyle="1" w:styleId="97">
    <w:name w:val="xl27"/>
    <w:basedOn w:val="1"/>
    <w:next w:val="1"/>
    <w:autoRedefine/>
    <w:qFormat/>
    <w:uiPriority w:val="0"/>
    <w:pPr>
      <w:widowControl/>
      <w:pBdr>
        <w:bottom w:val="single" w:color="auto" w:sz="12" w:space="0"/>
      </w:pBdr>
      <w:spacing w:before="100" w:after="100"/>
      <w:jc w:val="center"/>
    </w:pPr>
    <w:rPr>
      <w:rFonts w:ascii="宋体" w:hAnsi="宋体"/>
      <w:kern w:val="0"/>
    </w:rPr>
  </w:style>
  <w:style w:type="paragraph" w:customStyle="1" w:styleId="98">
    <w:name w:val="样式 样式 样式 自动设置 + 五号 段前: 0.5 行 行距: 单倍行距 + 段前: 0.5 行"/>
    <w:basedOn w:val="1"/>
    <w:autoRedefine/>
    <w:qFormat/>
    <w:uiPriority w:val="0"/>
    <w:pPr>
      <w:widowControl/>
      <w:autoSpaceDE w:val="0"/>
      <w:autoSpaceDN w:val="0"/>
      <w:adjustRightInd w:val="0"/>
      <w:snapToGrid w:val="0"/>
      <w:jc w:val="left"/>
    </w:pPr>
    <w:rPr>
      <w:rFonts w:cs="宋体"/>
    </w:rPr>
  </w:style>
  <w:style w:type="table" w:customStyle="1" w:styleId="99">
    <w:name w:val="Table Normal"/>
    <w:autoRedefine/>
    <w:semiHidden/>
    <w:unhideWhenUsed/>
    <w:qFormat/>
    <w:uiPriority w:val="0"/>
    <w:tblPr>
      <w:tblCellMar>
        <w:top w:w="0" w:type="dxa"/>
        <w:left w:w="0" w:type="dxa"/>
        <w:bottom w:w="0" w:type="dxa"/>
        <w:right w:w="0" w:type="dxa"/>
      </w:tblCellMar>
    </w:tblPr>
  </w:style>
  <w:style w:type="paragraph" w:customStyle="1" w:styleId="100">
    <w:name w:val="环评正文"/>
    <w:basedOn w:val="1"/>
    <w:autoRedefine/>
    <w:qFormat/>
    <w:uiPriority w:val="0"/>
    <w:pPr>
      <w:spacing w:line="360" w:lineRule="auto"/>
      <w:ind w:firstLine="200" w:firstLineChars="200"/>
    </w:pPr>
    <w:rPr>
      <w:rFonts w:cs="Cambria Math"/>
      <w:sz w:val="24"/>
    </w:rPr>
  </w:style>
  <w:style w:type="paragraph" w:customStyle="1" w:styleId="101">
    <w:name w:val="Table Text"/>
    <w:basedOn w:val="1"/>
    <w:autoRedefine/>
    <w:semiHidden/>
    <w:qFormat/>
    <w:uiPriority w:val="0"/>
    <w:rPr>
      <w:rFonts w:ascii="宋体" w:hAnsi="宋体" w:eastAsia="宋体" w:cs="宋体"/>
      <w:sz w:val="20"/>
      <w:szCs w:val="20"/>
      <w:lang w:val="en-US" w:eastAsia="en-US" w:bidi="ar-SA"/>
    </w:rPr>
  </w:style>
  <w:style w:type="character" w:customStyle="1" w:styleId="102">
    <w:name w:val="font21"/>
    <w:basedOn w:val="37"/>
    <w:autoRedefine/>
    <w:qFormat/>
    <w:uiPriority w:val="0"/>
    <w:rPr>
      <w:rFonts w:ascii="仿宋_GB2312" w:eastAsia="仿宋_GB2312" w:cs="仿宋_GB2312"/>
      <w:color w:val="000000"/>
      <w:sz w:val="21"/>
      <w:szCs w:val="21"/>
      <w:u w:val="none"/>
    </w:rPr>
  </w:style>
  <w:style w:type="paragraph" w:customStyle="1" w:styleId="103">
    <w:name w:val="1正文"/>
    <w:basedOn w:val="1"/>
    <w:autoRedefine/>
    <w:qFormat/>
    <w:uiPriority w:val="99"/>
    <w:pPr>
      <w:autoSpaceDE w:val="0"/>
      <w:autoSpaceDN w:val="0"/>
      <w:adjustRightInd w:val="0"/>
      <w:snapToGrid w:val="0"/>
      <w:spacing w:before="25" w:beforeLines="25" w:after="25" w:afterLines="25" w:line="360" w:lineRule="auto"/>
      <w:ind w:firstLine="200" w:firstLineChars="200"/>
    </w:pPr>
    <w:rPr>
      <w:rFonts w:ascii="Calibri" w:hAnsi="Calibri" w:eastAsia="仿宋" w:cs="Times New Roman"/>
      <w:bCs/>
      <w:spacing w:val="5"/>
      <w:sz w:val="24"/>
      <w:szCs w:val="21"/>
    </w:rPr>
  </w:style>
  <w:style w:type="paragraph" w:customStyle="1" w:styleId="104">
    <w:name w:val="wyc-表文字"/>
    <w:basedOn w:val="105"/>
    <w:qFormat/>
    <w:uiPriority w:val="0"/>
    <w:pPr>
      <w:snapToGrid w:val="0"/>
    </w:pPr>
    <w:rPr>
      <w:b w:val="0"/>
      <w:bCs w:val="0"/>
      <w:sz w:val="21"/>
      <w:szCs w:val="21"/>
    </w:rPr>
  </w:style>
  <w:style w:type="paragraph" w:customStyle="1" w:styleId="105">
    <w:name w:val="wyc-表头"/>
    <w:basedOn w:val="1"/>
    <w:qFormat/>
    <w:uiPriority w:val="0"/>
    <w:pPr>
      <w:jc w:val="center"/>
    </w:pPr>
    <w:rPr>
      <w:rFonts w:ascii="Times New Roman" w:hAnsi="Times New Roman"/>
      <w:b/>
      <w:bCs/>
      <w:sz w:val="24"/>
    </w:rPr>
  </w:style>
  <w:style w:type="paragraph" w:customStyle="1" w:styleId="106">
    <w:name w:val="文华表格"/>
    <w:basedOn w:val="1"/>
    <w:qFormat/>
    <w:uiPriority w:val="0"/>
    <w:pPr>
      <w:spacing w:line="312" w:lineRule="auto"/>
      <w:ind w:left="-107" w:right="-108" w:hanging="1"/>
      <w:jc w:val="center"/>
    </w:pPr>
  </w:style>
  <w:style w:type="paragraph" w:customStyle="1" w:styleId="107">
    <w:name w:val="创业正文"/>
    <w:basedOn w:val="1"/>
    <w:qFormat/>
    <w:uiPriority w:val="99"/>
    <w:pPr>
      <w:autoSpaceDE w:val="0"/>
      <w:autoSpaceDN w:val="0"/>
      <w:adjustRightInd w:val="0"/>
      <w:snapToGrid w:val="0"/>
      <w:spacing w:before="25" w:beforeLines="25" w:after="25" w:afterLines="25" w:line="360" w:lineRule="auto"/>
      <w:ind w:firstLine="200" w:firstLineChars="200"/>
      <w:jc w:val="left"/>
    </w:pPr>
    <w:rPr>
      <w:bCs/>
      <w:spacing w:val="5"/>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7" Type="http://schemas.openxmlformats.org/officeDocument/2006/relationships/fontTable" Target="fontTable.xml"/><Relationship Id="rId76" Type="http://schemas.openxmlformats.org/officeDocument/2006/relationships/numbering" Target="numbering.xml"/><Relationship Id="rId75" Type="http://schemas.openxmlformats.org/officeDocument/2006/relationships/customXml" Target="../customXml/item1.xml"/><Relationship Id="rId74" Type="http://schemas.openxmlformats.org/officeDocument/2006/relationships/image" Target="media/image37.png"/><Relationship Id="rId73" Type="http://schemas.openxmlformats.org/officeDocument/2006/relationships/image" Target="media/image36.png"/><Relationship Id="rId72" Type="http://schemas.openxmlformats.org/officeDocument/2006/relationships/image" Target="media/image35.wmf"/><Relationship Id="rId71" Type="http://schemas.openxmlformats.org/officeDocument/2006/relationships/image" Target="media/image34.wmf"/><Relationship Id="rId70" Type="http://schemas.openxmlformats.org/officeDocument/2006/relationships/oleObject" Target="embeddings/oleObject26.bin"/><Relationship Id="rId7" Type="http://schemas.openxmlformats.org/officeDocument/2006/relationships/footer" Target="footer4.xml"/><Relationship Id="rId69" Type="http://schemas.openxmlformats.org/officeDocument/2006/relationships/image" Target="media/image33.wmf"/><Relationship Id="rId68" Type="http://schemas.openxmlformats.org/officeDocument/2006/relationships/oleObject" Target="embeddings/oleObject25.bin"/><Relationship Id="rId67" Type="http://schemas.openxmlformats.org/officeDocument/2006/relationships/image" Target="media/image32.wmf"/><Relationship Id="rId66" Type="http://schemas.openxmlformats.org/officeDocument/2006/relationships/image" Target="media/image31.wmf"/><Relationship Id="rId65" Type="http://schemas.openxmlformats.org/officeDocument/2006/relationships/oleObject" Target="embeddings/oleObject24.bin"/><Relationship Id="rId64" Type="http://schemas.openxmlformats.org/officeDocument/2006/relationships/image" Target="media/image30.wmf"/><Relationship Id="rId63" Type="http://schemas.openxmlformats.org/officeDocument/2006/relationships/oleObject" Target="embeddings/oleObject23.bin"/><Relationship Id="rId62" Type="http://schemas.openxmlformats.org/officeDocument/2006/relationships/image" Target="media/image29.wmf"/><Relationship Id="rId61" Type="http://schemas.openxmlformats.org/officeDocument/2006/relationships/oleObject" Target="embeddings/oleObject22.bin"/><Relationship Id="rId60" Type="http://schemas.openxmlformats.org/officeDocument/2006/relationships/image" Target="media/image28.wmf"/><Relationship Id="rId6" Type="http://schemas.openxmlformats.org/officeDocument/2006/relationships/footer" Target="footer3.xml"/><Relationship Id="rId59" Type="http://schemas.openxmlformats.org/officeDocument/2006/relationships/image" Target="media/image27.wmf"/><Relationship Id="rId58" Type="http://schemas.openxmlformats.org/officeDocument/2006/relationships/oleObject" Target="embeddings/oleObject21.bin"/><Relationship Id="rId57" Type="http://schemas.openxmlformats.org/officeDocument/2006/relationships/image" Target="media/image26.wmf"/><Relationship Id="rId56" Type="http://schemas.openxmlformats.org/officeDocument/2006/relationships/oleObject" Target="embeddings/oleObject20.bin"/><Relationship Id="rId55" Type="http://schemas.openxmlformats.org/officeDocument/2006/relationships/image" Target="media/image25.wmf"/><Relationship Id="rId54" Type="http://schemas.openxmlformats.org/officeDocument/2006/relationships/oleObject" Target="embeddings/oleObject19.bin"/><Relationship Id="rId53" Type="http://schemas.openxmlformats.org/officeDocument/2006/relationships/image" Target="media/image24.wmf"/><Relationship Id="rId52" Type="http://schemas.openxmlformats.org/officeDocument/2006/relationships/oleObject" Target="embeddings/oleObject18.bin"/><Relationship Id="rId51" Type="http://schemas.openxmlformats.org/officeDocument/2006/relationships/image" Target="media/image23.wmf"/><Relationship Id="rId50" Type="http://schemas.openxmlformats.org/officeDocument/2006/relationships/oleObject" Target="embeddings/oleObject17.bin"/><Relationship Id="rId5" Type="http://schemas.openxmlformats.org/officeDocument/2006/relationships/footer" Target="footer2.xml"/><Relationship Id="rId49" Type="http://schemas.openxmlformats.org/officeDocument/2006/relationships/image" Target="media/image22.wmf"/><Relationship Id="rId48" Type="http://schemas.openxmlformats.org/officeDocument/2006/relationships/oleObject" Target="embeddings/oleObject16.bin"/><Relationship Id="rId47" Type="http://schemas.openxmlformats.org/officeDocument/2006/relationships/image" Target="media/image21.wmf"/><Relationship Id="rId46" Type="http://schemas.openxmlformats.org/officeDocument/2006/relationships/image" Target="media/image20.jpeg"/><Relationship Id="rId45" Type="http://schemas.openxmlformats.org/officeDocument/2006/relationships/image" Target="media/image19.wmf"/><Relationship Id="rId44" Type="http://schemas.openxmlformats.org/officeDocument/2006/relationships/oleObject" Target="embeddings/oleObject15.bin"/><Relationship Id="rId43" Type="http://schemas.openxmlformats.org/officeDocument/2006/relationships/image" Target="media/image18.wmf"/><Relationship Id="rId42" Type="http://schemas.openxmlformats.org/officeDocument/2006/relationships/oleObject" Target="embeddings/oleObject14.bin"/><Relationship Id="rId41" Type="http://schemas.openxmlformats.org/officeDocument/2006/relationships/image" Target="media/image17.wmf"/><Relationship Id="rId40" Type="http://schemas.openxmlformats.org/officeDocument/2006/relationships/oleObject" Target="embeddings/oleObject13.bin"/><Relationship Id="rId4" Type="http://schemas.openxmlformats.org/officeDocument/2006/relationships/footer" Target="footer1.xml"/><Relationship Id="rId39" Type="http://schemas.openxmlformats.org/officeDocument/2006/relationships/image" Target="media/image16.wmf"/><Relationship Id="rId38" Type="http://schemas.openxmlformats.org/officeDocument/2006/relationships/oleObject" Target="embeddings/oleObject12.bin"/><Relationship Id="rId37" Type="http://schemas.openxmlformats.org/officeDocument/2006/relationships/image" Target="media/image15.wmf"/><Relationship Id="rId36" Type="http://schemas.openxmlformats.org/officeDocument/2006/relationships/oleObject" Target="embeddings/oleObject11.bin"/><Relationship Id="rId35" Type="http://schemas.openxmlformats.org/officeDocument/2006/relationships/image" Target="media/image14.wmf"/><Relationship Id="rId34" Type="http://schemas.openxmlformats.org/officeDocument/2006/relationships/oleObject" Target="embeddings/oleObject10.bin"/><Relationship Id="rId33" Type="http://schemas.openxmlformats.org/officeDocument/2006/relationships/image" Target="media/image13.wmf"/><Relationship Id="rId32" Type="http://schemas.openxmlformats.org/officeDocument/2006/relationships/oleObject" Target="embeddings/oleObject9.bin"/><Relationship Id="rId31" Type="http://schemas.openxmlformats.org/officeDocument/2006/relationships/image" Target="media/image12.wmf"/><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10.wmf"/><Relationship Id="rId25" Type="http://schemas.openxmlformats.org/officeDocument/2006/relationships/oleObject" Target="embeddings/oleObject5.bin"/><Relationship Id="rId24" Type="http://schemas.openxmlformats.org/officeDocument/2006/relationships/image" Target="media/image9.wmf"/><Relationship Id="rId23" Type="http://schemas.openxmlformats.org/officeDocument/2006/relationships/oleObject" Target="embeddings/oleObject4.bin"/><Relationship Id="rId22" Type="http://schemas.openxmlformats.org/officeDocument/2006/relationships/oleObject" Target="embeddings/oleObject3.bin"/><Relationship Id="rId21" Type="http://schemas.openxmlformats.org/officeDocument/2006/relationships/image" Target="media/image8.png"/><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6.png"/><Relationship Id="rId17" Type="http://schemas.openxmlformats.org/officeDocument/2006/relationships/image" Target="media/image5.wmf"/><Relationship Id="rId16" Type="http://schemas.openxmlformats.org/officeDocument/2006/relationships/oleObject" Target="embeddings/oleObject1.bin"/><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extobjs>
    <extobj name="E657119C-6982-421D-8BA7-E74DEB70A7D9-1">
      <extobjdata type="E657119C-6982-421D-8BA7-E74DEB70A7D9" data="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xGdFUwbHhhbWRZZVhVNE1URTJOVElsTWpJbE4wUWxNa01sTjBJbE1qSnVZVzFsSlRJeUpUTkJKVEl5SlVVMUpUa3dKVGhFSlVVM0pVRTNKVUl3SlRJeUpUSkRKVEl5ZEhsd1pTVXlNaVV6UVNVeU1uTjBjbWx1WnlVeU1pVXlReVV5TW5aaGJIVmxKVEl5SlROQkpUSXlKVEl5SlRKREpUSXlZMkYwWldkdmNua2xNaklsTTBFbE1qSmtaV1poZFd4MEpUSXlKVEpESlRJeWFXUWxNaklsTTBFbE1qSjBhRU5OY205bGFWRk1OREkzT1RVMU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FsTWtNbE1qSjVKVEl5SlROQk1DVXlReVV5TW5jbE1qSWxNMEVsTWpKM0pUSXlKVEpESlRJeWFDVXlNaVV6UVNVeU1tZ2xNaklsTjBRbE1rTWxNakowWlhoMEpUSXlKVE5CSlRJeUpVVTRKVGczSlVGQkpVVTJKVGxFSlVFMUpVVTJKVUl3SlVJME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UpUSkRKVEl5VTJaSWQwOXZVVkJpY2pZM01qTTBOaVV5TWlVelFTVTNRaVV5TW5CaGNtVnVkQ1V5TWlVelFTVXlNaVV5TWlVeVF5VXlNbXhwYm1zbE1qSWxNMEVsTWpJbE1qSWxNa01sTWpKemFHRndaVk4wZVd4bEpUSXlKVE5CSlRkQ0pUSXlZV3h3YUdFbE1qSWxNMEV4SlRkRUpUSkRKVEl5ZEdWNGRFSnNiMk5ySlRJeUpUTkJKVFZDSlRkQ0pUSXljRzl6YVhScGIyNGxNaklsTTBFbE4wSWxNakozSlRJeUpUTkJKVEl5ZHlVeU1pVXlReVV5TW5nbE1qSWxNMEV3SlRKREpUSXlhQ1V5TWlVelFTVXlNbWdsTWpJbE1rTWxNako1SlRJeUpUTkJNQ1UzUkNVeVF5VXlNblJsZUhRbE1qSWxNMEVsTWpJMk5EZ2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"/>
    </extobj>
    <extobj name="E657119C-6982-421D-8BA7-E74DEB70A7D9-2">
      <extobjdata type="E657119C-6982-421D-8BA7-E74DEB70A7D9" data="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"/>
    </extobj>
    <extobj name="E657119C-6982-421D-8BA7-E74DEB70A7D9-3">
      <extobjdata type="E657119C-6982-421D-8BA7-E74DEB70A7D9" data="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"/>
    </extobj>
    <extobj name="E657119C-6982-421D-8BA7-E74DEB70A7D9-4">
      <extobjdata type="E657119C-6982-421D-8BA7-E74DEB70A7D9" data="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hb</Company>
  <Pages>99</Pages>
  <Words>19677</Words>
  <Characters>20565</Characters>
  <Lines>310</Lines>
  <Paragraphs>87</Paragraphs>
  <TotalTime>24</TotalTime>
  <ScaleCrop>false</ScaleCrop>
  <LinksUpToDate>false</LinksUpToDate>
  <CharactersWithSpaces>20645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2020-09-21T02:01:00Z</dcterms:created>
  <dc:creator>zxm</dc:creator>
  <cp:lastModifiedBy>马卡巴卡</cp:lastModifiedBy>
  <cp:lastPrinted>2026-04-13T03:08:00Z</cp:lastPrinted>
  <dcterms:modified xsi:type="dcterms:W3CDTF">2026-05-11T01:27:42Z</dcterms:modified>
  <dc:title>建设项目环境影响报告表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78DC0DAE05A142D0A6C2E7127F4F33A8_13</vt:lpwstr>
  </property>
  <property fmtid="{D5CDD505-2E9C-101B-9397-08002B2CF9AE}" pid="4" name="KSOTemplateDocerSaveRecord">
    <vt:lpwstr>eyJoZGlkIjoiM2JiYWY3NDgxOGE4ODM2NjA3YWEyZjc1NzUxMzU5OGIiLCJ1c2VySWQiOiI2ODE5MzY3MDEifQ==</vt:lpwstr>
  </property>
</Properties>
</file>